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1FE17">
      <w:pPr>
        <w:pStyle w:val="31"/>
        <w:keepNext/>
        <w:keepLines w:val="0"/>
        <w:pageBreakBefore w:val="0"/>
        <w:widowControl/>
        <w:suppressLineNumbers/>
        <w:spacing w:before="0" w:after="200" w:line="276" w:lineRule="auto"/>
        <w:ind w:left="0" w:right="0" w:firstLine="0"/>
        <w:jc w:val="center"/>
      </w:pPr>
      <w:r>
        <w:rPr>
          <w:rFonts w:ascii="Times New Roman" w:hAnsi="Times New Roman" w:eastAsia="Times New Roman" w:cs="Times New Roman"/>
          <w:b/>
          <w:i w:val="0"/>
          <w:color w:val="000000"/>
          <w:sz w:val="32"/>
        </w:rPr>
        <w:t>Supplementary material</w:t>
      </w:r>
    </w:p>
    <w:p w14:paraId="2EA7E6E0">
      <w:pPr>
        <w:keepNext/>
        <w:keepLines w:val="0"/>
        <w:pageBreakBefore w:val="0"/>
        <w:widowControl/>
        <w:suppressLineNumbers/>
        <w:spacing w:before="0" w:after="100" w:line="276" w:lineRule="auto"/>
        <w:ind w:left="0" w:right="0" w:firstLine="0"/>
        <w:jc w:val="left"/>
      </w:pPr>
      <w:r>
        <w:rPr>
          <w:rFonts w:ascii="Times New Roman" w:hAnsi="Times New Roman" w:eastAsia="Times New Roman" w:cs="Times New Roman"/>
          <w:b/>
          <w:i w:val="0"/>
          <w:color w:val="000000"/>
          <w:sz w:val="22"/>
        </w:rPr>
        <w:t>Renal events and peripheral neuropathy reported with momelotinib in myelofibrosis: an indication-restricted FAERS study</w:t>
      </w:r>
    </w:p>
    <w:p w14:paraId="69AB1F2F">
      <w:pPr>
        <w:keepNext w:val="0"/>
        <w:keepLines w:val="0"/>
        <w:pageBreakBefore w:val="0"/>
        <w:widowControl/>
        <w:suppressLineNumbers/>
        <w:spacing w:before="0" w:after="120" w:line="276" w:lineRule="auto"/>
        <w:ind w:left="0" w:right="0" w:firstLine="0"/>
        <w:jc w:val="left"/>
        <w:rPr>
          <w:rFonts w:hint="eastAsia" w:ascii="Times New Roman" w:hAnsi="Times New Roman" w:eastAsia="Times New Roman" w:cs="Times New Roman"/>
          <w:b w:val="0"/>
          <w:bCs/>
          <w:i w:val="0"/>
          <w:color w:val="000000"/>
          <w:sz w:val="22"/>
        </w:rPr>
      </w:pPr>
      <w:r>
        <w:rPr>
          <w:rFonts w:ascii="Times New Roman" w:hAnsi="Times New Roman" w:eastAsia="Times New Roman" w:cs="Times New Roman"/>
          <w:b/>
          <w:i w:val="0"/>
          <w:color w:val="000000"/>
          <w:sz w:val="22"/>
        </w:rPr>
        <w:t xml:space="preserve">Authors: </w:t>
      </w:r>
      <w:r>
        <w:rPr>
          <w:rFonts w:hint="eastAsia" w:ascii="Times New Roman" w:hAnsi="Times New Roman" w:eastAsia="Times New Roman" w:cs="Times New Roman"/>
          <w:b w:val="0"/>
          <w:bCs/>
          <w:i w:val="0"/>
          <w:color w:val="000000"/>
          <w:sz w:val="22"/>
        </w:rPr>
        <w:t>Jia Luo</w:t>
      </w:r>
      <w:r>
        <w:rPr>
          <w:rFonts w:hint="eastAsia" w:ascii="Times New Roman" w:hAnsi="Times New Roman" w:eastAsia="Times New Roman" w:cs="Times New Roman"/>
          <w:b w:val="0"/>
          <w:bCs/>
          <w:i w:val="0"/>
          <w:color w:val="000000"/>
          <w:sz w:val="22"/>
          <w:vertAlign w:val="superscript"/>
        </w:rPr>
        <w:t>1*</w:t>
      </w:r>
      <w:r>
        <w:rPr>
          <w:rFonts w:hint="eastAsia" w:ascii="Times New Roman" w:hAnsi="Times New Roman" w:eastAsia="Times New Roman" w:cs="Times New Roman"/>
          <w:b w:val="0"/>
          <w:bCs/>
          <w:i w:val="0"/>
          <w:color w:val="000000"/>
          <w:sz w:val="22"/>
        </w:rPr>
        <w:t>, Hongxuan Cao</w:t>
      </w:r>
      <w:r>
        <w:rPr>
          <w:rFonts w:hint="eastAsia" w:ascii="Times New Roman" w:hAnsi="Times New Roman" w:eastAsia="Times New Roman" w:cs="Times New Roman"/>
          <w:b w:val="0"/>
          <w:bCs/>
          <w:i w:val="0"/>
          <w:color w:val="000000"/>
          <w:sz w:val="22"/>
          <w:vertAlign w:val="superscript"/>
        </w:rPr>
        <w:t>2</w:t>
      </w:r>
    </w:p>
    <w:p w14:paraId="49385331">
      <w:pPr>
        <w:keepNext w:val="0"/>
        <w:keepLines w:val="0"/>
        <w:pageBreakBefore w:val="0"/>
        <w:widowControl/>
        <w:suppressLineNumbers/>
        <w:spacing w:before="0" w:after="120" w:line="276" w:lineRule="auto"/>
        <w:ind w:left="0" w:right="0" w:firstLine="0"/>
        <w:jc w:val="left"/>
        <w:rPr>
          <w:rFonts w:hint="eastAsia" w:ascii="Times New Roman" w:hAnsi="Times New Roman" w:eastAsia="Times New Roman" w:cs="Times New Roman"/>
          <w:b w:val="0"/>
          <w:bCs/>
          <w:i w:val="0"/>
          <w:color w:val="000000"/>
          <w:sz w:val="22"/>
        </w:rPr>
      </w:pPr>
      <w:r>
        <w:rPr>
          <w:rFonts w:hint="eastAsia" w:ascii="Times New Roman" w:hAnsi="Times New Roman" w:eastAsia="Times New Roman" w:cs="Times New Roman"/>
          <w:b w:val="0"/>
          <w:bCs/>
          <w:i w:val="0"/>
          <w:color w:val="000000"/>
          <w:sz w:val="22"/>
          <w:vertAlign w:val="superscript"/>
        </w:rPr>
        <w:t>1</w:t>
      </w:r>
      <w:r>
        <w:rPr>
          <w:rFonts w:hint="eastAsia" w:ascii="Times New Roman" w:hAnsi="Times New Roman" w:eastAsia="Times New Roman" w:cs="Times New Roman"/>
          <w:b w:val="0"/>
          <w:bCs/>
          <w:i w:val="0"/>
          <w:color w:val="000000"/>
          <w:sz w:val="22"/>
        </w:rPr>
        <w:t>Department of Pharmacy, The First Affiliated Hospital of Guangzhou University of Chinese Medicine, Guangdo</w:t>
      </w:r>
      <w:bookmarkStart w:id="0" w:name="_GoBack"/>
      <w:bookmarkEnd w:id="0"/>
      <w:r>
        <w:rPr>
          <w:rFonts w:hint="eastAsia" w:ascii="Times New Roman" w:hAnsi="Times New Roman" w:eastAsia="Times New Roman" w:cs="Times New Roman"/>
          <w:b w:val="0"/>
          <w:bCs/>
          <w:i w:val="0"/>
          <w:color w:val="000000"/>
          <w:sz w:val="22"/>
        </w:rPr>
        <w:t>ng Clinical Research Academy of Chinese Medicine, Guangzhou, Guangdong, China.</w:t>
      </w:r>
    </w:p>
    <w:p w14:paraId="6409CC8A">
      <w:pPr>
        <w:keepNext w:val="0"/>
        <w:keepLines w:val="0"/>
        <w:pageBreakBefore w:val="0"/>
        <w:widowControl/>
        <w:suppressLineNumbers/>
        <w:spacing w:before="0" w:after="120" w:line="276" w:lineRule="auto"/>
        <w:ind w:left="0" w:right="0" w:firstLine="0"/>
        <w:jc w:val="left"/>
        <w:rPr>
          <w:rFonts w:hint="eastAsia" w:ascii="Times New Roman" w:hAnsi="Times New Roman" w:eastAsia="Times New Roman" w:cs="Times New Roman"/>
          <w:b w:val="0"/>
          <w:bCs/>
          <w:i w:val="0"/>
          <w:color w:val="000000"/>
          <w:sz w:val="22"/>
        </w:rPr>
      </w:pPr>
      <w:r>
        <w:rPr>
          <w:rFonts w:hint="eastAsia" w:ascii="Times New Roman" w:hAnsi="Times New Roman" w:eastAsia="Times New Roman" w:cs="Times New Roman"/>
          <w:b w:val="0"/>
          <w:bCs/>
          <w:i w:val="0"/>
          <w:color w:val="000000"/>
          <w:sz w:val="22"/>
          <w:vertAlign w:val="superscript"/>
        </w:rPr>
        <w:t>2</w:t>
      </w:r>
      <w:r>
        <w:rPr>
          <w:rFonts w:hint="eastAsia" w:ascii="Times New Roman" w:hAnsi="Times New Roman" w:eastAsia="Times New Roman" w:cs="Times New Roman"/>
          <w:b w:val="0"/>
          <w:bCs/>
          <w:i w:val="0"/>
          <w:color w:val="000000"/>
          <w:sz w:val="22"/>
        </w:rPr>
        <w:t>Guangzhou University of Chinese Medicine, The First Affiliated Hospital of Guangzhou University of Chinese Medicine, Guangzhou, Guangdong, China.</w:t>
      </w:r>
    </w:p>
    <w:p w14:paraId="6B348382">
      <w:pPr>
        <w:keepNext w:val="0"/>
        <w:keepLines w:val="0"/>
        <w:pageBreakBefore w:val="0"/>
        <w:widowControl/>
        <w:suppressLineNumbers/>
        <w:spacing w:before="0" w:after="120" w:line="276" w:lineRule="auto"/>
        <w:ind w:left="0" w:right="0" w:firstLine="0"/>
        <w:jc w:val="left"/>
      </w:pPr>
      <w:r>
        <w:rPr>
          <w:rFonts w:hint="eastAsia" w:ascii="Times New Roman" w:hAnsi="Times New Roman" w:eastAsia="Times New Roman" w:cs="Times New Roman"/>
          <w:b w:val="0"/>
          <w:bCs/>
          <w:i w:val="0"/>
          <w:color w:val="000000"/>
          <w:sz w:val="22"/>
          <w:vertAlign w:val="superscript"/>
        </w:rPr>
        <w:t>*</w:t>
      </w:r>
      <w:r>
        <w:rPr>
          <w:rFonts w:hint="eastAsia" w:ascii="Times New Roman" w:hAnsi="Times New Roman" w:eastAsia="Times New Roman" w:cs="Times New Roman"/>
          <w:b w:val="0"/>
          <w:bCs/>
          <w:i w:val="0"/>
          <w:color w:val="000000"/>
          <w:sz w:val="22"/>
        </w:rPr>
        <w:t>Corresponding author: Jia Luo.  E-mail: lawga666@163.com.</w:t>
      </w:r>
    </w:p>
    <w:p w14:paraId="584B4C9D">
      <w:pPr>
        <w:keepNext/>
        <w:keepLines w:val="0"/>
        <w:pageBreakBefore w:val="0"/>
        <w:widowControl/>
        <w:suppressLineNumbers/>
        <w:spacing w:before="100" w:after="60" w:line="276" w:lineRule="auto"/>
        <w:ind w:left="0" w:right="0" w:firstLine="0"/>
        <w:jc w:val="left"/>
      </w:pPr>
      <w:r>
        <w:rPr>
          <w:rFonts w:ascii="Times New Roman" w:hAnsi="Times New Roman" w:eastAsia="Times New Roman" w:cs="Times New Roman"/>
          <w:b/>
          <w:i w:val="0"/>
          <w:color w:val="000000"/>
          <w:sz w:val="22"/>
        </w:rPr>
        <w:t>Contents</w:t>
      </w:r>
    </w:p>
    <w:p w14:paraId="35DFC2A4">
      <w:pPr>
        <w:keepNext w:val="0"/>
        <w:keepLines w:val="0"/>
        <w:pageBreakBefore w:val="0"/>
        <w:widowControl/>
        <w:suppressLineNumbers/>
        <w:spacing w:before="0" w:after="100" w:line="276" w:lineRule="auto"/>
        <w:ind w:left="0" w:right="0" w:firstLine="0"/>
        <w:jc w:val="left"/>
      </w:pPr>
      <w:r>
        <w:rPr>
          <w:rFonts w:ascii="Times New Roman" w:hAnsi="Times New Roman" w:eastAsia="Times New Roman" w:cs="Times New Roman"/>
          <w:b w:val="0"/>
          <w:i w:val="0"/>
          <w:color w:val="000000"/>
          <w:sz w:val="21"/>
        </w:rPr>
        <w:t>Supplementary methods S1–S8; Tables S1–S12; Figures S1–S3.</w:t>
      </w:r>
    </w:p>
    <w:p w14:paraId="06F36FE5">
      <w:pPr>
        <w:pStyle w:val="3"/>
        <w:keepNext/>
        <w:keepLines w:val="0"/>
        <w:pageBreakBefore w:val="0"/>
        <w:widowControl/>
        <w:suppressLineNumbers/>
        <w:spacing w:before="120" w:after="40" w:line="276" w:lineRule="auto"/>
        <w:ind w:left="0" w:right="0" w:firstLine="0"/>
        <w:jc w:val="left"/>
      </w:pPr>
      <w:r>
        <w:rPr>
          <w:rFonts w:ascii="Times New Roman" w:hAnsi="Times New Roman" w:eastAsia="Times New Roman" w:cs="Times New Roman"/>
          <w:b/>
          <w:i w:val="0"/>
          <w:color w:val="000000"/>
          <w:sz w:val="24"/>
        </w:rPr>
        <w:t>Supplementary methods</w:t>
      </w:r>
    </w:p>
    <w:p w14:paraId="45259927">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S1. Data source, case retention and table linkage</w:t>
      </w:r>
    </w:p>
    <w:p w14:paraId="171D8589">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analysis used the harmonized source build faers_2026Q2_v1_1_lightweight_full_90q_20260803, completed on 3 August 2026. Its inventory covered 630 core files across 90 quarters (2004Q1–2026Q2), including 24,812,425 original demographic rows. The build applied 31 cumulative FDA deletion lists containing 229,233 distinct case identifiers and retained 20,588,504 valid case reports. All seven study-source Parquet files matched the accompanying SHA256 manifest. These checks verified the local source build; the study did not independently reconstruct every historical FDA release.</w:t>
      </w:r>
    </w:p>
    <w:p w14:paraId="7D2E5B1F">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Case retention prioritized the latest valid CASEVERSION. Ties were resolved by source quarter, FDA receipt date, primary report identifier and source-row order. The upstream audit found no severe key-conflict groups or deleted identifiers among retained cases. Historical missing case identifiers and unresolved drug-sequence orphans remained documented in the source metadata. Study-specific child-table joins required the retained case key, primary report identifier and source quarter, preventing the combination of drug and reaction records from different report versions.</w:t>
      </w:r>
    </w:p>
    <w:p w14:paraId="27F74EBA">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independent four-drug extraction identified 85,635 distinct reports in any drug role before study eligibility was applied. Report–drug and report–PT duplicates were collapsed within the retained snapshot. Each SMQ endpoint was the union of its qualifying PTs, counted once per report. Reports with different CASEIDs were not merged automatically because no validated cross-case duplicate classifier was available.</w:t>
      </w:r>
    </w:p>
    <w:p w14:paraId="5E0D028A">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S2. Drug identification and indication linkage</w:t>
      </w:r>
    </w:p>
    <w:p w14:paraId="19579921">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Case-insensitive searches combined the active-ingredient and reported-product fields using generic names, brands and development codes with letter-boundary checks. Ingredient-name matching captured salt forms. Table S1 lists the search concepts; observed-name mappings are included in Supplementary Code 1. Eight ruxolitinib secondary-suspect entries with blinded-treatment descriptors had initial receipt dates outside the study window and contributed to neither the primary nor expanded-role analysis.</w:t>
      </w:r>
    </w:p>
    <w:p w14:paraId="5661720E">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Topical ruxolitinib products were excluded using formulation identity. OPZELURA and explicit cream or ointment descriptors were excluded. JAKAFI/JAKAVI oral-brand identity took precedence over an inconsistent route field unless an explicit topical product descriptor created an identity conflict. Generic ruxolitinib with an explicit topical descriptor was excluded; unspecified route alone was retained. Momelotinib, fedratinib and pacritinib were retained on drug identity when route fields were inconsistent and received a quality flag.</w:t>
      </w:r>
    </w:p>
    <w:p w14:paraId="02E5F661">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This rule corrected an earlier implementation that had treated contradictory topical route codes as evidence of a topical product. The correction was made after initial estimates had been calculated, was recorded in 03_analysis/analysis_notes.md, and was followed by regeneration of study features and all estimates. Only the corrected FINAL_v2 result set is used here. The final cohort included 357 route-flagged ruxolitinib reports and 70 route-flagged pacritinib reports, with none for momelotinib or fedratinib. The route-quality sensitivity analysis excluded all flagged reports.</w:t>
      </w:r>
    </w:p>
    <w:p w14:paraId="03BE192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An INDI record had to link to the same eligible study-drug sequence and retained report snapshot. Accepted normalized indication strings were MYELOFIBROSIS and PRIMARY MYELOFIBROSIS. No additional explicit post-polycythemia-vera or post-essential-thrombocythemia MF wording was identified in the candidate-term audit. Broader myeloproliferative-neoplasm terms were not added by inference, and an MF indication assigned to another drug did not confer eligibility.</w:t>
      </w:r>
    </w:p>
    <w:p w14:paraId="2CDE127F">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S3. Receipt period, suspect roles and demographic variables</w:t>
      </w:r>
    </w:p>
    <w:p w14:paraId="200A10B6">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Primary eligibility used INIT_FDA_DT from 1 October 2023 through 30 June 2026. All 4,732 eligible reports had complete eight-digit initial receipt dates. The alternative source-quarter analysis used a different reporting frame and was treated as a sensitivity analysis. The adjusted-model quarter index ranged from 0 (2023Q4) to 10 (2026Q2). Source coverage extended through 2026Q2; low drug-specific counts in a quarter were not treated as evidence of an absent source release.</w:t>
      </w:r>
    </w:p>
    <w:p w14:paraId="002F631C">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Repeated eligible entries for a study drug were collapsed within reports. The primary comparison required exactly one eligible systemic PS study drug. In the PS+SS analysis, mutual exclusion was reapplied across both suspect roles. Before this expanded-role exclusion, otherwise eligible counts were 904 for momelotinib, 2,959 for ruxolitinib, 140 for fedratinib and 1,022 for pacritinib; 22, 50, seven and three reports, respectively, were excluded. Broader role eligibility can therefore yield fewer endpoint reports than the PS analysis and does not define a nested cohort.</w:t>
      </w:r>
    </w:p>
    <w:p w14:paraId="6A363724">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Interpretable age units (years, months, weeks, days, hours and decades) were converted to years. Values outside 0–120 years were treated as missing. Two reports with known ages below 18 years were excluded; unknown age was retained. Sex used explicit M/F coding, with the alternate gender field checked when the primary field was unavailable. Missing values were not imputed. Drug-specific completeness is shown in Table 1 and Figure S3.</w:t>
      </w:r>
    </w:p>
    <w:p w14:paraId="39B5A5B5">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S4. MedDRA queries and exploratory outcome definitions</w:t>
      </w:r>
    </w:p>
    <w:p w14:paraId="364D93D8">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primary endpoints used all active narrow-scope members of the official MedDRA 29.0 SMQs Acute renal failure (22 PTs) and Peripheral neuropathy (45 PTs). The broad queries contained 60 and 92 active PTs, respectively, including their narrow members. Current exact PT names were authoritative. An unambiguous exact LLT name could map to its version-29.0 PT; no fuzzy correction or outcome-directed addition was applied. Dictionary sources and derived membership files were hashed. The licensed full MedDRA distribution is not redistributed.</w:t>
      </w:r>
    </w:p>
    <w:p w14:paraId="0F87D7E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Three unmatched reaction strings occurred in the broader four-drug extraction. Only PARAINFLUENZAE VIRUS INFECTION occurred in the primary cohort, in one report. That report remained eligible, but the unmatched term was assigned to neither endpoint. Tables S2 and S3 retain every narrow-query member, including neonatal and other unobserved terms. A zero count does not change official query membership.</w:t>
      </w:r>
    </w:p>
    <w:p w14:paraId="5E24EAC4">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Exploratory definitions included the complete broad SMQs, the exact PTs Acute kidney injury and Neuropathy peripheral, and a custom renal-laboratory set comprising Blood creatinine increased, Blood urea increased, Glomerular filtration rate decreased and Creatinine renal clearance decreased. The laboratory set is not an official SMQ and contains coded reports rather than measured laboratory trajectories. None of these retrieval definitions establishes KDIGO-adjudicated AKI, baseline-referenced eGFR decline or electrophysiologically confirmed neuropathy.</w:t>
      </w:r>
    </w:p>
    <w:p w14:paraId="342FD599">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S5. Contingency tables, multiplicity and adjusted models</w:t>
      </w:r>
    </w:p>
    <w:p w14:paraId="342302F9">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For each comparison, a denotes momelotinib reports containing the endpoint, b the remaining momelotinib reports, c comparator reports containing the endpoint and d the remaining comparator reports. The reporting odds ratio is ROR = ad/(bc). For positive cells, SE[ln(ROR)] = sqrt(1/a + 1/b + 1/c + 1/d), and the 95% CI is exp[ln(ROR) ± 1.959964 × SE]. When an otherwise informative table contained a zero cell, 0.5 was added to all four cells for the ROR and CI only. Fisher tests used the original counts. If neither group contained the event, the ROR was reported as not estimable and P was set to 1.</w:t>
      </w:r>
    </w:p>
    <w:p w14:paraId="62B22A8E">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Multiplicity was handled in three distinct families: two co-primary Fisher tests with Holm adjustment; six individual-comparator Fisher tests with a separate Holm adjustment; and all 67 component PT tests with Benjamini–Hochberg adjustment. Unobserved PTs remained in the latter family with P = 1. All CIs were nominal. The five PTs displayed in Figure 3 were selected by the stated frequency rule, not by their P values, and were not treated as a separate testing family.</w:t>
      </w:r>
    </w:p>
    <w:p w14:paraId="1C1FF97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adjusted model was logit[P(endpoint-containing report)] = intercept + momelotinib indicator + linear receipt-quarter index + US-country indicator + two reporter-group indicators. Reference categories were pooled comparators, non-US country and HCP reporting. Non-HCP and unknown occupation had separate coefficients. There were no missing country values in the primary cohort. Both models included all 4,732 reports, with 127 renal-endpoint and 85 neuropathy-endpoint reports and six design columns including the intercept.</w:t>
      </w:r>
    </w:p>
    <w:p w14:paraId="4E7C7E4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Maximum-likelihood fits were checked for full rank, convergence, finite coefficients, extreme coefficient size, fitted probabilities and warnings. Both models converged with finite estimates; penalized regression was not used. The linear-quarter term imposed a parsimonious log-odds trend and cannot fully represent quarter-specific publicity or regulatory effects. Tables S6 and S7 provide all coefficients and diagnostics. Exponentiated intercepts are baseline odds, not RORs. No discrimination or calibration analysis was performed because these were reporting-association models rather than clinical prediction models.</w:t>
      </w:r>
    </w:p>
    <w:p w14:paraId="1FA7E72A">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S6. Sensitivity analyses and analysis availability</w:t>
      </w:r>
    </w:p>
    <w:p w14:paraId="5DF1B5E8">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Cohort sensitivity analyses changed suspect roles, reporter group, country, study-JAK co-reporting, indication restriction, calendar definition, age eligibility or route quality. HCP and US restrictions were applied to both momelotinib and comparator reports. The no-other-study-JAK analysis excluded any additional eligible systemic study JAK inhibitor recorded in any role; it does not establish monotherapy or JAK-inhibitor-naive treatment. The indication-unrestricted analysis retained the same four-drug universe rather than using an all-other-drug FAERS background.</w:t>
      </w:r>
    </w:p>
    <w:p w14:paraId="6A6317F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Exact PT, broad-SMQ and renal-laboratory analyses changed the outcome definition and are identified separately in Table S5 and Figure S1. Broad-neuropathy retrieval and the final route-quality comparison were documented exploratory additions. The complete estimates, raw counts and analysis-specific denominators are retained; these overlapping analyses are not independent validation cohorts.</w:t>
      </w:r>
    </w:p>
    <w:p w14:paraId="4E0845A1">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A spontaneous-only analysis could not be constructed. EXP, PER and DIR denote expedited, periodic and direct submission categories rather than verified solicited or spontaneous origin. Presence of a literature reference was not used as a substitute. Age-and-sex complete-case regression was not fitted because differential missingness would have removed a large and selected subset of reports. Analysis availability and the supporting-file locations are summarized in Table S12.</w:t>
      </w:r>
    </w:p>
    <w:p w14:paraId="5A7D5FD6">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S7. Event-date completeness, seriousness and endpoint overlap</w:t>
      </w:r>
    </w:p>
    <w:p w14:paraId="74A252D1">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Therapy records had to match the eligible study-drug sequence and retained snapshot. Identical complete start dates were collapsed. An evaluable interval required exactly one distinct complete valid start date and one complete report-level event date. Competing starts, invalid dates and negative intervals were excluded; partial dates were not imputed. Missing-start, competing-start and missing-event-date categories may overlap in Table S8. Medians and IQRs used the observed intervals and R type-7 quantiles.</w:t>
      </w:r>
    </w:p>
    <w:p w14:paraId="3126C80E">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event date pertains to the report and may not identify onset of the endpoint PT. Accordingly, the quantity is described as a reported treatment-start-to-event interval. There was no exposed time-at-risk denominator or event-free follow-up. No Kaplan–Meier, cumulative-incidence or Weibull model was estimated. Figure S2 shows date availability and the 19 individual renal-report intervals; the single neuropathy interval was not treated as a distribution.</w:t>
      </w:r>
    </w:p>
    <w:p w14:paraId="39837F73">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A serious report contained at least one OUTC code for death, a life-threatening event, hospitalization, disability, congenital anomaly, required intervention or another serious outcome. Categories could overlap. Tables S9 and S10 describe report-level outcomes and endpoint overlap. An absent code was not interpreted as confirmed absence of that outcome, and co-reporting was not used to infer event-attributable mortality or a combined renal–neurological syndrome.</w:t>
      </w:r>
    </w:p>
    <w:p w14:paraId="2BDE0557">
      <w:pPr>
        <w:pStyle w:val="4"/>
        <w:keepNext/>
        <w:keepLines w:val="0"/>
        <w:pageBreakBefore w:val="0"/>
        <w:widowControl/>
        <w:suppressLineNumbers/>
        <w:spacing w:before="60" w:after="40" w:line="276" w:lineRule="auto"/>
        <w:ind w:left="0" w:right="0" w:firstLine="0"/>
        <w:jc w:val="left"/>
      </w:pPr>
      <w:r>
        <w:rPr>
          <w:rFonts w:ascii="Times New Roman" w:hAnsi="Times New Roman" w:eastAsia="Times New Roman" w:cs="Times New Roman"/>
          <w:b/>
          <w:i w:val="0"/>
          <w:color w:val="000000"/>
          <w:sz w:val="22"/>
        </w:rPr>
        <w:t>S8. Reproducibility and supplementary file organization</w:t>
      </w:r>
    </w:p>
    <w:p w14:paraId="1F787890">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Supplementary Code 1 provides the extraction and endpoint-resolution scripts, statistical estimation, independent checks, complete aggregate outputs, plotting code, dated retrospective specification and implementation notes. Extraction used Python 3.12.14 and DuckDB 1.5.5; estimation used R 4.6.1. The revised figures use ggplot2 4.0.3 and patchwork 1.3.2. Session information is archived with the analysis and figure files. Independent Python calculations, including explicit hypergeometric probabilities, reproduced the primary contingency-table estimates; relative differences in Fisher probabilities were below 7 × 10</w:t>
      </w:r>
      <w:r>
        <w:rPr>
          <w:rFonts w:ascii="Times New Roman" w:hAnsi="Times New Roman" w:eastAsia="Times New Roman" w:cs="Times New Roman"/>
          <w:b w:val="0"/>
          <w:i w:val="0"/>
          <w:color w:val="000000"/>
          <w:sz w:val="22"/>
          <w:vertAlign w:val="superscript"/>
        </w:rPr>
        <w:t>−12</w:t>
      </w:r>
      <w:r>
        <w:rPr>
          <w:rFonts w:ascii="Times New Roman" w:hAnsi="Times New Roman" w:eastAsia="Times New Roman" w:cs="Times New Roman"/>
          <w:b w:val="0"/>
          <w:i w:val="0"/>
          <w:color w:val="000000"/>
          <w:sz w:val="22"/>
        </w:rPr>
        <w:t>.</w:t>
      </w:r>
    </w:p>
    <w:p w14:paraId="06E75EE4">
      <w:pPr>
        <w:keepNext w:val="0"/>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val="0"/>
          <w:i w:val="0"/>
          <w:color w:val="000000"/>
          <w:sz w:val="22"/>
        </w:rPr>
        <w:t>The scripts start from the documented harmonized Parquet schema after configuration of input paths. They do not reconstruct the entire upstream FDA raw-file cleaning process. Only provenance metadata and aggregate outputs are distributed: report-level extraction caches, record-containing model objects and the licensed full MedDRA files are excluded. Table S12 lists exact paths within the code archive. The revised figure-source files preserve both the original endpoint identifier and the display grouping, so exact-PT and broad-query analyses remain distinguishable from the narrow primary endpoints.</w:t>
      </w:r>
    </w:p>
    <w:p w14:paraId="7790DB31">
      <w:pPr>
        <w:sectPr>
          <w:footerReference r:id="rId5" w:type="default"/>
          <w:pgSz w:w="11906" w:h="16838"/>
          <w:pgMar w:top="1417" w:right="1417" w:bottom="1417" w:left="1417" w:header="567" w:footer="567" w:gutter="0"/>
          <w:cols w:space="720" w:num="1"/>
          <w:docGrid w:linePitch="360" w:charSpace="0"/>
        </w:sectPr>
      </w:pPr>
    </w:p>
    <w:p w14:paraId="2703158F">
      <w:pPr>
        <w:keepNext/>
        <w:keepLines w:val="0"/>
        <w:pageBreakBefore w:val="0"/>
        <w:widowControl/>
        <w:suppressLineNumbers/>
        <w:spacing w:before="0" w:after="100" w:line="276" w:lineRule="auto"/>
        <w:ind w:left="0" w:right="0" w:firstLine="0"/>
        <w:jc w:val="left"/>
      </w:pPr>
      <w:r>
        <w:rPr>
          <w:rFonts w:ascii="Times New Roman" w:hAnsi="Times New Roman" w:eastAsia="Times New Roman" w:cs="Times New Roman"/>
          <w:b/>
          <w:i w:val="0"/>
          <w:color w:val="000000"/>
          <w:sz w:val="22"/>
        </w:rPr>
        <w:t>Supplementary Table S1. Drug search concepts and indication eligibility</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2724"/>
        <w:gridCol w:w="6357"/>
        <w:gridCol w:w="6056"/>
      </w:tblGrid>
      <w:tr w14:paraId="4D7BF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2724" w:type="dxa"/>
            <w:tcBorders>
              <w:top w:val="single" w:color="000000" w:sz="8" w:space="0"/>
              <w:left w:val="nil"/>
              <w:bottom w:val="single" w:color="000000" w:sz="6" w:space="0"/>
              <w:right w:val="nil"/>
            </w:tcBorders>
            <w:shd w:val="clear" w:color="auto" w:fill="FFFFFF"/>
            <w:vAlign w:val="center"/>
          </w:tcPr>
          <w:p w14:paraId="08FC5EA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Drug</w:t>
            </w:r>
          </w:p>
        </w:tc>
        <w:tc>
          <w:tcPr>
            <w:tcW w:w="6357" w:type="dxa"/>
            <w:tcBorders>
              <w:top w:val="single" w:color="000000" w:sz="8" w:space="0"/>
              <w:left w:val="nil"/>
              <w:bottom w:val="single" w:color="000000" w:sz="6" w:space="0"/>
              <w:right w:val="nil"/>
            </w:tcBorders>
            <w:shd w:val="clear" w:color="auto" w:fill="FFFFFF"/>
            <w:vAlign w:val="center"/>
          </w:tcPr>
          <w:p w14:paraId="7871A85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Ingredient / development codes</w:t>
            </w:r>
          </w:p>
        </w:tc>
        <w:tc>
          <w:tcPr>
            <w:tcW w:w="6056" w:type="dxa"/>
            <w:tcBorders>
              <w:top w:val="single" w:color="000000" w:sz="8" w:space="0"/>
              <w:left w:val="nil"/>
              <w:bottom w:val="single" w:color="000000" w:sz="6" w:space="0"/>
              <w:right w:val="nil"/>
            </w:tcBorders>
            <w:shd w:val="clear" w:color="auto" w:fill="FFFFFF"/>
            <w:vAlign w:val="center"/>
          </w:tcPr>
          <w:p w14:paraId="30B0CB3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Brand names</w:t>
            </w:r>
          </w:p>
        </w:tc>
      </w:tr>
      <w:tr w14:paraId="55330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724" w:type="dxa"/>
            <w:tcBorders>
              <w:top w:val="nil"/>
              <w:left w:val="nil"/>
              <w:bottom w:val="nil"/>
              <w:right w:val="nil"/>
            </w:tcBorders>
            <w:shd w:val="clear" w:color="auto" w:fill="FFFFFF"/>
            <w:vAlign w:val="center"/>
          </w:tcPr>
          <w:p w14:paraId="31B6D6E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6357" w:type="dxa"/>
            <w:tcBorders>
              <w:top w:val="nil"/>
              <w:left w:val="nil"/>
              <w:bottom w:val="nil"/>
              <w:right w:val="nil"/>
            </w:tcBorders>
            <w:shd w:val="clear" w:color="auto" w:fill="FFFFFF"/>
            <w:vAlign w:val="center"/>
          </w:tcPr>
          <w:p w14:paraId="0E63AAC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MOMELOTINIB; CYT387; CYT-387</w:t>
            </w:r>
          </w:p>
        </w:tc>
        <w:tc>
          <w:tcPr>
            <w:tcW w:w="6056" w:type="dxa"/>
            <w:tcBorders>
              <w:top w:val="nil"/>
              <w:left w:val="nil"/>
              <w:bottom w:val="nil"/>
              <w:right w:val="nil"/>
            </w:tcBorders>
            <w:shd w:val="clear" w:color="auto" w:fill="FFFFFF"/>
            <w:vAlign w:val="center"/>
          </w:tcPr>
          <w:p w14:paraId="69E55B8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OJJAARA; OMJJARA</w:t>
            </w:r>
          </w:p>
        </w:tc>
      </w:tr>
      <w:tr w14:paraId="7DDF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724" w:type="dxa"/>
            <w:tcBorders>
              <w:top w:val="nil"/>
              <w:left w:val="nil"/>
              <w:bottom w:val="nil"/>
              <w:right w:val="nil"/>
            </w:tcBorders>
            <w:shd w:val="clear" w:color="auto" w:fill="FFFFFF"/>
            <w:vAlign w:val="center"/>
          </w:tcPr>
          <w:p w14:paraId="66E3E1F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6357" w:type="dxa"/>
            <w:tcBorders>
              <w:top w:val="nil"/>
              <w:left w:val="nil"/>
              <w:bottom w:val="nil"/>
              <w:right w:val="nil"/>
            </w:tcBorders>
            <w:shd w:val="clear" w:color="auto" w:fill="FFFFFF"/>
            <w:vAlign w:val="center"/>
          </w:tcPr>
          <w:p w14:paraId="0BE9A59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RUXOLITINIB; INC424; INC-424</w:t>
            </w:r>
          </w:p>
        </w:tc>
        <w:tc>
          <w:tcPr>
            <w:tcW w:w="6056" w:type="dxa"/>
            <w:tcBorders>
              <w:top w:val="nil"/>
              <w:left w:val="nil"/>
              <w:bottom w:val="nil"/>
              <w:right w:val="nil"/>
            </w:tcBorders>
            <w:shd w:val="clear" w:color="auto" w:fill="FFFFFF"/>
            <w:vAlign w:val="center"/>
          </w:tcPr>
          <w:p w14:paraId="33F5AF4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JAKAFI; JAKAVI; OPZELURA (topical exclusion)</w:t>
            </w:r>
          </w:p>
        </w:tc>
      </w:tr>
      <w:tr w14:paraId="04B75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724" w:type="dxa"/>
            <w:tcBorders>
              <w:top w:val="nil"/>
              <w:left w:val="nil"/>
              <w:bottom w:val="nil"/>
              <w:right w:val="nil"/>
            </w:tcBorders>
            <w:shd w:val="clear" w:color="auto" w:fill="FFFFFF"/>
            <w:vAlign w:val="center"/>
          </w:tcPr>
          <w:p w14:paraId="524BA2E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6357" w:type="dxa"/>
            <w:tcBorders>
              <w:top w:val="nil"/>
              <w:left w:val="nil"/>
              <w:bottom w:val="nil"/>
              <w:right w:val="nil"/>
            </w:tcBorders>
            <w:shd w:val="clear" w:color="auto" w:fill="FFFFFF"/>
            <w:vAlign w:val="center"/>
          </w:tcPr>
          <w:p w14:paraId="0F057A2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FEDRATINIB; SAR302503; TG101348 (optional hyphen/space)</w:t>
            </w:r>
          </w:p>
        </w:tc>
        <w:tc>
          <w:tcPr>
            <w:tcW w:w="6056" w:type="dxa"/>
            <w:tcBorders>
              <w:top w:val="nil"/>
              <w:left w:val="nil"/>
              <w:bottom w:val="nil"/>
              <w:right w:val="nil"/>
            </w:tcBorders>
            <w:shd w:val="clear" w:color="auto" w:fill="FFFFFF"/>
            <w:vAlign w:val="center"/>
          </w:tcPr>
          <w:p w14:paraId="0D6CE18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INREBIC</w:t>
            </w:r>
          </w:p>
        </w:tc>
      </w:tr>
      <w:tr w14:paraId="00FE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724" w:type="dxa"/>
            <w:tcBorders>
              <w:top w:val="nil"/>
              <w:left w:val="nil"/>
              <w:bottom w:val="single" w:color="000000" w:sz="8" w:space="0"/>
              <w:right w:val="nil"/>
            </w:tcBorders>
            <w:shd w:val="clear" w:color="auto" w:fill="FFFFFF"/>
            <w:vAlign w:val="center"/>
          </w:tcPr>
          <w:p w14:paraId="701FAEA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6357" w:type="dxa"/>
            <w:tcBorders>
              <w:top w:val="nil"/>
              <w:left w:val="nil"/>
              <w:bottom w:val="single" w:color="000000" w:sz="8" w:space="0"/>
              <w:right w:val="nil"/>
            </w:tcBorders>
            <w:shd w:val="clear" w:color="auto" w:fill="FFFFFF"/>
            <w:vAlign w:val="center"/>
          </w:tcPr>
          <w:p w14:paraId="4D60F0F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PACRITINIB; SB1518 (optional hyphen/space)</w:t>
            </w:r>
          </w:p>
        </w:tc>
        <w:tc>
          <w:tcPr>
            <w:tcW w:w="6056" w:type="dxa"/>
            <w:tcBorders>
              <w:top w:val="nil"/>
              <w:left w:val="nil"/>
              <w:bottom w:val="single" w:color="000000" w:sz="8" w:space="0"/>
              <w:right w:val="nil"/>
            </w:tcBorders>
            <w:shd w:val="clear" w:color="auto" w:fill="FFFFFF"/>
            <w:vAlign w:val="center"/>
          </w:tcPr>
          <w:p w14:paraId="52EC1DD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VONJO</w:t>
            </w:r>
          </w:p>
        </w:tc>
      </w:tr>
    </w:tbl>
    <w:p w14:paraId="5FAC830C">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Names were searched with case-insensitive letter-boundary patterns in active-ingredient and product-name fields. All four groups require the exact normalized indication MYELOFIBROSIS or PRIMARY MYELOFIBROSIS on the eligible drug sequence. Formulation logic and contradictory-route handling are described in Supplementary Methods S2; brand identity is not inferred from another drug in the same report.</w:t>
      </w:r>
    </w:p>
    <w:p w14:paraId="1AE852E3">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S2. Complete component terms: Acute renal failure (narrow)</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4389"/>
        <w:gridCol w:w="1513"/>
        <w:gridCol w:w="1362"/>
        <w:gridCol w:w="1362"/>
        <w:gridCol w:w="3178"/>
        <w:gridCol w:w="1665"/>
        <w:gridCol w:w="1668"/>
      </w:tblGrid>
      <w:tr w14:paraId="5113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4389" w:type="dxa"/>
            <w:tcBorders>
              <w:top w:val="single" w:color="000000" w:sz="8" w:space="0"/>
              <w:left w:val="nil"/>
              <w:bottom w:val="single" w:color="000000" w:sz="6" w:space="0"/>
              <w:right w:val="nil"/>
            </w:tcBorders>
            <w:shd w:val="clear" w:color="auto" w:fill="FFFFFF"/>
            <w:vAlign w:val="center"/>
          </w:tcPr>
          <w:p w14:paraId="351C875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Preferred Term</w:t>
            </w:r>
          </w:p>
        </w:tc>
        <w:tc>
          <w:tcPr>
            <w:tcW w:w="1513" w:type="dxa"/>
            <w:tcBorders>
              <w:top w:val="single" w:color="000000" w:sz="8" w:space="0"/>
              <w:left w:val="nil"/>
              <w:bottom w:val="single" w:color="000000" w:sz="6" w:space="0"/>
              <w:right w:val="nil"/>
            </w:tcBorders>
            <w:shd w:val="clear" w:color="auto" w:fill="FFFFFF"/>
            <w:vAlign w:val="center"/>
          </w:tcPr>
          <w:p w14:paraId="06BC718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PT code</w:t>
            </w:r>
          </w:p>
        </w:tc>
        <w:tc>
          <w:tcPr>
            <w:tcW w:w="1362" w:type="dxa"/>
            <w:tcBorders>
              <w:top w:val="single" w:color="000000" w:sz="8" w:space="0"/>
              <w:left w:val="nil"/>
              <w:bottom w:val="single" w:color="000000" w:sz="6" w:space="0"/>
              <w:right w:val="nil"/>
            </w:tcBorders>
            <w:shd w:val="clear" w:color="auto" w:fill="FFFFFF"/>
            <w:vAlign w:val="center"/>
          </w:tcPr>
          <w:p w14:paraId="1C792E1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Momelotinib n</w:t>
            </w:r>
          </w:p>
        </w:tc>
        <w:tc>
          <w:tcPr>
            <w:tcW w:w="1362" w:type="dxa"/>
            <w:tcBorders>
              <w:top w:val="single" w:color="000000" w:sz="8" w:space="0"/>
              <w:left w:val="nil"/>
              <w:bottom w:val="single" w:color="000000" w:sz="6" w:space="0"/>
              <w:right w:val="nil"/>
            </w:tcBorders>
            <w:shd w:val="clear" w:color="auto" w:fill="FFFFFF"/>
            <w:vAlign w:val="center"/>
          </w:tcPr>
          <w:p w14:paraId="2297500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Comparator n</w:t>
            </w:r>
          </w:p>
        </w:tc>
        <w:tc>
          <w:tcPr>
            <w:tcW w:w="3178" w:type="dxa"/>
            <w:tcBorders>
              <w:top w:val="single" w:color="000000" w:sz="8" w:space="0"/>
              <w:left w:val="nil"/>
              <w:bottom w:val="single" w:color="000000" w:sz="6" w:space="0"/>
              <w:right w:val="nil"/>
            </w:tcBorders>
            <w:shd w:val="clear" w:color="auto" w:fill="FFFFFF"/>
            <w:vAlign w:val="center"/>
          </w:tcPr>
          <w:p w14:paraId="25432DC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ROR (95% CI)</w:t>
            </w:r>
          </w:p>
        </w:tc>
        <w:tc>
          <w:tcPr>
            <w:tcW w:w="1665" w:type="dxa"/>
            <w:tcBorders>
              <w:top w:val="single" w:color="000000" w:sz="8" w:space="0"/>
              <w:left w:val="nil"/>
              <w:bottom w:val="single" w:color="000000" w:sz="6" w:space="0"/>
              <w:right w:val="nil"/>
            </w:tcBorders>
            <w:shd w:val="clear" w:color="auto" w:fill="FFFFFF"/>
            <w:vAlign w:val="center"/>
          </w:tcPr>
          <w:p w14:paraId="73E3D46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Fisher P</w:t>
            </w:r>
          </w:p>
        </w:tc>
        <w:tc>
          <w:tcPr>
            <w:tcW w:w="1668" w:type="dxa"/>
            <w:tcBorders>
              <w:top w:val="single" w:color="000000" w:sz="8" w:space="0"/>
              <w:left w:val="nil"/>
              <w:bottom w:val="single" w:color="000000" w:sz="6" w:space="0"/>
              <w:right w:val="nil"/>
            </w:tcBorders>
            <w:shd w:val="clear" w:color="auto" w:fill="FFFFFF"/>
            <w:vAlign w:val="center"/>
          </w:tcPr>
          <w:p w14:paraId="24DD881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BH-adjusted P</w:t>
            </w:r>
          </w:p>
        </w:tc>
      </w:tr>
      <w:tr w14:paraId="4CFD1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16C3456">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Anuria</w:t>
            </w:r>
          </w:p>
        </w:tc>
        <w:tc>
          <w:tcPr>
            <w:tcW w:w="1513" w:type="dxa"/>
            <w:tcBorders>
              <w:top w:val="nil"/>
              <w:left w:val="nil"/>
              <w:bottom w:val="nil"/>
              <w:right w:val="nil"/>
            </w:tcBorders>
            <w:shd w:val="clear" w:color="auto" w:fill="FFFFFF"/>
            <w:vAlign w:val="center"/>
          </w:tcPr>
          <w:p w14:paraId="65F53C7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10002847</w:t>
            </w:r>
          </w:p>
        </w:tc>
        <w:tc>
          <w:tcPr>
            <w:tcW w:w="1362" w:type="dxa"/>
            <w:tcBorders>
              <w:top w:val="nil"/>
              <w:left w:val="nil"/>
              <w:bottom w:val="nil"/>
              <w:right w:val="nil"/>
            </w:tcBorders>
            <w:shd w:val="clear" w:color="auto" w:fill="FFFFFF"/>
            <w:vAlign w:val="center"/>
          </w:tcPr>
          <w:p w14:paraId="32B83E6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3DC1F7E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223208D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0D05247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3BF69D2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04D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7A1C5D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Azotaemia</w:t>
            </w:r>
          </w:p>
        </w:tc>
        <w:tc>
          <w:tcPr>
            <w:tcW w:w="1513" w:type="dxa"/>
            <w:tcBorders>
              <w:top w:val="nil"/>
              <w:left w:val="nil"/>
              <w:bottom w:val="nil"/>
              <w:right w:val="nil"/>
            </w:tcBorders>
            <w:shd w:val="clear" w:color="auto" w:fill="FFFFFF"/>
            <w:vAlign w:val="center"/>
          </w:tcPr>
          <w:p w14:paraId="7DE4720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10003885</w:t>
            </w:r>
          </w:p>
        </w:tc>
        <w:tc>
          <w:tcPr>
            <w:tcW w:w="1362" w:type="dxa"/>
            <w:tcBorders>
              <w:top w:val="nil"/>
              <w:left w:val="nil"/>
              <w:bottom w:val="nil"/>
              <w:right w:val="nil"/>
            </w:tcBorders>
            <w:shd w:val="clear" w:color="auto" w:fill="FFFFFF"/>
            <w:vAlign w:val="center"/>
          </w:tcPr>
          <w:p w14:paraId="1C29269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9C2D4C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3C00F83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23DC801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5AC020D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9CFA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09D811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Haemodialysis</w:t>
            </w:r>
          </w:p>
        </w:tc>
        <w:tc>
          <w:tcPr>
            <w:tcW w:w="1513" w:type="dxa"/>
            <w:tcBorders>
              <w:top w:val="nil"/>
              <w:left w:val="nil"/>
              <w:bottom w:val="nil"/>
              <w:right w:val="nil"/>
            </w:tcBorders>
            <w:shd w:val="clear" w:color="auto" w:fill="FFFFFF"/>
            <w:vAlign w:val="center"/>
          </w:tcPr>
          <w:p w14:paraId="1DBD471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10018875</w:t>
            </w:r>
          </w:p>
        </w:tc>
        <w:tc>
          <w:tcPr>
            <w:tcW w:w="1362" w:type="dxa"/>
            <w:tcBorders>
              <w:top w:val="nil"/>
              <w:left w:val="nil"/>
              <w:bottom w:val="nil"/>
              <w:right w:val="nil"/>
            </w:tcBorders>
            <w:shd w:val="clear" w:color="auto" w:fill="FFFFFF"/>
            <w:vAlign w:val="center"/>
          </w:tcPr>
          <w:p w14:paraId="2C4A4CA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CC8D34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EBF612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853522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E1F4AC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B35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C1D9A8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Nephropathy toxic</w:t>
            </w:r>
          </w:p>
        </w:tc>
        <w:tc>
          <w:tcPr>
            <w:tcW w:w="1513" w:type="dxa"/>
            <w:tcBorders>
              <w:top w:val="nil"/>
              <w:left w:val="nil"/>
              <w:bottom w:val="nil"/>
              <w:right w:val="nil"/>
            </w:tcBorders>
            <w:shd w:val="clear" w:color="auto" w:fill="FFFFFF"/>
            <w:vAlign w:val="center"/>
          </w:tcPr>
          <w:p w14:paraId="60724DC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10029155</w:t>
            </w:r>
          </w:p>
        </w:tc>
        <w:tc>
          <w:tcPr>
            <w:tcW w:w="1362" w:type="dxa"/>
            <w:tcBorders>
              <w:top w:val="nil"/>
              <w:left w:val="nil"/>
              <w:bottom w:val="nil"/>
              <w:right w:val="nil"/>
            </w:tcBorders>
            <w:shd w:val="clear" w:color="auto" w:fill="FFFFFF"/>
            <w:vAlign w:val="center"/>
          </w:tcPr>
          <w:p w14:paraId="4048BDA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624BA12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02FDAC5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4.43 (0.28–70.90)</w:t>
            </w:r>
          </w:p>
        </w:tc>
        <w:tc>
          <w:tcPr>
            <w:tcW w:w="1665" w:type="dxa"/>
            <w:tcBorders>
              <w:top w:val="nil"/>
              <w:left w:val="nil"/>
              <w:bottom w:val="nil"/>
              <w:right w:val="nil"/>
            </w:tcBorders>
            <w:shd w:val="clear" w:color="auto" w:fill="FFFFFF"/>
            <w:vAlign w:val="center"/>
          </w:tcPr>
          <w:p w14:paraId="55B52A1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0.335</w:t>
            </w:r>
          </w:p>
        </w:tc>
        <w:tc>
          <w:tcPr>
            <w:tcW w:w="1668" w:type="dxa"/>
            <w:tcBorders>
              <w:top w:val="nil"/>
              <w:left w:val="nil"/>
              <w:bottom w:val="nil"/>
              <w:right w:val="nil"/>
            </w:tcBorders>
            <w:shd w:val="clear" w:color="auto" w:fill="FFFFFF"/>
            <w:vAlign w:val="center"/>
          </w:tcPr>
          <w:p w14:paraId="1C32CD0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775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DF5841A">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Oliguria</w:t>
            </w:r>
          </w:p>
        </w:tc>
        <w:tc>
          <w:tcPr>
            <w:tcW w:w="1513" w:type="dxa"/>
            <w:tcBorders>
              <w:top w:val="nil"/>
              <w:left w:val="nil"/>
              <w:bottom w:val="nil"/>
              <w:right w:val="nil"/>
            </w:tcBorders>
            <w:shd w:val="clear" w:color="auto" w:fill="FFFFFF"/>
            <w:vAlign w:val="center"/>
          </w:tcPr>
          <w:p w14:paraId="1704859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10030302</w:t>
            </w:r>
          </w:p>
        </w:tc>
        <w:tc>
          <w:tcPr>
            <w:tcW w:w="1362" w:type="dxa"/>
            <w:tcBorders>
              <w:top w:val="nil"/>
              <w:left w:val="nil"/>
              <w:bottom w:val="nil"/>
              <w:right w:val="nil"/>
            </w:tcBorders>
            <w:shd w:val="clear" w:color="auto" w:fill="FFFFFF"/>
            <w:vAlign w:val="center"/>
          </w:tcPr>
          <w:p w14:paraId="16373C5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D09F89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388762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E842E4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829998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A4F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F4EFDBB">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Peritoneal dialysis</w:t>
            </w:r>
          </w:p>
        </w:tc>
        <w:tc>
          <w:tcPr>
            <w:tcW w:w="1513" w:type="dxa"/>
            <w:tcBorders>
              <w:top w:val="nil"/>
              <w:left w:val="nil"/>
              <w:bottom w:val="nil"/>
              <w:right w:val="nil"/>
            </w:tcBorders>
            <w:shd w:val="clear" w:color="auto" w:fill="FFFFFF"/>
            <w:vAlign w:val="center"/>
          </w:tcPr>
          <w:p w14:paraId="42E046C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10034660</w:t>
            </w:r>
          </w:p>
        </w:tc>
        <w:tc>
          <w:tcPr>
            <w:tcW w:w="1362" w:type="dxa"/>
            <w:tcBorders>
              <w:top w:val="nil"/>
              <w:left w:val="nil"/>
              <w:bottom w:val="nil"/>
              <w:right w:val="nil"/>
            </w:tcBorders>
            <w:shd w:val="clear" w:color="auto" w:fill="FFFFFF"/>
            <w:vAlign w:val="center"/>
          </w:tcPr>
          <w:p w14:paraId="5265C3E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F96D9F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F81456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696CCA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49381F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6FD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68C967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Renal failure</w:t>
            </w:r>
          </w:p>
        </w:tc>
        <w:tc>
          <w:tcPr>
            <w:tcW w:w="1513" w:type="dxa"/>
            <w:tcBorders>
              <w:top w:val="nil"/>
              <w:left w:val="nil"/>
              <w:bottom w:val="nil"/>
              <w:right w:val="nil"/>
            </w:tcBorders>
            <w:shd w:val="clear" w:color="auto" w:fill="FFFFFF"/>
            <w:vAlign w:val="center"/>
          </w:tcPr>
          <w:p w14:paraId="35DD498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10038435</w:t>
            </w:r>
          </w:p>
        </w:tc>
        <w:tc>
          <w:tcPr>
            <w:tcW w:w="1362" w:type="dxa"/>
            <w:tcBorders>
              <w:top w:val="nil"/>
              <w:left w:val="nil"/>
              <w:bottom w:val="nil"/>
              <w:right w:val="nil"/>
            </w:tcBorders>
            <w:shd w:val="clear" w:color="auto" w:fill="FFFFFF"/>
            <w:vAlign w:val="center"/>
          </w:tcPr>
          <w:p w14:paraId="0D5650C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w:t>
            </w:r>
          </w:p>
        </w:tc>
        <w:tc>
          <w:tcPr>
            <w:tcW w:w="1362" w:type="dxa"/>
            <w:tcBorders>
              <w:top w:val="nil"/>
              <w:left w:val="nil"/>
              <w:bottom w:val="nil"/>
              <w:right w:val="nil"/>
            </w:tcBorders>
            <w:shd w:val="clear" w:color="auto" w:fill="FFFFFF"/>
            <w:vAlign w:val="center"/>
          </w:tcPr>
          <w:p w14:paraId="5638635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w:t>
            </w:r>
          </w:p>
        </w:tc>
        <w:tc>
          <w:tcPr>
            <w:tcW w:w="3178" w:type="dxa"/>
            <w:tcBorders>
              <w:top w:val="nil"/>
              <w:left w:val="nil"/>
              <w:bottom w:val="nil"/>
              <w:right w:val="nil"/>
            </w:tcBorders>
            <w:shd w:val="clear" w:color="auto" w:fill="FFFFFF"/>
            <w:vAlign w:val="center"/>
          </w:tcPr>
          <w:p w14:paraId="01D3124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3.13 (1.58–6.23)</w:t>
            </w:r>
          </w:p>
        </w:tc>
        <w:tc>
          <w:tcPr>
            <w:tcW w:w="1665" w:type="dxa"/>
            <w:tcBorders>
              <w:top w:val="nil"/>
              <w:left w:val="nil"/>
              <w:bottom w:val="nil"/>
              <w:right w:val="nil"/>
            </w:tcBorders>
            <w:shd w:val="clear" w:color="auto" w:fill="FFFFFF"/>
            <w:vAlign w:val="center"/>
          </w:tcPr>
          <w:p w14:paraId="7391CF8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0.003</w:t>
            </w:r>
          </w:p>
        </w:tc>
        <w:tc>
          <w:tcPr>
            <w:tcW w:w="1668" w:type="dxa"/>
            <w:tcBorders>
              <w:top w:val="nil"/>
              <w:left w:val="nil"/>
              <w:bottom w:val="nil"/>
              <w:right w:val="nil"/>
            </w:tcBorders>
            <w:shd w:val="clear" w:color="auto" w:fill="FFFFFF"/>
            <w:vAlign w:val="center"/>
          </w:tcPr>
          <w:p w14:paraId="1A9F8BA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0.044</w:t>
            </w:r>
          </w:p>
        </w:tc>
      </w:tr>
      <w:tr w14:paraId="517DA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0B4A79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Renal failure neonatal</w:t>
            </w:r>
          </w:p>
        </w:tc>
        <w:tc>
          <w:tcPr>
            <w:tcW w:w="1513" w:type="dxa"/>
            <w:tcBorders>
              <w:top w:val="nil"/>
              <w:left w:val="nil"/>
              <w:bottom w:val="nil"/>
              <w:right w:val="nil"/>
            </w:tcBorders>
            <w:shd w:val="clear" w:color="auto" w:fill="FFFFFF"/>
            <w:vAlign w:val="center"/>
          </w:tcPr>
          <w:p w14:paraId="3FC872E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10038447</w:t>
            </w:r>
          </w:p>
        </w:tc>
        <w:tc>
          <w:tcPr>
            <w:tcW w:w="1362" w:type="dxa"/>
            <w:tcBorders>
              <w:top w:val="nil"/>
              <w:left w:val="nil"/>
              <w:bottom w:val="nil"/>
              <w:right w:val="nil"/>
            </w:tcBorders>
            <w:shd w:val="clear" w:color="auto" w:fill="FFFFFF"/>
            <w:vAlign w:val="center"/>
          </w:tcPr>
          <w:p w14:paraId="25BC4C9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7E9EB3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2061A4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24330B5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CB743F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8BD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6CBF63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Renal impairment neonatal</w:t>
            </w:r>
          </w:p>
        </w:tc>
        <w:tc>
          <w:tcPr>
            <w:tcW w:w="1513" w:type="dxa"/>
            <w:tcBorders>
              <w:top w:val="nil"/>
              <w:left w:val="nil"/>
              <w:bottom w:val="nil"/>
              <w:right w:val="nil"/>
            </w:tcBorders>
            <w:shd w:val="clear" w:color="auto" w:fill="FFFFFF"/>
            <w:vAlign w:val="center"/>
          </w:tcPr>
          <w:p w14:paraId="558AA6D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10049776</w:t>
            </w:r>
          </w:p>
        </w:tc>
        <w:tc>
          <w:tcPr>
            <w:tcW w:w="1362" w:type="dxa"/>
            <w:tcBorders>
              <w:top w:val="nil"/>
              <w:left w:val="nil"/>
              <w:bottom w:val="nil"/>
              <w:right w:val="nil"/>
            </w:tcBorders>
            <w:shd w:val="clear" w:color="auto" w:fill="FFFFFF"/>
            <w:vAlign w:val="center"/>
          </w:tcPr>
          <w:p w14:paraId="31FA4F3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B91584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21586E3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16C8BB5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310ECD3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2806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7964ED5">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Neonatal anuria</w:t>
            </w:r>
          </w:p>
        </w:tc>
        <w:tc>
          <w:tcPr>
            <w:tcW w:w="1513" w:type="dxa"/>
            <w:tcBorders>
              <w:top w:val="nil"/>
              <w:left w:val="nil"/>
              <w:bottom w:val="nil"/>
              <w:right w:val="nil"/>
            </w:tcBorders>
            <w:shd w:val="clear" w:color="auto" w:fill="FFFFFF"/>
            <w:vAlign w:val="center"/>
          </w:tcPr>
          <w:p w14:paraId="27D9A6F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10049778</w:t>
            </w:r>
          </w:p>
        </w:tc>
        <w:tc>
          <w:tcPr>
            <w:tcW w:w="1362" w:type="dxa"/>
            <w:tcBorders>
              <w:top w:val="nil"/>
              <w:left w:val="nil"/>
              <w:bottom w:val="nil"/>
              <w:right w:val="nil"/>
            </w:tcBorders>
            <w:shd w:val="clear" w:color="auto" w:fill="FFFFFF"/>
            <w:vAlign w:val="center"/>
          </w:tcPr>
          <w:p w14:paraId="71A878E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3AFEC57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1AE58DA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2F8CAEA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C4B6AE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1AF1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BE78A3B">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Haemofiltration</w:t>
            </w:r>
          </w:p>
        </w:tc>
        <w:tc>
          <w:tcPr>
            <w:tcW w:w="1513" w:type="dxa"/>
            <w:tcBorders>
              <w:top w:val="nil"/>
              <w:left w:val="nil"/>
              <w:bottom w:val="nil"/>
              <w:right w:val="nil"/>
            </w:tcBorders>
            <w:shd w:val="clear" w:color="auto" w:fill="FFFFFF"/>
            <w:vAlign w:val="center"/>
          </w:tcPr>
          <w:p w14:paraId="4E1ACCE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10053090</w:t>
            </w:r>
          </w:p>
        </w:tc>
        <w:tc>
          <w:tcPr>
            <w:tcW w:w="1362" w:type="dxa"/>
            <w:tcBorders>
              <w:top w:val="nil"/>
              <w:left w:val="nil"/>
              <w:bottom w:val="nil"/>
              <w:right w:val="nil"/>
            </w:tcBorders>
            <w:shd w:val="clear" w:color="auto" w:fill="FFFFFF"/>
            <w:vAlign w:val="center"/>
          </w:tcPr>
          <w:p w14:paraId="6A9A0C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0D7F7F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71309F2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2C35BAB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94908E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81A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01E201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Dialysis</w:t>
            </w:r>
          </w:p>
        </w:tc>
        <w:tc>
          <w:tcPr>
            <w:tcW w:w="1513" w:type="dxa"/>
            <w:tcBorders>
              <w:top w:val="nil"/>
              <w:left w:val="nil"/>
              <w:bottom w:val="nil"/>
              <w:right w:val="nil"/>
            </w:tcBorders>
            <w:shd w:val="clear" w:color="auto" w:fill="FFFFFF"/>
            <w:vAlign w:val="center"/>
          </w:tcPr>
          <w:p w14:paraId="1D19DA8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10061105</w:t>
            </w:r>
          </w:p>
        </w:tc>
        <w:tc>
          <w:tcPr>
            <w:tcW w:w="1362" w:type="dxa"/>
            <w:tcBorders>
              <w:top w:val="nil"/>
              <w:left w:val="nil"/>
              <w:bottom w:val="nil"/>
              <w:right w:val="nil"/>
            </w:tcBorders>
            <w:shd w:val="clear" w:color="auto" w:fill="FFFFFF"/>
            <w:vAlign w:val="center"/>
          </w:tcPr>
          <w:p w14:paraId="6BC649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0EE2C55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D17C54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13.29 (0.54–326.49)†</w:t>
            </w:r>
          </w:p>
        </w:tc>
        <w:tc>
          <w:tcPr>
            <w:tcW w:w="1665" w:type="dxa"/>
            <w:tcBorders>
              <w:top w:val="nil"/>
              <w:left w:val="nil"/>
              <w:bottom w:val="nil"/>
              <w:right w:val="nil"/>
            </w:tcBorders>
            <w:shd w:val="clear" w:color="auto" w:fill="FFFFFF"/>
            <w:vAlign w:val="center"/>
          </w:tcPr>
          <w:p w14:paraId="394D0E3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0.184</w:t>
            </w:r>
          </w:p>
        </w:tc>
        <w:tc>
          <w:tcPr>
            <w:tcW w:w="1668" w:type="dxa"/>
            <w:tcBorders>
              <w:top w:val="nil"/>
              <w:left w:val="nil"/>
              <w:bottom w:val="nil"/>
              <w:right w:val="nil"/>
            </w:tcBorders>
            <w:shd w:val="clear" w:color="auto" w:fill="FFFFFF"/>
            <w:vAlign w:val="center"/>
          </w:tcPr>
          <w:p w14:paraId="74531F8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9AD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158327B">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Renal impairment</w:t>
            </w:r>
          </w:p>
        </w:tc>
        <w:tc>
          <w:tcPr>
            <w:tcW w:w="1513" w:type="dxa"/>
            <w:tcBorders>
              <w:top w:val="nil"/>
              <w:left w:val="nil"/>
              <w:bottom w:val="nil"/>
              <w:right w:val="nil"/>
            </w:tcBorders>
            <w:shd w:val="clear" w:color="auto" w:fill="FFFFFF"/>
            <w:vAlign w:val="center"/>
          </w:tcPr>
          <w:p w14:paraId="03461B6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10062237</w:t>
            </w:r>
          </w:p>
        </w:tc>
        <w:tc>
          <w:tcPr>
            <w:tcW w:w="1362" w:type="dxa"/>
            <w:tcBorders>
              <w:top w:val="nil"/>
              <w:left w:val="nil"/>
              <w:bottom w:val="nil"/>
              <w:right w:val="nil"/>
            </w:tcBorders>
            <w:shd w:val="clear" w:color="auto" w:fill="FFFFFF"/>
            <w:vAlign w:val="center"/>
          </w:tcPr>
          <w:p w14:paraId="56A907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31</w:t>
            </w:r>
          </w:p>
        </w:tc>
        <w:tc>
          <w:tcPr>
            <w:tcW w:w="1362" w:type="dxa"/>
            <w:tcBorders>
              <w:top w:val="nil"/>
              <w:left w:val="nil"/>
              <w:bottom w:val="nil"/>
              <w:right w:val="nil"/>
            </w:tcBorders>
            <w:shd w:val="clear" w:color="auto" w:fill="FFFFFF"/>
            <w:vAlign w:val="center"/>
          </w:tcPr>
          <w:p w14:paraId="4045686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15</w:t>
            </w:r>
          </w:p>
        </w:tc>
        <w:tc>
          <w:tcPr>
            <w:tcW w:w="3178" w:type="dxa"/>
            <w:tcBorders>
              <w:top w:val="nil"/>
              <w:left w:val="nil"/>
              <w:bottom w:val="nil"/>
              <w:right w:val="nil"/>
            </w:tcBorders>
            <w:shd w:val="clear" w:color="auto" w:fill="FFFFFF"/>
            <w:vAlign w:val="center"/>
          </w:tcPr>
          <w:p w14:paraId="1545284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9.45 (5.08–17.58)</w:t>
            </w:r>
          </w:p>
        </w:tc>
        <w:tc>
          <w:tcPr>
            <w:tcW w:w="1665" w:type="dxa"/>
            <w:tcBorders>
              <w:top w:val="nil"/>
              <w:left w:val="nil"/>
              <w:bottom w:val="nil"/>
              <w:right w:val="nil"/>
            </w:tcBorders>
            <w:shd w:val="clear" w:color="auto" w:fill="FFFFFF"/>
            <w:vAlign w:val="center"/>
          </w:tcPr>
          <w:p w14:paraId="677E362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3.22e-13</w:t>
            </w:r>
          </w:p>
        </w:tc>
        <w:tc>
          <w:tcPr>
            <w:tcW w:w="1668" w:type="dxa"/>
            <w:tcBorders>
              <w:top w:val="nil"/>
              <w:left w:val="nil"/>
              <w:bottom w:val="nil"/>
              <w:right w:val="nil"/>
            </w:tcBorders>
            <w:shd w:val="clear" w:color="auto" w:fill="FFFFFF"/>
            <w:vAlign w:val="center"/>
          </w:tcPr>
          <w:p w14:paraId="5E84D3B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2.16e-11</w:t>
            </w:r>
          </w:p>
        </w:tc>
      </w:tr>
      <w:tr w14:paraId="45C06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FABA31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Continuous haemodiafiltration</w:t>
            </w:r>
          </w:p>
        </w:tc>
        <w:tc>
          <w:tcPr>
            <w:tcW w:w="1513" w:type="dxa"/>
            <w:tcBorders>
              <w:top w:val="nil"/>
              <w:left w:val="nil"/>
              <w:bottom w:val="nil"/>
              <w:right w:val="nil"/>
            </w:tcBorders>
            <w:shd w:val="clear" w:color="auto" w:fill="FFFFFF"/>
            <w:vAlign w:val="center"/>
          </w:tcPr>
          <w:p w14:paraId="45975CB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10066338</w:t>
            </w:r>
          </w:p>
        </w:tc>
        <w:tc>
          <w:tcPr>
            <w:tcW w:w="1362" w:type="dxa"/>
            <w:tcBorders>
              <w:top w:val="nil"/>
              <w:left w:val="nil"/>
              <w:bottom w:val="nil"/>
              <w:right w:val="nil"/>
            </w:tcBorders>
            <w:shd w:val="clear" w:color="auto" w:fill="FFFFFF"/>
            <w:vAlign w:val="center"/>
          </w:tcPr>
          <w:p w14:paraId="2E198CF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A93A13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8B1ADA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7E5A6D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3B0C20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0AA5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34E330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kidney injury</w:t>
            </w:r>
          </w:p>
        </w:tc>
        <w:tc>
          <w:tcPr>
            <w:tcW w:w="1513" w:type="dxa"/>
            <w:tcBorders>
              <w:top w:val="nil"/>
              <w:left w:val="nil"/>
              <w:bottom w:val="nil"/>
              <w:right w:val="nil"/>
            </w:tcBorders>
            <w:shd w:val="clear" w:color="auto" w:fill="FFFFFF"/>
            <w:vAlign w:val="center"/>
          </w:tcPr>
          <w:p w14:paraId="0EA8BDC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10069339</w:t>
            </w:r>
          </w:p>
        </w:tc>
        <w:tc>
          <w:tcPr>
            <w:tcW w:w="1362" w:type="dxa"/>
            <w:tcBorders>
              <w:top w:val="nil"/>
              <w:left w:val="nil"/>
              <w:bottom w:val="nil"/>
              <w:right w:val="nil"/>
            </w:tcBorders>
            <w:shd w:val="clear" w:color="auto" w:fill="FFFFFF"/>
            <w:vAlign w:val="center"/>
          </w:tcPr>
          <w:p w14:paraId="4680106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21</w:t>
            </w:r>
          </w:p>
        </w:tc>
        <w:tc>
          <w:tcPr>
            <w:tcW w:w="1362" w:type="dxa"/>
            <w:tcBorders>
              <w:top w:val="nil"/>
              <w:left w:val="nil"/>
              <w:bottom w:val="nil"/>
              <w:right w:val="nil"/>
            </w:tcBorders>
            <w:shd w:val="clear" w:color="auto" w:fill="FFFFFF"/>
            <w:vAlign w:val="center"/>
          </w:tcPr>
          <w:p w14:paraId="375B13D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w:t>
            </w:r>
          </w:p>
        </w:tc>
        <w:tc>
          <w:tcPr>
            <w:tcW w:w="3178" w:type="dxa"/>
            <w:tcBorders>
              <w:top w:val="nil"/>
              <w:left w:val="nil"/>
              <w:bottom w:val="nil"/>
              <w:right w:val="nil"/>
            </w:tcBorders>
            <w:shd w:val="clear" w:color="auto" w:fill="FFFFFF"/>
            <w:vAlign w:val="center"/>
          </w:tcPr>
          <w:p w14:paraId="4D6AE49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4.12 (2.27–7.47)</w:t>
            </w:r>
          </w:p>
        </w:tc>
        <w:tc>
          <w:tcPr>
            <w:tcW w:w="1665" w:type="dxa"/>
            <w:tcBorders>
              <w:top w:val="nil"/>
              <w:left w:val="nil"/>
              <w:bottom w:val="nil"/>
              <w:right w:val="nil"/>
            </w:tcBorders>
            <w:shd w:val="clear" w:color="auto" w:fill="FFFFFF"/>
            <w:vAlign w:val="center"/>
          </w:tcPr>
          <w:p w14:paraId="14AED7F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8.10e-06</w:t>
            </w:r>
          </w:p>
        </w:tc>
        <w:tc>
          <w:tcPr>
            <w:tcW w:w="1668" w:type="dxa"/>
            <w:tcBorders>
              <w:top w:val="nil"/>
              <w:left w:val="nil"/>
              <w:bottom w:val="nil"/>
              <w:right w:val="nil"/>
            </w:tcBorders>
            <w:shd w:val="clear" w:color="auto" w:fill="FFFFFF"/>
            <w:vAlign w:val="center"/>
          </w:tcPr>
          <w:p w14:paraId="322C99C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1.81e-04</w:t>
            </w:r>
          </w:p>
        </w:tc>
      </w:tr>
      <w:tr w14:paraId="4EA60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B69325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phosphate nephropathy</w:t>
            </w:r>
          </w:p>
        </w:tc>
        <w:tc>
          <w:tcPr>
            <w:tcW w:w="1513" w:type="dxa"/>
            <w:tcBorders>
              <w:top w:val="nil"/>
              <w:left w:val="nil"/>
              <w:bottom w:val="nil"/>
              <w:right w:val="nil"/>
            </w:tcBorders>
            <w:shd w:val="clear" w:color="auto" w:fill="FFFFFF"/>
            <w:vAlign w:val="center"/>
          </w:tcPr>
          <w:p w14:paraId="1BECA97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10069688</w:t>
            </w:r>
          </w:p>
        </w:tc>
        <w:tc>
          <w:tcPr>
            <w:tcW w:w="1362" w:type="dxa"/>
            <w:tcBorders>
              <w:top w:val="nil"/>
              <w:left w:val="nil"/>
              <w:bottom w:val="nil"/>
              <w:right w:val="nil"/>
            </w:tcBorders>
            <w:shd w:val="clear" w:color="auto" w:fill="FFFFFF"/>
            <w:vAlign w:val="center"/>
          </w:tcPr>
          <w:p w14:paraId="7CAE1BD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2EA3E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CB7A3E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6C23169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C9B9DA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D55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1534FEC">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Prerenal failure</w:t>
            </w:r>
          </w:p>
        </w:tc>
        <w:tc>
          <w:tcPr>
            <w:tcW w:w="1513" w:type="dxa"/>
            <w:tcBorders>
              <w:top w:val="nil"/>
              <w:left w:val="nil"/>
              <w:bottom w:val="nil"/>
              <w:right w:val="nil"/>
            </w:tcBorders>
            <w:shd w:val="clear" w:color="auto" w:fill="FFFFFF"/>
            <w:vAlign w:val="center"/>
          </w:tcPr>
          <w:p w14:paraId="7ACF920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10072370</w:t>
            </w:r>
          </w:p>
        </w:tc>
        <w:tc>
          <w:tcPr>
            <w:tcW w:w="1362" w:type="dxa"/>
            <w:tcBorders>
              <w:top w:val="nil"/>
              <w:left w:val="nil"/>
              <w:bottom w:val="nil"/>
              <w:right w:val="nil"/>
            </w:tcBorders>
            <w:shd w:val="clear" w:color="auto" w:fill="FFFFFF"/>
            <w:vAlign w:val="center"/>
          </w:tcPr>
          <w:p w14:paraId="0F7E440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DEBAF8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D206D7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74A631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15DE6F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5568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A8D315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Foetal renal impairment</w:t>
            </w:r>
          </w:p>
        </w:tc>
        <w:tc>
          <w:tcPr>
            <w:tcW w:w="1513" w:type="dxa"/>
            <w:tcBorders>
              <w:top w:val="nil"/>
              <w:left w:val="nil"/>
              <w:bottom w:val="nil"/>
              <w:right w:val="nil"/>
            </w:tcBorders>
            <w:shd w:val="clear" w:color="auto" w:fill="FFFFFF"/>
            <w:vAlign w:val="center"/>
          </w:tcPr>
          <w:p w14:paraId="0928B8F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10078987</w:t>
            </w:r>
          </w:p>
        </w:tc>
        <w:tc>
          <w:tcPr>
            <w:tcW w:w="1362" w:type="dxa"/>
            <w:tcBorders>
              <w:top w:val="nil"/>
              <w:left w:val="nil"/>
              <w:bottom w:val="nil"/>
              <w:right w:val="nil"/>
            </w:tcBorders>
            <w:shd w:val="clear" w:color="auto" w:fill="FFFFFF"/>
            <w:vAlign w:val="center"/>
          </w:tcPr>
          <w:p w14:paraId="5175984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271B11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181804F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7E11AB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87A933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4129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8B1A68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Subacute kidney injury</w:t>
            </w:r>
          </w:p>
        </w:tc>
        <w:tc>
          <w:tcPr>
            <w:tcW w:w="1513" w:type="dxa"/>
            <w:tcBorders>
              <w:top w:val="nil"/>
              <w:left w:val="nil"/>
              <w:bottom w:val="nil"/>
              <w:right w:val="nil"/>
            </w:tcBorders>
            <w:shd w:val="clear" w:color="auto" w:fill="FFFFFF"/>
            <w:vAlign w:val="center"/>
          </w:tcPr>
          <w:p w14:paraId="22D48E6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10081980</w:t>
            </w:r>
          </w:p>
        </w:tc>
        <w:tc>
          <w:tcPr>
            <w:tcW w:w="1362" w:type="dxa"/>
            <w:tcBorders>
              <w:top w:val="nil"/>
              <w:left w:val="nil"/>
              <w:bottom w:val="nil"/>
              <w:right w:val="nil"/>
            </w:tcBorders>
            <w:shd w:val="clear" w:color="auto" w:fill="FFFFFF"/>
            <w:vAlign w:val="center"/>
          </w:tcPr>
          <w:p w14:paraId="5AA5E7F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2E411F6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0B003FC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AF69B1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6C262F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0666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54DAFF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Bile cast nephropathy</w:t>
            </w:r>
          </w:p>
        </w:tc>
        <w:tc>
          <w:tcPr>
            <w:tcW w:w="1513" w:type="dxa"/>
            <w:tcBorders>
              <w:top w:val="nil"/>
              <w:left w:val="nil"/>
              <w:bottom w:val="nil"/>
              <w:right w:val="nil"/>
            </w:tcBorders>
            <w:shd w:val="clear" w:color="auto" w:fill="FFFFFF"/>
            <w:vAlign w:val="center"/>
          </w:tcPr>
          <w:p w14:paraId="211C09A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10091498</w:t>
            </w:r>
          </w:p>
        </w:tc>
        <w:tc>
          <w:tcPr>
            <w:tcW w:w="1362" w:type="dxa"/>
            <w:tcBorders>
              <w:top w:val="nil"/>
              <w:left w:val="nil"/>
              <w:bottom w:val="nil"/>
              <w:right w:val="nil"/>
            </w:tcBorders>
            <w:shd w:val="clear" w:color="auto" w:fill="FFFFFF"/>
            <w:vAlign w:val="center"/>
          </w:tcPr>
          <w:p w14:paraId="7B1076D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59B75D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5C56D7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F09D0E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808BD0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24DD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69DE5E1">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Non-functional kidney</w:t>
            </w:r>
          </w:p>
        </w:tc>
        <w:tc>
          <w:tcPr>
            <w:tcW w:w="1513" w:type="dxa"/>
            <w:tcBorders>
              <w:top w:val="nil"/>
              <w:left w:val="nil"/>
              <w:bottom w:val="nil"/>
              <w:right w:val="nil"/>
            </w:tcBorders>
            <w:shd w:val="clear" w:color="auto" w:fill="FFFFFF"/>
            <w:vAlign w:val="center"/>
          </w:tcPr>
          <w:p w14:paraId="72BB6AC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10092321</w:t>
            </w:r>
          </w:p>
        </w:tc>
        <w:tc>
          <w:tcPr>
            <w:tcW w:w="1362" w:type="dxa"/>
            <w:tcBorders>
              <w:top w:val="nil"/>
              <w:left w:val="nil"/>
              <w:bottom w:val="nil"/>
              <w:right w:val="nil"/>
            </w:tcBorders>
            <w:shd w:val="clear" w:color="auto" w:fill="FFFFFF"/>
            <w:vAlign w:val="center"/>
          </w:tcPr>
          <w:p w14:paraId="7003572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413168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074A7B1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BB193E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C99AB4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57C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single" w:color="000000" w:sz="8" w:space="0"/>
              <w:right w:val="nil"/>
            </w:tcBorders>
            <w:shd w:val="clear" w:color="auto" w:fill="FFFFFF"/>
            <w:vAlign w:val="center"/>
          </w:tcPr>
          <w:p w14:paraId="293A952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Osmotic nephropathy</w:t>
            </w:r>
          </w:p>
        </w:tc>
        <w:tc>
          <w:tcPr>
            <w:tcW w:w="1513" w:type="dxa"/>
            <w:tcBorders>
              <w:top w:val="nil"/>
              <w:left w:val="nil"/>
              <w:bottom w:val="single" w:color="000000" w:sz="8" w:space="0"/>
              <w:right w:val="nil"/>
            </w:tcBorders>
            <w:shd w:val="clear" w:color="auto" w:fill="FFFFFF"/>
            <w:vAlign w:val="center"/>
          </w:tcPr>
          <w:p w14:paraId="44B10E7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10092605</w:t>
            </w:r>
          </w:p>
        </w:tc>
        <w:tc>
          <w:tcPr>
            <w:tcW w:w="1362" w:type="dxa"/>
            <w:tcBorders>
              <w:top w:val="nil"/>
              <w:left w:val="nil"/>
              <w:bottom w:val="single" w:color="000000" w:sz="8" w:space="0"/>
              <w:right w:val="nil"/>
            </w:tcBorders>
            <w:shd w:val="clear" w:color="auto" w:fill="FFFFFF"/>
            <w:vAlign w:val="center"/>
          </w:tcPr>
          <w:p w14:paraId="5EFD8CF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single" w:color="000000" w:sz="8" w:space="0"/>
              <w:right w:val="nil"/>
            </w:tcBorders>
            <w:shd w:val="clear" w:color="auto" w:fill="FFFFFF"/>
            <w:vAlign w:val="center"/>
          </w:tcPr>
          <w:p w14:paraId="2F0B8FA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single" w:color="000000" w:sz="8" w:space="0"/>
              <w:right w:val="nil"/>
            </w:tcBorders>
            <w:shd w:val="clear" w:color="auto" w:fill="FFFFFF"/>
            <w:vAlign w:val="center"/>
          </w:tcPr>
          <w:p w14:paraId="3FBCB3F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single" w:color="000000" w:sz="8" w:space="0"/>
              <w:right w:val="nil"/>
            </w:tcBorders>
            <w:shd w:val="clear" w:color="auto" w:fill="FFFFFF"/>
            <w:vAlign w:val="center"/>
          </w:tcPr>
          <w:p w14:paraId="18EB5AA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single" w:color="000000" w:sz="8" w:space="0"/>
              <w:right w:val="nil"/>
            </w:tcBorders>
            <w:shd w:val="clear" w:color="auto" w:fill="FFFFFF"/>
            <w:vAlign w:val="center"/>
          </w:tcPr>
          <w:p w14:paraId="364FD6D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bl>
    <w:p w14:paraId="6618439D">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Denominators are 872 momelotinib and 3,860 pooled comparator reports. Each report is counted once per PT but can contain several PTs. All 67 narrow-query members jointly form the BH family, including P=1 for terms not observed in either group. † A 0.5 correction was applied to all four cells for the displayed estimate and interval; Fisher tests use raw counts. Not estimable denotes no observed event in either group. Absence of a term in the data does not remove it from the official query. BH, Benjamini–Hochberg.</w:t>
      </w:r>
    </w:p>
    <w:p w14:paraId="2B02EA81">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S3. Complete component terms: Peripheral neuropathy (narrow)</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4389"/>
        <w:gridCol w:w="1513"/>
        <w:gridCol w:w="1362"/>
        <w:gridCol w:w="1362"/>
        <w:gridCol w:w="3178"/>
        <w:gridCol w:w="1665"/>
        <w:gridCol w:w="1668"/>
      </w:tblGrid>
      <w:tr w14:paraId="7A00F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4389" w:type="dxa"/>
            <w:tcBorders>
              <w:top w:val="single" w:color="000000" w:sz="8" w:space="0"/>
              <w:left w:val="nil"/>
              <w:bottom w:val="single" w:color="000000" w:sz="6" w:space="0"/>
              <w:right w:val="nil"/>
            </w:tcBorders>
            <w:shd w:val="clear" w:color="auto" w:fill="FFFFFF"/>
            <w:vAlign w:val="center"/>
          </w:tcPr>
          <w:p w14:paraId="69738D8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Preferred Term</w:t>
            </w:r>
          </w:p>
        </w:tc>
        <w:tc>
          <w:tcPr>
            <w:tcW w:w="1513" w:type="dxa"/>
            <w:tcBorders>
              <w:top w:val="single" w:color="000000" w:sz="8" w:space="0"/>
              <w:left w:val="nil"/>
              <w:bottom w:val="single" w:color="000000" w:sz="6" w:space="0"/>
              <w:right w:val="nil"/>
            </w:tcBorders>
            <w:shd w:val="clear" w:color="auto" w:fill="FFFFFF"/>
            <w:vAlign w:val="center"/>
          </w:tcPr>
          <w:p w14:paraId="1DF9958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PT code</w:t>
            </w:r>
          </w:p>
        </w:tc>
        <w:tc>
          <w:tcPr>
            <w:tcW w:w="1362" w:type="dxa"/>
            <w:tcBorders>
              <w:top w:val="single" w:color="000000" w:sz="8" w:space="0"/>
              <w:left w:val="nil"/>
              <w:bottom w:val="single" w:color="000000" w:sz="6" w:space="0"/>
              <w:right w:val="nil"/>
            </w:tcBorders>
            <w:shd w:val="clear" w:color="auto" w:fill="FFFFFF"/>
            <w:vAlign w:val="center"/>
          </w:tcPr>
          <w:p w14:paraId="2815195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Momelotinib n</w:t>
            </w:r>
          </w:p>
        </w:tc>
        <w:tc>
          <w:tcPr>
            <w:tcW w:w="1362" w:type="dxa"/>
            <w:tcBorders>
              <w:top w:val="single" w:color="000000" w:sz="8" w:space="0"/>
              <w:left w:val="nil"/>
              <w:bottom w:val="single" w:color="000000" w:sz="6" w:space="0"/>
              <w:right w:val="nil"/>
            </w:tcBorders>
            <w:shd w:val="clear" w:color="auto" w:fill="FFFFFF"/>
            <w:vAlign w:val="center"/>
          </w:tcPr>
          <w:p w14:paraId="6051B52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Comparator n</w:t>
            </w:r>
          </w:p>
        </w:tc>
        <w:tc>
          <w:tcPr>
            <w:tcW w:w="3178" w:type="dxa"/>
            <w:tcBorders>
              <w:top w:val="single" w:color="000000" w:sz="8" w:space="0"/>
              <w:left w:val="nil"/>
              <w:bottom w:val="single" w:color="000000" w:sz="6" w:space="0"/>
              <w:right w:val="nil"/>
            </w:tcBorders>
            <w:shd w:val="clear" w:color="auto" w:fill="FFFFFF"/>
            <w:vAlign w:val="center"/>
          </w:tcPr>
          <w:p w14:paraId="08E2FBF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ROR (95% CI)</w:t>
            </w:r>
          </w:p>
        </w:tc>
        <w:tc>
          <w:tcPr>
            <w:tcW w:w="1665" w:type="dxa"/>
            <w:tcBorders>
              <w:top w:val="single" w:color="000000" w:sz="8" w:space="0"/>
              <w:left w:val="nil"/>
              <w:bottom w:val="single" w:color="000000" w:sz="6" w:space="0"/>
              <w:right w:val="nil"/>
            </w:tcBorders>
            <w:shd w:val="clear" w:color="auto" w:fill="FFFFFF"/>
            <w:vAlign w:val="center"/>
          </w:tcPr>
          <w:p w14:paraId="53A7D73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Fisher P</w:t>
            </w:r>
          </w:p>
        </w:tc>
        <w:tc>
          <w:tcPr>
            <w:tcW w:w="1668" w:type="dxa"/>
            <w:tcBorders>
              <w:top w:val="single" w:color="000000" w:sz="8" w:space="0"/>
              <w:left w:val="nil"/>
              <w:bottom w:val="single" w:color="000000" w:sz="6" w:space="0"/>
              <w:right w:val="nil"/>
            </w:tcBorders>
            <w:shd w:val="clear" w:color="auto" w:fill="FFFFFF"/>
            <w:vAlign w:val="center"/>
          </w:tcPr>
          <w:p w14:paraId="4EB391F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BH-adjusted P</w:t>
            </w:r>
          </w:p>
        </w:tc>
      </w:tr>
      <w:tr w14:paraId="08F3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ACF205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Amyotrophy</w:t>
            </w:r>
          </w:p>
        </w:tc>
        <w:tc>
          <w:tcPr>
            <w:tcW w:w="1513" w:type="dxa"/>
            <w:tcBorders>
              <w:top w:val="nil"/>
              <w:left w:val="nil"/>
              <w:bottom w:val="nil"/>
              <w:right w:val="nil"/>
            </w:tcBorders>
            <w:shd w:val="clear" w:color="auto" w:fill="FFFFFF"/>
            <w:vAlign w:val="center"/>
          </w:tcPr>
          <w:p w14:paraId="6F7B0BF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10002027</w:t>
            </w:r>
          </w:p>
        </w:tc>
        <w:tc>
          <w:tcPr>
            <w:tcW w:w="1362" w:type="dxa"/>
            <w:tcBorders>
              <w:top w:val="nil"/>
              <w:left w:val="nil"/>
              <w:bottom w:val="nil"/>
              <w:right w:val="nil"/>
            </w:tcBorders>
            <w:shd w:val="clear" w:color="auto" w:fill="FFFFFF"/>
            <w:vAlign w:val="center"/>
          </w:tcPr>
          <w:p w14:paraId="6AF50C5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3E3C16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7791B26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5142D66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DE8A6D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C994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F3C9A2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Axonal neuropathy</w:t>
            </w:r>
          </w:p>
        </w:tc>
        <w:tc>
          <w:tcPr>
            <w:tcW w:w="1513" w:type="dxa"/>
            <w:tcBorders>
              <w:top w:val="nil"/>
              <w:left w:val="nil"/>
              <w:bottom w:val="nil"/>
              <w:right w:val="nil"/>
            </w:tcBorders>
            <w:shd w:val="clear" w:color="auto" w:fill="FFFFFF"/>
            <w:vAlign w:val="center"/>
          </w:tcPr>
          <w:p w14:paraId="1F3BC7D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10003882</w:t>
            </w:r>
          </w:p>
        </w:tc>
        <w:tc>
          <w:tcPr>
            <w:tcW w:w="1362" w:type="dxa"/>
            <w:tcBorders>
              <w:top w:val="nil"/>
              <w:left w:val="nil"/>
              <w:bottom w:val="nil"/>
              <w:right w:val="nil"/>
            </w:tcBorders>
            <w:shd w:val="clear" w:color="auto" w:fill="FFFFFF"/>
            <w:vAlign w:val="center"/>
          </w:tcPr>
          <w:p w14:paraId="0F92062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259C5B1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5D4844A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4.43 (0.28–70.90)</w:t>
            </w:r>
          </w:p>
        </w:tc>
        <w:tc>
          <w:tcPr>
            <w:tcW w:w="1665" w:type="dxa"/>
            <w:tcBorders>
              <w:top w:val="nil"/>
              <w:left w:val="nil"/>
              <w:bottom w:val="nil"/>
              <w:right w:val="nil"/>
            </w:tcBorders>
            <w:shd w:val="clear" w:color="auto" w:fill="FFFFFF"/>
            <w:vAlign w:val="center"/>
          </w:tcPr>
          <w:p w14:paraId="48A183E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0.335</w:t>
            </w:r>
          </w:p>
        </w:tc>
        <w:tc>
          <w:tcPr>
            <w:tcW w:w="1668" w:type="dxa"/>
            <w:tcBorders>
              <w:top w:val="nil"/>
              <w:left w:val="nil"/>
              <w:bottom w:val="nil"/>
              <w:right w:val="nil"/>
            </w:tcBorders>
            <w:shd w:val="clear" w:color="auto" w:fill="FFFFFF"/>
            <w:vAlign w:val="center"/>
          </w:tcPr>
          <w:p w14:paraId="3788DC5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512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EEB4B2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Biopsy peripheral nerve abnormal</w:t>
            </w:r>
          </w:p>
        </w:tc>
        <w:tc>
          <w:tcPr>
            <w:tcW w:w="1513" w:type="dxa"/>
            <w:tcBorders>
              <w:top w:val="nil"/>
              <w:left w:val="nil"/>
              <w:bottom w:val="nil"/>
              <w:right w:val="nil"/>
            </w:tcBorders>
            <w:shd w:val="clear" w:color="auto" w:fill="FFFFFF"/>
            <w:vAlign w:val="center"/>
          </w:tcPr>
          <w:p w14:paraId="2E3B1F5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10004846</w:t>
            </w:r>
          </w:p>
        </w:tc>
        <w:tc>
          <w:tcPr>
            <w:tcW w:w="1362" w:type="dxa"/>
            <w:tcBorders>
              <w:top w:val="nil"/>
              <w:left w:val="nil"/>
              <w:bottom w:val="nil"/>
              <w:right w:val="nil"/>
            </w:tcBorders>
            <w:shd w:val="clear" w:color="auto" w:fill="FFFFFF"/>
            <w:vAlign w:val="center"/>
          </w:tcPr>
          <w:p w14:paraId="6F06032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E9602B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95B8BF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E5A306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6CD687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6CC4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EF25146">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Guillain-Barre syndrome</w:t>
            </w:r>
          </w:p>
        </w:tc>
        <w:tc>
          <w:tcPr>
            <w:tcW w:w="1513" w:type="dxa"/>
            <w:tcBorders>
              <w:top w:val="nil"/>
              <w:left w:val="nil"/>
              <w:bottom w:val="nil"/>
              <w:right w:val="nil"/>
            </w:tcBorders>
            <w:shd w:val="clear" w:color="auto" w:fill="FFFFFF"/>
            <w:vAlign w:val="center"/>
          </w:tcPr>
          <w:p w14:paraId="2A1F0F0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10018767</w:t>
            </w:r>
          </w:p>
        </w:tc>
        <w:tc>
          <w:tcPr>
            <w:tcW w:w="1362" w:type="dxa"/>
            <w:tcBorders>
              <w:top w:val="nil"/>
              <w:left w:val="nil"/>
              <w:bottom w:val="nil"/>
              <w:right w:val="nil"/>
            </w:tcBorders>
            <w:shd w:val="clear" w:color="auto" w:fill="FFFFFF"/>
            <w:vAlign w:val="center"/>
          </w:tcPr>
          <w:p w14:paraId="0A2F793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3718E3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14A51E9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4F8917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E968E7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0DC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9EDF9CA">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Myelopathy</w:t>
            </w:r>
          </w:p>
        </w:tc>
        <w:tc>
          <w:tcPr>
            <w:tcW w:w="1513" w:type="dxa"/>
            <w:tcBorders>
              <w:top w:val="nil"/>
              <w:left w:val="nil"/>
              <w:bottom w:val="nil"/>
              <w:right w:val="nil"/>
            </w:tcBorders>
            <w:shd w:val="clear" w:color="auto" w:fill="FFFFFF"/>
            <w:vAlign w:val="center"/>
          </w:tcPr>
          <w:p w14:paraId="7D2FBB4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10028570</w:t>
            </w:r>
          </w:p>
        </w:tc>
        <w:tc>
          <w:tcPr>
            <w:tcW w:w="1362" w:type="dxa"/>
            <w:tcBorders>
              <w:top w:val="nil"/>
              <w:left w:val="nil"/>
              <w:bottom w:val="nil"/>
              <w:right w:val="nil"/>
            </w:tcBorders>
            <w:shd w:val="clear" w:color="auto" w:fill="FFFFFF"/>
            <w:vAlign w:val="center"/>
          </w:tcPr>
          <w:p w14:paraId="655477D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3BEBB80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1B4C14C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775FAB6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1A451D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DC1B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07725C8">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Nerve conduction studies abnormal</w:t>
            </w:r>
          </w:p>
        </w:tc>
        <w:tc>
          <w:tcPr>
            <w:tcW w:w="1513" w:type="dxa"/>
            <w:tcBorders>
              <w:top w:val="nil"/>
              <w:left w:val="nil"/>
              <w:bottom w:val="nil"/>
              <w:right w:val="nil"/>
            </w:tcBorders>
            <w:shd w:val="clear" w:color="auto" w:fill="FFFFFF"/>
            <w:vAlign w:val="center"/>
          </w:tcPr>
          <w:p w14:paraId="1E548C3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10029175</w:t>
            </w:r>
          </w:p>
        </w:tc>
        <w:tc>
          <w:tcPr>
            <w:tcW w:w="1362" w:type="dxa"/>
            <w:tcBorders>
              <w:top w:val="nil"/>
              <w:left w:val="nil"/>
              <w:bottom w:val="nil"/>
              <w:right w:val="nil"/>
            </w:tcBorders>
            <w:shd w:val="clear" w:color="auto" w:fill="FFFFFF"/>
            <w:vAlign w:val="center"/>
          </w:tcPr>
          <w:p w14:paraId="4C8E3E9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18C1C4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FC3B46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6366AA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A7B848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F79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78BF09C">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Neuralgia</w:t>
            </w:r>
          </w:p>
        </w:tc>
        <w:tc>
          <w:tcPr>
            <w:tcW w:w="1513" w:type="dxa"/>
            <w:tcBorders>
              <w:top w:val="nil"/>
              <w:left w:val="nil"/>
              <w:bottom w:val="nil"/>
              <w:right w:val="nil"/>
            </w:tcBorders>
            <w:shd w:val="clear" w:color="auto" w:fill="FFFFFF"/>
            <w:vAlign w:val="center"/>
          </w:tcPr>
          <w:p w14:paraId="34C9921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10029223</w:t>
            </w:r>
          </w:p>
        </w:tc>
        <w:tc>
          <w:tcPr>
            <w:tcW w:w="1362" w:type="dxa"/>
            <w:tcBorders>
              <w:top w:val="nil"/>
              <w:left w:val="nil"/>
              <w:bottom w:val="nil"/>
              <w:right w:val="nil"/>
            </w:tcBorders>
            <w:shd w:val="clear" w:color="auto" w:fill="FFFFFF"/>
            <w:vAlign w:val="center"/>
          </w:tcPr>
          <w:p w14:paraId="50D48D6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494F11E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3178" w:type="dxa"/>
            <w:tcBorders>
              <w:top w:val="nil"/>
              <w:left w:val="nil"/>
              <w:bottom w:val="nil"/>
              <w:right w:val="nil"/>
            </w:tcBorders>
            <w:shd w:val="clear" w:color="auto" w:fill="FFFFFF"/>
            <w:vAlign w:val="center"/>
          </w:tcPr>
          <w:p w14:paraId="646215B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1.11 (0.12–9.91)</w:t>
            </w:r>
          </w:p>
        </w:tc>
        <w:tc>
          <w:tcPr>
            <w:tcW w:w="1665" w:type="dxa"/>
            <w:tcBorders>
              <w:top w:val="nil"/>
              <w:left w:val="nil"/>
              <w:bottom w:val="nil"/>
              <w:right w:val="nil"/>
            </w:tcBorders>
            <w:shd w:val="clear" w:color="auto" w:fill="FFFFFF"/>
            <w:vAlign w:val="center"/>
          </w:tcPr>
          <w:p w14:paraId="67AB6C5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62629A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8CA4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1E65EA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Neuritis</w:t>
            </w:r>
          </w:p>
        </w:tc>
        <w:tc>
          <w:tcPr>
            <w:tcW w:w="1513" w:type="dxa"/>
            <w:tcBorders>
              <w:top w:val="nil"/>
              <w:left w:val="nil"/>
              <w:bottom w:val="nil"/>
              <w:right w:val="nil"/>
            </w:tcBorders>
            <w:shd w:val="clear" w:color="auto" w:fill="FFFFFF"/>
            <w:vAlign w:val="center"/>
          </w:tcPr>
          <w:p w14:paraId="23804FB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10029240</w:t>
            </w:r>
          </w:p>
        </w:tc>
        <w:tc>
          <w:tcPr>
            <w:tcW w:w="1362" w:type="dxa"/>
            <w:tcBorders>
              <w:top w:val="nil"/>
              <w:left w:val="nil"/>
              <w:bottom w:val="nil"/>
              <w:right w:val="nil"/>
            </w:tcBorders>
            <w:shd w:val="clear" w:color="auto" w:fill="FFFFFF"/>
            <w:vAlign w:val="center"/>
          </w:tcPr>
          <w:p w14:paraId="4AC6535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8EEAA3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379C1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A26C76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3CCB62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646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34E0DB6">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Neuropathy peripheral</w:t>
            </w:r>
          </w:p>
        </w:tc>
        <w:tc>
          <w:tcPr>
            <w:tcW w:w="1513" w:type="dxa"/>
            <w:tcBorders>
              <w:top w:val="nil"/>
              <w:left w:val="nil"/>
              <w:bottom w:val="nil"/>
              <w:right w:val="nil"/>
            </w:tcBorders>
            <w:shd w:val="clear" w:color="auto" w:fill="FFFFFF"/>
            <w:vAlign w:val="center"/>
          </w:tcPr>
          <w:p w14:paraId="2AEFBA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10029331</w:t>
            </w:r>
          </w:p>
        </w:tc>
        <w:tc>
          <w:tcPr>
            <w:tcW w:w="1362" w:type="dxa"/>
            <w:tcBorders>
              <w:top w:val="nil"/>
              <w:left w:val="nil"/>
              <w:bottom w:val="nil"/>
              <w:right w:val="nil"/>
            </w:tcBorders>
            <w:shd w:val="clear" w:color="auto" w:fill="FFFFFF"/>
            <w:vAlign w:val="center"/>
          </w:tcPr>
          <w:p w14:paraId="487A18B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34</w:t>
            </w:r>
          </w:p>
        </w:tc>
        <w:tc>
          <w:tcPr>
            <w:tcW w:w="1362" w:type="dxa"/>
            <w:tcBorders>
              <w:top w:val="nil"/>
              <w:left w:val="nil"/>
              <w:bottom w:val="nil"/>
              <w:right w:val="nil"/>
            </w:tcBorders>
            <w:shd w:val="clear" w:color="auto" w:fill="FFFFFF"/>
            <w:vAlign w:val="center"/>
          </w:tcPr>
          <w:p w14:paraId="3316C2D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29</w:t>
            </w:r>
          </w:p>
        </w:tc>
        <w:tc>
          <w:tcPr>
            <w:tcW w:w="3178" w:type="dxa"/>
            <w:tcBorders>
              <w:top w:val="nil"/>
              <w:left w:val="nil"/>
              <w:bottom w:val="nil"/>
              <w:right w:val="nil"/>
            </w:tcBorders>
            <w:shd w:val="clear" w:color="auto" w:fill="FFFFFF"/>
            <w:vAlign w:val="center"/>
          </w:tcPr>
          <w:p w14:paraId="133DAF7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5.36 (3.25–8.85)</w:t>
            </w:r>
          </w:p>
        </w:tc>
        <w:tc>
          <w:tcPr>
            <w:tcW w:w="1665" w:type="dxa"/>
            <w:tcBorders>
              <w:top w:val="nil"/>
              <w:left w:val="nil"/>
              <w:bottom w:val="nil"/>
              <w:right w:val="nil"/>
            </w:tcBorders>
            <w:shd w:val="clear" w:color="auto" w:fill="FFFFFF"/>
            <w:vAlign w:val="center"/>
          </w:tcPr>
          <w:p w14:paraId="1C545D8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1.90e-10</w:t>
            </w:r>
          </w:p>
        </w:tc>
        <w:tc>
          <w:tcPr>
            <w:tcW w:w="1668" w:type="dxa"/>
            <w:tcBorders>
              <w:top w:val="nil"/>
              <w:left w:val="nil"/>
              <w:bottom w:val="nil"/>
              <w:right w:val="nil"/>
            </w:tcBorders>
            <w:shd w:val="clear" w:color="auto" w:fill="FFFFFF"/>
            <w:vAlign w:val="center"/>
          </w:tcPr>
          <w:p w14:paraId="17DC438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6.35e-09</w:t>
            </w:r>
          </w:p>
        </w:tc>
      </w:tr>
      <w:tr w14:paraId="5070D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392A379">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motor neuropathy</w:t>
            </w:r>
          </w:p>
        </w:tc>
        <w:tc>
          <w:tcPr>
            <w:tcW w:w="1513" w:type="dxa"/>
            <w:tcBorders>
              <w:top w:val="nil"/>
              <w:left w:val="nil"/>
              <w:bottom w:val="nil"/>
              <w:right w:val="nil"/>
            </w:tcBorders>
            <w:shd w:val="clear" w:color="auto" w:fill="FFFFFF"/>
            <w:vAlign w:val="center"/>
          </w:tcPr>
          <w:p w14:paraId="1F99023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10034580</w:t>
            </w:r>
          </w:p>
        </w:tc>
        <w:tc>
          <w:tcPr>
            <w:tcW w:w="1362" w:type="dxa"/>
            <w:tcBorders>
              <w:top w:val="nil"/>
              <w:left w:val="nil"/>
              <w:bottom w:val="nil"/>
              <w:right w:val="nil"/>
            </w:tcBorders>
            <w:shd w:val="clear" w:color="auto" w:fill="FFFFFF"/>
            <w:vAlign w:val="center"/>
          </w:tcPr>
          <w:p w14:paraId="74BBD99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872A2A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6F6E434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793551D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471831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C34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E45773C">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nervous system function test abnormal</w:t>
            </w:r>
          </w:p>
        </w:tc>
        <w:tc>
          <w:tcPr>
            <w:tcW w:w="1513" w:type="dxa"/>
            <w:tcBorders>
              <w:top w:val="nil"/>
              <w:left w:val="nil"/>
              <w:bottom w:val="nil"/>
              <w:right w:val="nil"/>
            </w:tcBorders>
            <w:shd w:val="clear" w:color="auto" w:fill="FFFFFF"/>
            <w:vAlign w:val="center"/>
          </w:tcPr>
          <w:p w14:paraId="078FB6E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10034591</w:t>
            </w:r>
          </w:p>
        </w:tc>
        <w:tc>
          <w:tcPr>
            <w:tcW w:w="1362" w:type="dxa"/>
            <w:tcBorders>
              <w:top w:val="nil"/>
              <w:left w:val="nil"/>
              <w:bottom w:val="nil"/>
              <w:right w:val="nil"/>
            </w:tcBorders>
            <w:shd w:val="clear" w:color="auto" w:fill="FFFFFF"/>
            <w:vAlign w:val="center"/>
          </w:tcPr>
          <w:p w14:paraId="090B3EB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372E6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25D41C7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10F97B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50E68E5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DD5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8E01C1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sensory neuropathy</w:t>
            </w:r>
          </w:p>
        </w:tc>
        <w:tc>
          <w:tcPr>
            <w:tcW w:w="1513" w:type="dxa"/>
            <w:tcBorders>
              <w:top w:val="nil"/>
              <w:left w:val="nil"/>
              <w:bottom w:val="nil"/>
              <w:right w:val="nil"/>
            </w:tcBorders>
            <w:shd w:val="clear" w:color="auto" w:fill="FFFFFF"/>
            <w:vAlign w:val="center"/>
          </w:tcPr>
          <w:p w14:paraId="67369BC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10034620</w:t>
            </w:r>
          </w:p>
        </w:tc>
        <w:tc>
          <w:tcPr>
            <w:tcW w:w="1362" w:type="dxa"/>
            <w:tcBorders>
              <w:top w:val="nil"/>
              <w:left w:val="nil"/>
              <w:bottom w:val="nil"/>
              <w:right w:val="nil"/>
            </w:tcBorders>
            <w:shd w:val="clear" w:color="auto" w:fill="FFFFFF"/>
            <w:vAlign w:val="center"/>
          </w:tcPr>
          <w:p w14:paraId="59A4CD9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3E4BA38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54E1DFE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4.43 (0.28–70.90)</w:t>
            </w:r>
          </w:p>
        </w:tc>
        <w:tc>
          <w:tcPr>
            <w:tcW w:w="1665" w:type="dxa"/>
            <w:tcBorders>
              <w:top w:val="nil"/>
              <w:left w:val="nil"/>
              <w:bottom w:val="nil"/>
              <w:right w:val="nil"/>
            </w:tcBorders>
            <w:shd w:val="clear" w:color="auto" w:fill="FFFFFF"/>
            <w:vAlign w:val="center"/>
          </w:tcPr>
          <w:p w14:paraId="3249A14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0.335</w:t>
            </w:r>
          </w:p>
        </w:tc>
        <w:tc>
          <w:tcPr>
            <w:tcW w:w="1668" w:type="dxa"/>
            <w:tcBorders>
              <w:top w:val="nil"/>
              <w:left w:val="nil"/>
              <w:bottom w:val="nil"/>
              <w:right w:val="nil"/>
            </w:tcBorders>
            <w:shd w:val="clear" w:color="auto" w:fill="FFFFFF"/>
            <w:vAlign w:val="center"/>
          </w:tcPr>
          <w:p w14:paraId="693B931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478F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760141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Polyneuropathy</w:t>
            </w:r>
          </w:p>
        </w:tc>
        <w:tc>
          <w:tcPr>
            <w:tcW w:w="1513" w:type="dxa"/>
            <w:tcBorders>
              <w:top w:val="nil"/>
              <w:left w:val="nil"/>
              <w:bottom w:val="nil"/>
              <w:right w:val="nil"/>
            </w:tcBorders>
            <w:shd w:val="clear" w:color="auto" w:fill="FFFFFF"/>
            <w:vAlign w:val="center"/>
          </w:tcPr>
          <w:p w14:paraId="693C7A1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10036105</w:t>
            </w:r>
          </w:p>
        </w:tc>
        <w:tc>
          <w:tcPr>
            <w:tcW w:w="1362" w:type="dxa"/>
            <w:tcBorders>
              <w:top w:val="nil"/>
              <w:left w:val="nil"/>
              <w:bottom w:val="nil"/>
              <w:right w:val="nil"/>
            </w:tcBorders>
            <w:shd w:val="clear" w:color="auto" w:fill="FFFFFF"/>
            <w:vAlign w:val="center"/>
          </w:tcPr>
          <w:p w14:paraId="42C17FD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362" w:type="dxa"/>
            <w:tcBorders>
              <w:top w:val="nil"/>
              <w:left w:val="nil"/>
              <w:bottom w:val="nil"/>
              <w:right w:val="nil"/>
            </w:tcBorders>
            <w:shd w:val="clear" w:color="auto" w:fill="FFFFFF"/>
            <w:vAlign w:val="center"/>
          </w:tcPr>
          <w:p w14:paraId="42C028D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3178" w:type="dxa"/>
            <w:tcBorders>
              <w:top w:val="nil"/>
              <w:left w:val="nil"/>
              <w:bottom w:val="nil"/>
              <w:right w:val="nil"/>
            </w:tcBorders>
            <w:shd w:val="clear" w:color="auto" w:fill="FFFFFF"/>
            <w:vAlign w:val="center"/>
          </w:tcPr>
          <w:p w14:paraId="0013CE2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5.92 (1.32–26.52)</w:t>
            </w:r>
          </w:p>
        </w:tc>
        <w:tc>
          <w:tcPr>
            <w:tcW w:w="1665" w:type="dxa"/>
            <w:tcBorders>
              <w:top w:val="nil"/>
              <w:left w:val="nil"/>
              <w:bottom w:val="nil"/>
              <w:right w:val="nil"/>
            </w:tcBorders>
            <w:shd w:val="clear" w:color="auto" w:fill="FFFFFF"/>
            <w:vAlign w:val="center"/>
          </w:tcPr>
          <w:p w14:paraId="5565D5D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0.025</w:t>
            </w:r>
          </w:p>
        </w:tc>
        <w:tc>
          <w:tcPr>
            <w:tcW w:w="1668" w:type="dxa"/>
            <w:tcBorders>
              <w:top w:val="nil"/>
              <w:left w:val="nil"/>
              <w:bottom w:val="nil"/>
              <w:right w:val="nil"/>
            </w:tcBorders>
            <w:shd w:val="clear" w:color="auto" w:fill="FFFFFF"/>
            <w:vAlign w:val="center"/>
          </w:tcPr>
          <w:p w14:paraId="43DD224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0.335</w:t>
            </w:r>
          </w:p>
        </w:tc>
      </w:tr>
      <w:tr w14:paraId="54A3C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03C1C15">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Polyneuropathy idiopathic progressive</w:t>
            </w:r>
          </w:p>
        </w:tc>
        <w:tc>
          <w:tcPr>
            <w:tcW w:w="1513" w:type="dxa"/>
            <w:tcBorders>
              <w:top w:val="nil"/>
              <w:left w:val="nil"/>
              <w:bottom w:val="nil"/>
              <w:right w:val="nil"/>
            </w:tcBorders>
            <w:shd w:val="clear" w:color="auto" w:fill="FFFFFF"/>
            <w:vAlign w:val="center"/>
          </w:tcPr>
          <w:p w14:paraId="636D60E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10036111</w:t>
            </w:r>
          </w:p>
        </w:tc>
        <w:tc>
          <w:tcPr>
            <w:tcW w:w="1362" w:type="dxa"/>
            <w:tcBorders>
              <w:top w:val="nil"/>
              <w:left w:val="nil"/>
              <w:bottom w:val="nil"/>
              <w:right w:val="nil"/>
            </w:tcBorders>
            <w:shd w:val="clear" w:color="auto" w:fill="FFFFFF"/>
            <w:vAlign w:val="center"/>
          </w:tcPr>
          <w:p w14:paraId="49439FE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2AE442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DE6F19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6524E35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3814E54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3D9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4E07E46">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Sensory disturbance</w:t>
            </w:r>
          </w:p>
        </w:tc>
        <w:tc>
          <w:tcPr>
            <w:tcW w:w="1513" w:type="dxa"/>
            <w:tcBorders>
              <w:top w:val="nil"/>
              <w:left w:val="nil"/>
              <w:bottom w:val="nil"/>
              <w:right w:val="nil"/>
            </w:tcBorders>
            <w:shd w:val="clear" w:color="auto" w:fill="FFFFFF"/>
            <w:vAlign w:val="center"/>
          </w:tcPr>
          <w:p w14:paraId="700EFB3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10040026</w:t>
            </w:r>
          </w:p>
        </w:tc>
        <w:tc>
          <w:tcPr>
            <w:tcW w:w="1362" w:type="dxa"/>
            <w:tcBorders>
              <w:top w:val="nil"/>
              <w:left w:val="nil"/>
              <w:bottom w:val="nil"/>
              <w:right w:val="nil"/>
            </w:tcBorders>
            <w:shd w:val="clear" w:color="auto" w:fill="FFFFFF"/>
            <w:vAlign w:val="center"/>
          </w:tcPr>
          <w:p w14:paraId="3436552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D02FA5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0D0E244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661F190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0272B2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1AF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C3E2128">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Sensory loss</w:t>
            </w:r>
          </w:p>
        </w:tc>
        <w:tc>
          <w:tcPr>
            <w:tcW w:w="1513" w:type="dxa"/>
            <w:tcBorders>
              <w:top w:val="nil"/>
              <w:left w:val="nil"/>
              <w:bottom w:val="nil"/>
              <w:right w:val="nil"/>
            </w:tcBorders>
            <w:shd w:val="clear" w:color="auto" w:fill="FFFFFF"/>
            <w:vAlign w:val="center"/>
          </w:tcPr>
          <w:p w14:paraId="009D8DE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10040030</w:t>
            </w:r>
          </w:p>
        </w:tc>
        <w:tc>
          <w:tcPr>
            <w:tcW w:w="1362" w:type="dxa"/>
            <w:tcBorders>
              <w:top w:val="nil"/>
              <w:left w:val="nil"/>
              <w:bottom w:val="nil"/>
              <w:right w:val="nil"/>
            </w:tcBorders>
            <w:shd w:val="clear" w:color="auto" w:fill="FFFFFF"/>
            <w:vAlign w:val="center"/>
          </w:tcPr>
          <w:p w14:paraId="3024EE3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86DB80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3178" w:type="dxa"/>
            <w:tcBorders>
              <w:top w:val="nil"/>
              <w:left w:val="nil"/>
              <w:bottom w:val="nil"/>
              <w:right w:val="nil"/>
            </w:tcBorders>
            <w:shd w:val="clear" w:color="auto" w:fill="FFFFFF"/>
            <w:vAlign w:val="center"/>
          </w:tcPr>
          <w:p w14:paraId="72BC3E5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1.47 (0.06–36.23)†</w:t>
            </w:r>
          </w:p>
        </w:tc>
        <w:tc>
          <w:tcPr>
            <w:tcW w:w="1665" w:type="dxa"/>
            <w:tcBorders>
              <w:top w:val="nil"/>
              <w:left w:val="nil"/>
              <w:bottom w:val="nil"/>
              <w:right w:val="nil"/>
            </w:tcBorders>
            <w:shd w:val="clear" w:color="auto" w:fill="FFFFFF"/>
            <w:vAlign w:val="center"/>
          </w:tcPr>
          <w:p w14:paraId="4073218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5BFF8E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FBE6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875CE9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Miller Fisher syndrome</w:t>
            </w:r>
          </w:p>
        </w:tc>
        <w:tc>
          <w:tcPr>
            <w:tcW w:w="1513" w:type="dxa"/>
            <w:tcBorders>
              <w:top w:val="nil"/>
              <w:left w:val="nil"/>
              <w:bottom w:val="nil"/>
              <w:right w:val="nil"/>
            </w:tcBorders>
            <w:shd w:val="clear" w:color="auto" w:fill="FFFFFF"/>
            <w:vAlign w:val="center"/>
          </w:tcPr>
          <w:p w14:paraId="77C0817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10049567</w:t>
            </w:r>
          </w:p>
        </w:tc>
        <w:tc>
          <w:tcPr>
            <w:tcW w:w="1362" w:type="dxa"/>
            <w:tcBorders>
              <w:top w:val="nil"/>
              <w:left w:val="nil"/>
              <w:bottom w:val="nil"/>
              <w:right w:val="nil"/>
            </w:tcBorders>
            <w:shd w:val="clear" w:color="auto" w:fill="FFFFFF"/>
            <w:vAlign w:val="center"/>
          </w:tcPr>
          <w:p w14:paraId="3C9FC7F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C3B987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39DFD9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456A86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C70646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18403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A826B7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Ischaemic neuropathy</w:t>
            </w:r>
          </w:p>
        </w:tc>
        <w:tc>
          <w:tcPr>
            <w:tcW w:w="1513" w:type="dxa"/>
            <w:tcBorders>
              <w:top w:val="nil"/>
              <w:left w:val="nil"/>
              <w:bottom w:val="nil"/>
              <w:right w:val="nil"/>
            </w:tcBorders>
            <w:shd w:val="clear" w:color="auto" w:fill="FFFFFF"/>
            <w:vAlign w:val="center"/>
          </w:tcPr>
          <w:p w14:paraId="7B75BF1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10051307</w:t>
            </w:r>
          </w:p>
        </w:tc>
        <w:tc>
          <w:tcPr>
            <w:tcW w:w="1362" w:type="dxa"/>
            <w:tcBorders>
              <w:top w:val="nil"/>
              <w:left w:val="nil"/>
              <w:bottom w:val="nil"/>
              <w:right w:val="nil"/>
            </w:tcBorders>
            <w:shd w:val="clear" w:color="auto" w:fill="FFFFFF"/>
            <w:vAlign w:val="center"/>
          </w:tcPr>
          <w:p w14:paraId="7D9E9F9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1EABE2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1D05720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10B7AA6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0CA968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EC0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C9A522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sensorimotor neuropathy</w:t>
            </w:r>
          </w:p>
        </w:tc>
        <w:tc>
          <w:tcPr>
            <w:tcW w:w="1513" w:type="dxa"/>
            <w:tcBorders>
              <w:top w:val="nil"/>
              <w:left w:val="nil"/>
              <w:bottom w:val="nil"/>
              <w:right w:val="nil"/>
            </w:tcBorders>
            <w:shd w:val="clear" w:color="auto" w:fill="FFFFFF"/>
            <w:vAlign w:val="center"/>
          </w:tcPr>
          <w:p w14:paraId="33F577F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10056673</w:t>
            </w:r>
          </w:p>
        </w:tc>
        <w:tc>
          <w:tcPr>
            <w:tcW w:w="1362" w:type="dxa"/>
            <w:tcBorders>
              <w:top w:val="nil"/>
              <w:left w:val="nil"/>
              <w:bottom w:val="nil"/>
              <w:right w:val="nil"/>
            </w:tcBorders>
            <w:shd w:val="clear" w:color="auto" w:fill="FFFFFF"/>
            <w:vAlign w:val="center"/>
          </w:tcPr>
          <w:p w14:paraId="3E20E5F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362" w:type="dxa"/>
            <w:tcBorders>
              <w:top w:val="nil"/>
              <w:left w:val="nil"/>
              <w:bottom w:val="nil"/>
              <w:right w:val="nil"/>
            </w:tcBorders>
            <w:shd w:val="clear" w:color="auto" w:fill="FFFFFF"/>
            <w:vAlign w:val="center"/>
          </w:tcPr>
          <w:p w14:paraId="625ADF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3178" w:type="dxa"/>
            <w:tcBorders>
              <w:top w:val="nil"/>
              <w:left w:val="nil"/>
              <w:bottom w:val="nil"/>
              <w:right w:val="nil"/>
            </w:tcBorders>
            <w:shd w:val="clear" w:color="auto" w:fill="FFFFFF"/>
            <w:vAlign w:val="center"/>
          </w:tcPr>
          <w:p w14:paraId="1958DB7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4.43 (0.62–31.52)</w:t>
            </w:r>
          </w:p>
        </w:tc>
        <w:tc>
          <w:tcPr>
            <w:tcW w:w="1665" w:type="dxa"/>
            <w:tcBorders>
              <w:top w:val="nil"/>
              <w:left w:val="nil"/>
              <w:bottom w:val="nil"/>
              <w:right w:val="nil"/>
            </w:tcBorders>
            <w:shd w:val="clear" w:color="auto" w:fill="FFFFFF"/>
            <w:vAlign w:val="center"/>
          </w:tcPr>
          <w:p w14:paraId="717AC71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0.157</w:t>
            </w:r>
          </w:p>
        </w:tc>
        <w:tc>
          <w:tcPr>
            <w:tcW w:w="1668" w:type="dxa"/>
            <w:tcBorders>
              <w:top w:val="nil"/>
              <w:left w:val="nil"/>
              <w:bottom w:val="nil"/>
              <w:right w:val="nil"/>
            </w:tcBorders>
            <w:shd w:val="clear" w:color="auto" w:fill="FFFFFF"/>
            <w:vAlign w:val="center"/>
          </w:tcPr>
          <w:p w14:paraId="314AD54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6368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28A06F6">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Loss of proprioception</w:t>
            </w:r>
          </w:p>
        </w:tc>
        <w:tc>
          <w:tcPr>
            <w:tcW w:w="1513" w:type="dxa"/>
            <w:tcBorders>
              <w:top w:val="nil"/>
              <w:left w:val="nil"/>
              <w:bottom w:val="nil"/>
              <w:right w:val="nil"/>
            </w:tcBorders>
            <w:shd w:val="clear" w:color="auto" w:fill="FFFFFF"/>
            <w:vAlign w:val="center"/>
          </w:tcPr>
          <w:p w14:paraId="6D6B36C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10057332</w:t>
            </w:r>
          </w:p>
        </w:tc>
        <w:tc>
          <w:tcPr>
            <w:tcW w:w="1362" w:type="dxa"/>
            <w:tcBorders>
              <w:top w:val="nil"/>
              <w:left w:val="nil"/>
              <w:bottom w:val="nil"/>
              <w:right w:val="nil"/>
            </w:tcBorders>
            <w:shd w:val="clear" w:color="auto" w:fill="FFFFFF"/>
            <w:vAlign w:val="center"/>
          </w:tcPr>
          <w:p w14:paraId="5AD3172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362" w:type="dxa"/>
            <w:tcBorders>
              <w:top w:val="nil"/>
              <w:left w:val="nil"/>
              <w:bottom w:val="nil"/>
              <w:right w:val="nil"/>
            </w:tcBorders>
            <w:shd w:val="clear" w:color="auto" w:fill="FFFFFF"/>
            <w:vAlign w:val="center"/>
          </w:tcPr>
          <w:p w14:paraId="7E41E74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738CC6A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13.29 (0.54–326.49)†</w:t>
            </w:r>
          </w:p>
        </w:tc>
        <w:tc>
          <w:tcPr>
            <w:tcW w:w="1665" w:type="dxa"/>
            <w:tcBorders>
              <w:top w:val="nil"/>
              <w:left w:val="nil"/>
              <w:bottom w:val="nil"/>
              <w:right w:val="nil"/>
            </w:tcBorders>
            <w:shd w:val="clear" w:color="auto" w:fill="FFFFFF"/>
            <w:vAlign w:val="center"/>
          </w:tcPr>
          <w:p w14:paraId="5518567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0.184</w:t>
            </w:r>
          </w:p>
        </w:tc>
        <w:tc>
          <w:tcPr>
            <w:tcW w:w="1668" w:type="dxa"/>
            <w:tcBorders>
              <w:top w:val="nil"/>
              <w:left w:val="nil"/>
              <w:bottom w:val="nil"/>
              <w:right w:val="nil"/>
            </w:tcBorders>
            <w:shd w:val="clear" w:color="auto" w:fill="FFFFFF"/>
            <w:vAlign w:val="center"/>
          </w:tcPr>
          <w:p w14:paraId="71A93AA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4CB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9CBB53A">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Demyelinating polyneuropathy</w:t>
            </w:r>
          </w:p>
        </w:tc>
        <w:tc>
          <w:tcPr>
            <w:tcW w:w="1513" w:type="dxa"/>
            <w:tcBorders>
              <w:top w:val="nil"/>
              <w:left w:val="nil"/>
              <w:bottom w:val="nil"/>
              <w:right w:val="nil"/>
            </w:tcBorders>
            <w:shd w:val="clear" w:color="auto" w:fill="FFFFFF"/>
            <w:vAlign w:val="center"/>
          </w:tcPr>
          <w:p w14:paraId="18CD2C4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10061811</w:t>
            </w:r>
          </w:p>
        </w:tc>
        <w:tc>
          <w:tcPr>
            <w:tcW w:w="1362" w:type="dxa"/>
            <w:tcBorders>
              <w:top w:val="nil"/>
              <w:left w:val="nil"/>
              <w:bottom w:val="nil"/>
              <w:right w:val="nil"/>
            </w:tcBorders>
            <w:shd w:val="clear" w:color="auto" w:fill="FFFFFF"/>
            <w:vAlign w:val="center"/>
          </w:tcPr>
          <w:p w14:paraId="18827B1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46C80D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FEF193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164E25C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005A0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2BA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15D59B9">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Sensorimotor disorder</w:t>
            </w:r>
          </w:p>
        </w:tc>
        <w:tc>
          <w:tcPr>
            <w:tcW w:w="1513" w:type="dxa"/>
            <w:tcBorders>
              <w:top w:val="nil"/>
              <w:left w:val="nil"/>
              <w:bottom w:val="nil"/>
              <w:right w:val="nil"/>
            </w:tcBorders>
            <w:shd w:val="clear" w:color="auto" w:fill="FFFFFF"/>
            <w:vAlign w:val="center"/>
          </w:tcPr>
          <w:p w14:paraId="61AF5C5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10062162</w:t>
            </w:r>
          </w:p>
        </w:tc>
        <w:tc>
          <w:tcPr>
            <w:tcW w:w="1362" w:type="dxa"/>
            <w:tcBorders>
              <w:top w:val="nil"/>
              <w:left w:val="nil"/>
              <w:bottom w:val="nil"/>
              <w:right w:val="nil"/>
            </w:tcBorders>
            <w:shd w:val="clear" w:color="auto" w:fill="FFFFFF"/>
            <w:vAlign w:val="center"/>
          </w:tcPr>
          <w:p w14:paraId="272C4BF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867F39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99F9A0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A28ED1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30BE55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B1E7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6D27BB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Polyneuropathy chronic</w:t>
            </w:r>
          </w:p>
        </w:tc>
        <w:tc>
          <w:tcPr>
            <w:tcW w:w="1513" w:type="dxa"/>
            <w:tcBorders>
              <w:top w:val="nil"/>
              <w:left w:val="nil"/>
              <w:bottom w:val="nil"/>
              <w:right w:val="nil"/>
            </w:tcBorders>
            <w:shd w:val="clear" w:color="auto" w:fill="FFFFFF"/>
            <w:vAlign w:val="center"/>
          </w:tcPr>
          <w:p w14:paraId="2544C47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10064135</w:t>
            </w:r>
          </w:p>
        </w:tc>
        <w:tc>
          <w:tcPr>
            <w:tcW w:w="1362" w:type="dxa"/>
            <w:tcBorders>
              <w:top w:val="nil"/>
              <w:left w:val="nil"/>
              <w:bottom w:val="nil"/>
              <w:right w:val="nil"/>
            </w:tcBorders>
            <w:shd w:val="clear" w:color="auto" w:fill="FFFFFF"/>
            <w:vAlign w:val="center"/>
          </w:tcPr>
          <w:p w14:paraId="6FCDB5E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976A2E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3E4F93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41ED83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354B91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310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A69166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Multifocal motor neuropathy</w:t>
            </w:r>
          </w:p>
        </w:tc>
        <w:tc>
          <w:tcPr>
            <w:tcW w:w="1513" w:type="dxa"/>
            <w:tcBorders>
              <w:top w:val="nil"/>
              <w:left w:val="nil"/>
              <w:bottom w:val="nil"/>
              <w:right w:val="nil"/>
            </w:tcBorders>
            <w:shd w:val="clear" w:color="auto" w:fill="FFFFFF"/>
            <w:vAlign w:val="center"/>
          </w:tcPr>
          <w:p w14:paraId="190A404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10065579</w:t>
            </w:r>
          </w:p>
        </w:tc>
        <w:tc>
          <w:tcPr>
            <w:tcW w:w="1362" w:type="dxa"/>
            <w:tcBorders>
              <w:top w:val="nil"/>
              <w:left w:val="nil"/>
              <w:bottom w:val="nil"/>
              <w:right w:val="nil"/>
            </w:tcBorders>
            <w:shd w:val="clear" w:color="auto" w:fill="FFFFFF"/>
            <w:vAlign w:val="center"/>
          </w:tcPr>
          <w:p w14:paraId="3212F66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90491C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13FA5D6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9996F7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AEB290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80A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C463C5E">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polyneuropathy</w:t>
            </w:r>
          </w:p>
        </w:tc>
        <w:tc>
          <w:tcPr>
            <w:tcW w:w="1513" w:type="dxa"/>
            <w:tcBorders>
              <w:top w:val="nil"/>
              <w:left w:val="nil"/>
              <w:bottom w:val="nil"/>
              <w:right w:val="nil"/>
            </w:tcBorders>
            <w:shd w:val="clear" w:color="auto" w:fill="FFFFFF"/>
            <w:vAlign w:val="center"/>
          </w:tcPr>
          <w:p w14:paraId="31832BA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10066699</w:t>
            </w:r>
          </w:p>
        </w:tc>
        <w:tc>
          <w:tcPr>
            <w:tcW w:w="1362" w:type="dxa"/>
            <w:tcBorders>
              <w:top w:val="nil"/>
              <w:left w:val="nil"/>
              <w:bottom w:val="nil"/>
              <w:right w:val="nil"/>
            </w:tcBorders>
            <w:shd w:val="clear" w:color="auto" w:fill="FFFFFF"/>
            <w:vAlign w:val="center"/>
          </w:tcPr>
          <w:p w14:paraId="4A91F8A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06BB83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E8D1AC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53A00C2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63B08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397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9FD58C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Decreased vibratory sense</w:t>
            </w:r>
          </w:p>
        </w:tc>
        <w:tc>
          <w:tcPr>
            <w:tcW w:w="1513" w:type="dxa"/>
            <w:tcBorders>
              <w:top w:val="nil"/>
              <w:left w:val="nil"/>
              <w:bottom w:val="nil"/>
              <w:right w:val="nil"/>
            </w:tcBorders>
            <w:shd w:val="clear" w:color="auto" w:fill="FFFFFF"/>
            <w:vAlign w:val="center"/>
          </w:tcPr>
          <w:p w14:paraId="39BE2F4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10067502</w:t>
            </w:r>
          </w:p>
        </w:tc>
        <w:tc>
          <w:tcPr>
            <w:tcW w:w="1362" w:type="dxa"/>
            <w:tcBorders>
              <w:top w:val="nil"/>
              <w:left w:val="nil"/>
              <w:bottom w:val="nil"/>
              <w:right w:val="nil"/>
            </w:tcBorders>
            <w:shd w:val="clear" w:color="auto" w:fill="FFFFFF"/>
            <w:vAlign w:val="center"/>
          </w:tcPr>
          <w:p w14:paraId="7D6D9D9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F2CF88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2B1D730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F53F4D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E750FC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625F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C75E2C5">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Toxic neuropathy</w:t>
            </w:r>
          </w:p>
        </w:tc>
        <w:tc>
          <w:tcPr>
            <w:tcW w:w="1513" w:type="dxa"/>
            <w:tcBorders>
              <w:top w:val="nil"/>
              <w:left w:val="nil"/>
              <w:bottom w:val="nil"/>
              <w:right w:val="nil"/>
            </w:tcBorders>
            <w:shd w:val="clear" w:color="auto" w:fill="FFFFFF"/>
            <w:vAlign w:val="center"/>
          </w:tcPr>
          <w:p w14:paraId="589B582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10067722</w:t>
            </w:r>
          </w:p>
        </w:tc>
        <w:tc>
          <w:tcPr>
            <w:tcW w:w="1362" w:type="dxa"/>
            <w:tcBorders>
              <w:top w:val="nil"/>
              <w:left w:val="nil"/>
              <w:bottom w:val="nil"/>
              <w:right w:val="nil"/>
            </w:tcBorders>
            <w:shd w:val="clear" w:color="auto" w:fill="FFFFFF"/>
            <w:vAlign w:val="center"/>
          </w:tcPr>
          <w:p w14:paraId="44C8ACA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E81578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A8B4F6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F03376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3A724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B0C8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A5EA9C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Radiation neuropathy</w:t>
            </w:r>
          </w:p>
        </w:tc>
        <w:tc>
          <w:tcPr>
            <w:tcW w:w="1513" w:type="dxa"/>
            <w:tcBorders>
              <w:top w:val="nil"/>
              <w:left w:val="nil"/>
              <w:bottom w:val="nil"/>
              <w:right w:val="nil"/>
            </w:tcBorders>
            <w:shd w:val="clear" w:color="auto" w:fill="FFFFFF"/>
            <w:vAlign w:val="center"/>
          </w:tcPr>
          <w:p w14:paraId="1E088CA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10068886</w:t>
            </w:r>
          </w:p>
        </w:tc>
        <w:tc>
          <w:tcPr>
            <w:tcW w:w="1362" w:type="dxa"/>
            <w:tcBorders>
              <w:top w:val="nil"/>
              <w:left w:val="nil"/>
              <w:bottom w:val="nil"/>
              <w:right w:val="nil"/>
            </w:tcBorders>
            <w:shd w:val="clear" w:color="auto" w:fill="FFFFFF"/>
            <w:vAlign w:val="center"/>
          </w:tcPr>
          <w:p w14:paraId="2D7548E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D5EB4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3EBA25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6CF7E8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27BFEE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7FE6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5EF9F6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Autoimmune neuropathy</w:t>
            </w:r>
          </w:p>
        </w:tc>
        <w:tc>
          <w:tcPr>
            <w:tcW w:w="1513" w:type="dxa"/>
            <w:tcBorders>
              <w:top w:val="nil"/>
              <w:left w:val="nil"/>
              <w:bottom w:val="nil"/>
              <w:right w:val="nil"/>
            </w:tcBorders>
            <w:shd w:val="clear" w:color="auto" w:fill="FFFFFF"/>
            <w:vAlign w:val="center"/>
          </w:tcPr>
          <w:p w14:paraId="1067589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10070439</w:t>
            </w:r>
          </w:p>
        </w:tc>
        <w:tc>
          <w:tcPr>
            <w:tcW w:w="1362" w:type="dxa"/>
            <w:tcBorders>
              <w:top w:val="nil"/>
              <w:left w:val="nil"/>
              <w:bottom w:val="nil"/>
              <w:right w:val="nil"/>
            </w:tcBorders>
            <w:shd w:val="clear" w:color="auto" w:fill="FFFFFF"/>
            <w:vAlign w:val="center"/>
          </w:tcPr>
          <w:p w14:paraId="58DE644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5D0A61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D5557F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5C0F19C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39C510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E44F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8A441A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Neuronal neuropathy</w:t>
            </w:r>
          </w:p>
        </w:tc>
        <w:tc>
          <w:tcPr>
            <w:tcW w:w="1513" w:type="dxa"/>
            <w:tcBorders>
              <w:top w:val="nil"/>
              <w:left w:val="nil"/>
              <w:bottom w:val="nil"/>
              <w:right w:val="nil"/>
            </w:tcBorders>
            <w:shd w:val="clear" w:color="auto" w:fill="FFFFFF"/>
            <w:vAlign w:val="center"/>
          </w:tcPr>
          <w:p w14:paraId="66BFAEB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10071579</w:t>
            </w:r>
          </w:p>
        </w:tc>
        <w:tc>
          <w:tcPr>
            <w:tcW w:w="1362" w:type="dxa"/>
            <w:tcBorders>
              <w:top w:val="nil"/>
              <w:left w:val="nil"/>
              <w:bottom w:val="nil"/>
              <w:right w:val="nil"/>
            </w:tcBorders>
            <w:shd w:val="clear" w:color="auto" w:fill="FFFFFF"/>
            <w:vAlign w:val="center"/>
          </w:tcPr>
          <w:p w14:paraId="101DA09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4FE465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9A8158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646F707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45FA63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7F87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677841F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Notalgia paraesthetica</w:t>
            </w:r>
          </w:p>
        </w:tc>
        <w:tc>
          <w:tcPr>
            <w:tcW w:w="1513" w:type="dxa"/>
            <w:tcBorders>
              <w:top w:val="nil"/>
              <w:left w:val="nil"/>
              <w:bottom w:val="nil"/>
              <w:right w:val="nil"/>
            </w:tcBorders>
            <w:shd w:val="clear" w:color="auto" w:fill="FFFFFF"/>
            <w:vAlign w:val="center"/>
          </w:tcPr>
          <w:p w14:paraId="5D4C643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10072643</w:t>
            </w:r>
          </w:p>
        </w:tc>
        <w:tc>
          <w:tcPr>
            <w:tcW w:w="1362" w:type="dxa"/>
            <w:tcBorders>
              <w:top w:val="nil"/>
              <w:left w:val="nil"/>
              <w:bottom w:val="nil"/>
              <w:right w:val="nil"/>
            </w:tcBorders>
            <w:shd w:val="clear" w:color="auto" w:fill="FFFFFF"/>
            <w:vAlign w:val="center"/>
          </w:tcPr>
          <w:p w14:paraId="4B35AF9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21ED530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DB3730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1773FD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1A795C5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5A548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361AF0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painful neuropathy of rapid glycaemic control</w:t>
            </w:r>
          </w:p>
        </w:tc>
        <w:tc>
          <w:tcPr>
            <w:tcW w:w="1513" w:type="dxa"/>
            <w:tcBorders>
              <w:top w:val="nil"/>
              <w:left w:val="nil"/>
              <w:bottom w:val="nil"/>
              <w:right w:val="nil"/>
            </w:tcBorders>
            <w:shd w:val="clear" w:color="auto" w:fill="FFFFFF"/>
            <w:vAlign w:val="center"/>
          </w:tcPr>
          <w:p w14:paraId="0B00136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10072909</w:t>
            </w:r>
          </w:p>
        </w:tc>
        <w:tc>
          <w:tcPr>
            <w:tcW w:w="1362" w:type="dxa"/>
            <w:tcBorders>
              <w:top w:val="nil"/>
              <w:left w:val="nil"/>
              <w:bottom w:val="nil"/>
              <w:right w:val="nil"/>
            </w:tcBorders>
            <w:shd w:val="clear" w:color="auto" w:fill="FFFFFF"/>
            <w:vAlign w:val="center"/>
          </w:tcPr>
          <w:p w14:paraId="68598C0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EFB573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77E7ACB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0159EA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2AF20F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333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46EE938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Small fibre neuropathy</w:t>
            </w:r>
          </w:p>
        </w:tc>
        <w:tc>
          <w:tcPr>
            <w:tcW w:w="1513" w:type="dxa"/>
            <w:tcBorders>
              <w:top w:val="nil"/>
              <w:left w:val="nil"/>
              <w:bottom w:val="nil"/>
              <w:right w:val="nil"/>
            </w:tcBorders>
            <w:shd w:val="clear" w:color="auto" w:fill="FFFFFF"/>
            <w:vAlign w:val="center"/>
          </w:tcPr>
          <w:p w14:paraId="6CA4A0D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10073928</w:t>
            </w:r>
          </w:p>
        </w:tc>
        <w:tc>
          <w:tcPr>
            <w:tcW w:w="1362" w:type="dxa"/>
            <w:tcBorders>
              <w:top w:val="nil"/>
              <w:left w:val="nil"/>
              <w:bottom w:val="nil"/>
              <w:right w:val="nil"/>
            </w:tcBorders>
            <w:shd w:val="clear" w:color="auto" w:fill="FFFFFF"/>
            <w:vAlign w:val="center"/>
          </w:tcPr>
          <w:p w14:paraId="7E9EE8E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2CE0614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10954A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4D266D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6A27E22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4018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028224FA">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Neuropathic muscular atrophy</w:t>
            </w:r>
          </w:p>
        </w:tc>
        <w:tc>
          <w:tcPr>
            <w:tcW w:w="1513" w:type="dxa"/>
            <w:tcBorders>
              <w:top w:val="nil"/>
              <w:left w:val="nil"/>
              <w:bottom w:val="nil"/>
              <w:right w:val="nil"/>
            </w:tcBorders>
            <w:shd w:val="clear" w:color="auto" w:fill="FFFFFF"/>
            <w:vAlign w:val="center"/>
          </w:tcPr>
          <w:p w14:paraId="1537127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10075469</w:t>
            </w:r>
          </w:p>
        </w:tc>
        <w:tc>
          <w:tcPr>
            <w:tcW w:w="1362" w:type="dxa"/>
            <w:tcBorders>
              <w:top w:val="nil"/>
              <w:left w:val="nil"/>
              <w:bottom w:val="nil"/>
              <w:right w:val="nil"/>
            </w:tcBorders>
            <w:shd w:val="clear" w:color="auto" w:fill="FFFFFF"/>
            <w:vAlign w:val="center"/>
          </w:tcPr>
          <w:p w14:paraId="69ED981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1FE1037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6E5633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A82E97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21D0FA6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FC6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19E4819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Tick paralysis</w:t>
            </w:r>
          </w:p>
        </w:tc>
        <w:tc>
          <w:tcPr>
            <w:tcW w:w="1513" w:type="dxa"/>
            <w:tcBorders>
              <w:top w:val="nil"/>
              <w:left w:val="nil"/>
              <w:bottom w:val="nil"/>
              <w:right w:val="nil"/>
            </w:tcBorders>
            <w:shd w:val="clear" w:color="auto" w:fill="FFFFFF"/>
            <w:vAlign w:val="center"/>
          </w:tcPr>
          <w:p w14:paraId="4A4EC64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10077336</w:t>
            </w:r>
          </w:p>
        </w:tc>
        <w:tc>
          <w:tcPr>
            <w:tcW w:w="1362" w:type="dxa"/>
            <w:tcBorders>
              <w:top w:val="nil"/>
              <w:left w:val="nil"/>
              <w:bottom w:val="nil"/>
              <w:right w:val="nil"/>
            </w:tcBorders>
            <w:shd w:val="clear" w:color="auto" w:fill="FFFFFF"/>
            <w:vAlign w:val="center"/>
          </w:tcPr>
          <w:p w14:paraId="04A0A14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B1808D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3371CEC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216A103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6CB6AF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05C6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533B645">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Anti-myelin-associated glycoprotein associated polyneuropathy</w:t>
            </w:r>
          </w:p>
        </w:tc>
        <w:tc>
          <w:tcPr>
            <w:tcW w:w="1513" w:type="dxa"/>
            <w:tcBorders>
              <w:top w:val="nil"/>
              <w:left w:val="nil"/>
              <w:bottom w:val="nil"/>
              <w:right w:val="nil"/>
            </w:tcBorders>
            <w:shd w:val="clear" w:color="auto" w:fill="FFFFFF"/>
            <w:vAlign w:val="center"/>
          </w:tcPr>
          <w:p w14:paraId="5C538EA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10078324</w:t>
            </w:r>
          </w:p>
        </w:tc>
        <w:tc>
          <w:tcPr>
            <w:tcW w:w="1362" w:type="dxa"/>
            <w:tcBorders>
              <w:top w:val="nil"/>
              <w:left w:val="nil"/>
              <w:bottom w:val="nil"/>
              <w:right w:val="nil"/>
            </w:tcBorders>
            <w:shd w:val="clear" w:color="auto" w:fill="FFFFFF"/>
            <w:vAlign w:val="center"/>
          </w:tcPr>
          <w:p w14:paraId="4361328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0587F3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F43405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4512E85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334F35B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EC9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846ECB9">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Immune-mediated neuropathy</w:t>
            </w:r>
          </w:p>
        </w:tc>
        <w:tc>
          <w:tcPr>
            <w:tcW w:w="1513" w:type="dxa"/>
            <w:tcBorders>
              <w:top w:val="nil"/>
              <w:left w:val="nil"/>
              <w:bottom w:val="nil"/>
              <w:right w:val="nil"/>
            </w:tcBorders>
            <w:shd w:val="clear" w:color="auto" w:fill="FFFFFF"/>
            <w:vAlign w:val="center"/>
          </w:tcPr>
          <w:p w14:paraId="3547310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10078963</w:t>
            </w:r>
          </w:p>
        </w:tc>
        <w:tc>
          <w:tcPr>
            <w:tcW w:w="1362" w:type="dxa"/>
            <w:tcBorders>
              <w:top w:val="nil"/>
              <w:left w:val="nil"/>
              <w:bottom w:val="nil"/>
              <w:right w:val="nil"/>
            </w:tcBorders>
            <w:shd w:val="clear" w:color="auto" w:fill="FFFFFF"/>
            <w:vAlign w:val="center"/>
          </w:tcPr>
          <w:p w14:paraId="11740F0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3E49776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707A34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0C3737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4DDBF5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0CFC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27EB5F8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Angiopathic neuropathy</w:t>
            </w:r>
          </w:p>
        </w:tc>
        <w:tc>
          <w:tcPr>
            <w:tcW w:w="1513" w:type="dxa"/>
            <w:tcBorders>
              <w:top w:val="nil"/>
              <w:left w:val="nil"/>
              <w:bottom w:val="nil"/>
              <w:right w:val="nil"/>
            </w:tcBorders>
            <w:shd w:val="clear" w:color="auto" w:fill="FFFFFF"/>
            <w:vAlign w:val="center"/>
          </w:tcPr>
          <w:p w14:paraId="6508BFE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10079036</w:t>
            </w:r>
          </w:p>
        </w:tc>
        <w:tc>
          <w:tcPr>
            <w:tcW w:w="1362" w:type="dxa"/>
            <w:tcBorders>
              <w:top w:val="nil"/>
              <w:left w:val="nil"/>
              <w:bottom w:val="nil"/>
              <w:right w:val="nil"/>
            </w:tcBorders>
            <w:shd w:val="clear" w:color="auto" w:fill="FFFFFF"/>
            <w:vAlign w:val="center"/>
          </w:tcPr>
          <w:p w14:paraId="329574C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70B8532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4AE8ECA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6CD5A40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0C1A312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0DA7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7836DB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Joint position sense decreased</w:t>
            </w:r>
          </w:p>
        </w:tc>
        <w:tc>
          <w:tcPr>
            <w:tcW w:w="1513" w:type="dxa"/>
            <w:tcBorders>
              <w:top w:val="nil"/>
              <w:left w:val="nil"/>
              <w:bottom w:val="nil"/>
              <w:right w:val="nil"/>
            </w:tcBorders>
            <w:shd w:val="clear" w:color="auto" w:fill="FFFFFF"/>
            <w:vAlign w:val="center"/>
          </w:tcPr>
          <w:p w14:paraId="08F6F84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10081223</w:t>
            </w:r>
          </w:p>
        </w:tc>
        <w:tc>
          <w:tcPr>
            <w:tcW w:w="1362" w:type="dxa"/>
            <w:tcBorders>
              <w:top w:val="nil"/>
              <w:left w:val="nil"/>
              <w:bottom w:val="nil"/>
              <w:right w:val="nil"/>
            </w:tcBorders>
            <w:shd w:val="clear" w:color="auto" w:fill="FFFFFF"/>
            <w:vAlign w:val="center"/>
          </w:tcPr>
          <w:p w14:paraId="3A4850C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5AD0752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9DA961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C5EB07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CDE8AE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20E6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300A71E">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Paroxysmal extreme pain disorder</w:t>
            </w:r>
          </w:p>
        </w:tc>
        <w:tc>
          <w:tcPr>
            <w:tcW w:w="1513" w:type="dxa"/>
            <w:tcBorders>
              <w:top w:val="nil"/>
              <w:left w:val="nil"/>
              <w:bottom w:val="nil"/>
              <w:right w:val="nil"/>
            </w:tcBorders>
            <w:shd w:val="clear" w:color="auto" w:fill="FFFFFF"/>
            <w:vAlign w:val="center"/>
          </w:tcPr>
          <w:p w14:paraId="54B13A3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10081856</w:t>
            </w:r>
          </w:p>
        </w:tc>
        <w:tc>
          <w:tcPr>
            <w:tcW w:w="1362" w:type="dxa"/>
            <w:tcBorders>
              <w:top w:val="nil"/>
              <w:left w:val="nil"/>
              <w:bottom w:val="nil"/>
              <w:right w:val="nil"/>
            </w:tcBorders>
            <w:shd w:val="clear" w:color="auto" w:fill="FFFFFF"/>
            <w:vAlign w:val="center"/>
          </w:tcPr>
          <w:p w14:paraId="636B458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46D996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7988F41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0DEEC3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91D2F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8179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300F686B">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Axonal and demyelinating polyneuropathy</w:t>
            </w:r>
          </w:p>
        </w:tc>
        <w:tc>
          <w:tcPr>
            <w:tcW w:w="1513" w:type="dxa"/>
            <w:tcBorders>
              <w:top w:val="nil"/>
              <w:left w:val="nil"/>
              <w:bottom w:val="nil"/>
              <w:right w:val="nil"/>
            </w:tcBorders>
            <w:shd w:val="clear" w:color="auto" w:fill="FFFFFF"/>
            <w:vAlign w:val="center"/>
          </w:tcPr>
          <w:p w14:paraId="2AE51C1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10084153</w:t>
            </w:r>
          </w:p>
        </w:tc>
        <w:tc>
          <w:tcPr>
            <w:tcW w:w="1362" w:type="dxa"/>
            <w:tcBorders>
              <w:top w:val="nil"/>
              <w:left w:val="nil"/>
              <w:bottom w:val="nil"/>
              <w:right w:val="nil"/>
            </w:tcBorders>
            <w:shd w:val="clear" w:color="auto" w:fill="FFFFFF"/>
            <w:vAlign w:val="center"/>
          </w:tcPr>
          <w:p w14:paraId="1B95D7B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2B9B6E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2709781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682CEB5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570B52D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38EF0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57A01E6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Lumbosacral radiculoplexus neuropathy</w:t>
            </w:r>
          </w:p>
        </w:tc>
        <w:tc>
          <w:tcPr>
            <w:tcW w:w="1513" w:type="dxa"/>
            <w:tcBorders>
              <w:top w:val="nil"/>
              <w:left w:val="nil"/>
              <w:bottom w:val="nil"/>
              <w:right w:val="nil"/>
            </w:tcBorders>
            <w:shd w:val="clear" w:color="auto" w:fill="FFFFFF"/>
            <w:vAlign w:val="center"/>
          </w:tcPr>
          <w:p w14:paraId="36D25B3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10085063</w:t>
            </w:r>
          </w:p>
        </w:tc>
        <w:tc>
          <w:tcPr>
            <w:tcW w:w="1362" w:type="dxa"/>
            <w:tcBorders>
              <w:top w:val="nil"/>
              <w:left w:val="nil"/>
              <w:bottom w:val="nil"/>
              <w:right w:val="nil"/>
            </w:tcBorders>
            <w:shd w:val="clear" w:color="auto" w:fill="FFFFFF"/>
            <w:vAlign w:val="center"/>
          </w:tcPr>
          <w:p w14:paraId="66DCD78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04BBC32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051B017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0589DDD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E184C1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1A54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BEDDC2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Large fibre neuropathy</w:t>
            </w:r>
          </w:p>
        </w:tc>
        <w:tc>
          <w:tcPr>
            <w:tcW w:w="1513" w:type="dxa"/>
            <w:tcBorders>
              <w:top w:val="nil"/>
              <w:left w:val="nil"/>
              <w:bottom w:val="nil"/>
              <w:right w:val="nil"/>
            </w:tcBorders>
            <w:shd w:val="clear" w:color="auto" w:fill="FFFFFF"/>
            <w:vAlign w:val="center"/>
          </w:tcPr>
          <w:p w14:paraId="2BFB7E3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10086893</w:t>
            </w:r>
          </w:p>
        </w:tc>
        <w:tc>
          <w:tcPr>
            <w:tcW w:w="1362" w:type="dxa"/>
            <w:tcBorders>
              <w:top w:val="nil"/>
              <w:left w:val="nil"/>
              <w:bottom w:val="nil"/>
              <w:right w:val="nil"/>
            </w:tcBorders>
            <w:shd w:val="clear" w:color="auto" w:fill="FFFFFF"/>
            <w:vAlign w:val="center"/>
          </w:tcPr>
          <w:p w14:paraId="46DF2BA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6F0471E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5FACC15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358DE3C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773208F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F3F7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nil"/>
              <w:right w:val="nil"/>
            </w:tcBorders>
            <w:shd w:val="clear" w:color="auto" w:fill="FFFFFF"/>
            <w:vAlign w:val="center"/>
          </w:tcPr>
          <w:p w14:paraId="7DDEE96E">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Ascending flaccid paralysis</w:t>
            </w:r>
          </w:p>
        </w:tc>
        <w:tc>
          <w:tcPr>
            <w:tcW w:w="1513" w:type="dxa"/>
            <w:tcBorders>
              <w:top w:val="nil"/>
              <w:left w:val="nil"/>
              <w:bottom w:val="nil"/>
              <w:right w:val="nil"/>
            </w:tcBorders>
            <w:shd w:val="clear" w:color="auto" w:fill="FFFFFF"/>
            <w:vAlign w:val="center"/>
          </w:tcPr>
          <w:p w14:paraId="446C91A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10087798</w:t>
            </w:r>
          </w:p>
        </w:tc>
        <w:tc>
          <w:tcPr>
            <w:tcW w:w="1362" w:type="dxa"/>
            <w:tcBorders>
              <w:top w:val="nil"/>
              <w:left w:val="nil"/>
              <w:bottom w:val="nil"/>
              <w:right w:val="nil"/>
            </w:tcBorders>
            <w:shd w:val="clear" w:color="auto" w:fill="FFFFFF"/>
            <w:vAlign w:val="center"/>
          </w:tcPr>
          <w:p w14:paraId="5DB04E5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nil"/>
              <w:right w:val="nil"/>
            </w:tcBorders>
            <w:shd w:val="clear" w:color="auto" w:fill="FFFFFF"/>
            <w:vAlign w:val="center"/>
          </w:tcPr>
          <w:p w14:paraId="43F251C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nil"/>
              <w:right w:val="nil"/>
            </w:tcBorders>
            <w:shd w:val="clear" w:color="auto" w:fill="FFFFFF"/>
            <w:vAlign w:val="center"/>
          </w:tcPr>
          <w:p w14:paraId="6F99D65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nil"/>
              <w:right w:val="nil"/>
            </w:tcBorders>
            <w:shd w:val="clear" w:color="auto" w:fill="FFFFFF"/>
            <w:vAlign w:val="center"/>
          </w:tcPr>
          <w:p w14:paraId="79C0578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nil"/>
              <w:right w:val="nil"/>
            </w:tcBorders>
            <w:shd w:val="clear" w:color="auto" w:fill="FFFFFF"/>
            <w:vAlign w:val="center"/>
          </w:tcPr>
          <w:p w14:paraId="43EFD49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5EC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4389" w:type="dxa"/>
            <w:tcBorders>
              <w:top w:val="nil"/>
              <w:left w:val="nil"/>
              <w:bottom w:val="single" w:color="000000" w:sz="8" w:space="0"/>
              <w:right w:val="nil"/>
            </w:tcBorders>
            <w:shd w:val="clear" w:color="auto" w:fill="FFFFFF"/>
            <w:vAlign w:val="center"/>
          </w:tcPr>
          <w:p w14:paraId="3DA3EE0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Polyradiculoneuropathy</w:t>
            </w:r>
          </w:p>
        </w:tc>
        <w:tc>
          <w:tcPr>
            <w:tcW w:w="1513" w:type="dxa"/>
            <w:tcBorders>
              <w:top w:val="nil"/>
              <w:left w:val="nil"/>
              <w:bottom w:val="single" w:color="000000" w:sz="8" w:space="0"/>
              <w:right w:val="nil"/>
            </w:tcBorders>
            <w:shd w:val="clear" w:color="auto" w:fill="FFFFFF"/>
            <w:vAlign w:val="center"/>
          </w:tcPr>
          <w:p w14:paraId="10B4590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10087869</w:t>
            </w:r>
          </w:p>
        </w:tc>
        <w:tc>
          <w:tcPr>
            <w:tcW w:w="1362" w:type="dxa"/>
            <w:tcBorders>
              <w:top w:val="nil"/>
              <w:left w:val="nil"/>
              <w:bottom w:val="single" w:color="000000" w:sz="8" w:space="0"/>
              <w:right w:val="nil"/>
            </w:tcBorders>
            <w:shd w:val="clear" w:color="auto" w:fill="FFFFFF"/>
            <w:vAlign w:val="center"/>
          </w:tcPr>
          <w:p w14:paraId="7AC39C5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362" w:type="dxa"/>
            <w:tcBorders>
              <w:top w:val="nil"/>
              <w:left w:val="nil"/>
              <w:bottom w:val="single" w:color="000000" w:sz="8" w:space="0"/>
              <w:right w:val="nil"/>
            </w:tcBorders>
            <w:shd w:val="clear" w:color="auto" w:fill="FFFFFF"/>
            <w:vAlign w:val="center"/>
          </w:tcPr>
          <w:p w14:paraId="13DD65F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3178" w:type="dxa"/>
            <w:tcBorders>
              <w:top w:val="nil"/>
              <w:left w:val="nil"/>
              <w:bottom w:val="single" w:color="000000" w:sz="8" w:space="0"/>
              <w:right w:val="nil"/>
            </w:tcBorders>
            <w:shd w:val="clear" w:color="auto" w:fill="FFFFFF"/>
            <w:vAlign w:val="center"/>
          </w:tcPr>
          <w:p w14:paraId="6C95C45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estimable</w:t>
            </w:r>
          </w:p>
        </w:tc>
        <w:tc>
          <w:tcPr>
            <w:tcW w:w="1665" w:type="dxa"/>
            <w:tcBorders>
              <w:top w:val="nil"/>
              <w:left w:val="nil"/>
              <w:bottom w:val="single" w:color="000000" w:sz="8" w:space="0"/>
              <w:right w:val="nil"/>
            </w:tcBorders>
            <w:shd w:val="clear" w:color="auto" w:fill="FFFFFF"/>
            <w:vAlign w:val="center"/>
          </w:tcPr>
          <w:p w14:paraId="33AC795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668" w:type="dxa"/>
            <w:tcBorders>
              <w:top w:val="nil"/>
              <w:left w:val="nil"/>
              <w:bottom w:val="single" w:color="000000" w:sz="8" w:space="0"/>
              <w:right w:val="nil"/>
            </w:tcBorders>
            <w:shd w:val="clear" w:color="auto" w:fill="FFFFFF"/>
            <w:vAlign w:val="center"/>
          </w:tcPr>
          <w:p w14:paraId="48808FC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bl>
    <w:p w14:paraId="351EBA98">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Denominators are 872 momelotinib and 3,860 pooled comparator reports. Each report is counted once per PT but can contain several PTs. All 67 narrow-query members jointly form the BH family, including P=1 for terms not observed in either group. † A 0.5 correction was applied to all four cells for the displayed estimate and interval; Fisher tests use raw counts. Not estimable denotes no observed event in either group. Absence of a term in the data does not remove it from the official query. BH, Benjamini–Hochberg.</w:t>
      </w:r>
    </w:p>
    <w:p w14:paraId="1024F728">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S4. Individual-comparator analyses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027"/>
        <w:gridCol w:w="1816"/>
        <w:gridCol w:w="2119"/>
        <w:gridCol w:w="2119"/>
        <w:gridCol w:w="3027"/>
        <w:gridCol w:w="1513"/>
        <w:gridCol w:w="1516"/>
      </w:tblGrid>
      <w:tr w14:paraId="5B36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027" w:type="dxa"/>
            <w:tcBorders>
              <w:top w:val="single" w:color="000000" w:sz="8" w:space="0"/>
              <w:left w:val="nil"/>
              <w:bottom w:val="single" w:color="000000" w:sz="6" w:space="0"/>
              <w:right w:val="nil"/>
            </w:tcBorders>
            <w:shd w:val="clear" w:color="auto" w:fill="FFFFFF"/>
            <w:vAlign w:val="center"/>
          </w:tcPr>
          <w:p w14:paraId="5225A43E">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Endpoint</w:t>
            </w:r>
          </w:p>
        </w:tc>
        <w:tc>
          <w:tcPr>
            <w:tcW w:w="1816" w:type="dxa"/>
            <w:tcBorders>
              <w:top w:val="single" w:color="000000" w:sz="8" w:space="0"/>
              <w:left w:val="nil"/>
              <w:bottom w:val="single" w:color="000000" w:sz="6" w:space="0"/>
              <w:right w:val="nil"/>
            </w:tcBorders>
            <w:shd w:val="clear" w:color="auto" w:fill="FFFFFF"/>
            <w:vAlign w:val="center"/>
          </w:tcPr>
          <w:p w14:paraId="7C963E6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Comparator</w:t>
            </w:r>
          </w:p>
        </w:tc>
        <w:tc>
          <w:tcPr>
            <w:tcW w:w="2119" w:type="dxa"/>
            <w:tcBorders>
              <w:top w:val="single" w:color="000000" w:sz="8" w:space="0"/>
              <w:left w:val="nil"/>
              <w:bottom w:val="single" w:color="000000" w:sz="6" w:space="0"/>
              <w:right w:val="nil"/>
            </w:tcBorders>
            <w:shd w:val="clear" w:color="auto" w:fill="FFFFFF"/>
            <w:vAlign w:val="center"/>
          </w:tcPr>
          <w:p w14:paraId="23C6C89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Momelotinib event / non-event</w:t>
            </w:r>
          </w:p>
        </w:tc>
        <w:tc>
          <w:tcPr>
            <w:tcW w:w="2119" w:type="dxa"/>
            <w:tcBorders>
              <w:top w:val="single" w:color="000000" w:sz="8" w:space="0"/>
              <w:left w:val="nil"/>
              <w:bottom w:val="single" w:color="000000" w:sz="6" w:space="0"/>
              <w:right w:val="nil"/>
            </w:tcBorders>
            <w:shd w:val="clear" w:color="auto" w:fill="FFFFFF"/>
            <w:vAlign w:val="center"/>
          </w:tcPr>
          <w:p w14:paraId="1EA7335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Comparator event / non-event</w:t>
            </w:r>
          </w:p>
        </w:tc>
        <w:tc>
          <w:tcPr>
            <w:tcW w:w="3027" w:type="dxa"/>
            <w:tcBorders>
              <w:top w:val="single" w:color="000000" w:sz="8" w:space="0"/>
              <w:left w:val="nil"/>
              <w:bottom w:val="single" w:color="000000" w:sz="6" w:space="0"/>
              <w:right w:val="nil"/>
            </w:tcBorders>
            <w:shd w:val="clear" w:color="auto" w:fill="FFFFFF"/>
            <w:vAlign w:val="center"/>
          </w:tcPr>
          <w:p w14:paraId="73E2BFF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ROR (95% CI)</w:t>
            </w:r>
          </w:p>
        </w:tc>
        <w:tc>
          <w:tcPr>
            <w:tcW w:w="1513" w:type="dxa"/>
            <w:tcBorders>
              <w:top w:val="single" w:color="000000" w:sz="8" w:space="0"/>
              <w:left w:val="nil"/>
              <w:bottom w:val="single" w:color="000000" w:sz="6" w:space="0"/>
              <w:right w:val="nil"/>
            </w:tcBorders>
            <w:shd w:val="clear" w:color="auto" w:fill="FFFFFF"/>
            <w:vAlign w:val="center"/>
          </w:tcPr>
          <w:p w14:paraId="71B840C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Fisher P</w:t>
            </w:r>
          </w:p>
        </w:tc>
        <w:tc>
          <w:tcPr>
            <w:tcW w:w="1516" w:type="dxa"/>
            <w:tcBorders>
              <w:top w:val="single" w:color="000000" w:sz="8" w:space="0"/>
              <w:left w:val="nil"/>
              <w:bottom w:val="single" w:color="000000" w:sz="6" w:space="0"/>
              <w:right w:val="nil"/>
            </w:tcBorders>
            <w:shd w:val="clear" w:color="auto" w:fill="FFFFFF"/>
            <w:vAlign w:val="center"/>
          </w:tcPr>
          <w:p w14:paraId="042517D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Holm P (6 tests)</w:t>
            </w:r>
          </w:p>
        </w:tc>
      </w:tr>
      <w:tr w14:paraId="573CD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3E40E16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1816" w:type="dxa"/>
            <w:tcBorders>
              <w:top w:val="nil"/>
              <w:left w:val="nil"/>
              <w:bottom w:val="nil"/>
              <w:right w:val="nil"/>
            </w:tcBorders>
            <w:shd w:val="clear" w:color="auto" w:fill="FFFFFF"/>
            <w:vAlign w:val="center"/>
          </w:tcPr>
          <w:p w14:paraId="2DAAFF8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Ruxolitinib</w:t>
            </w:r>
          </w:p>
        </w:tc>
        <w:tc>
          <w:tcPr>
            <w:tcW w:w="2119" w:type="dxa"/>
            <w:tcBorders>
              <w:top w:val="nil"/>
              <w:left w:val="nil"/>
              <w:bottom w:val="nil"/>
              <w:right w:val="nil"/>
            </w:tcBorders>
            <w:shd w:val="clear" w:color="auto" w:fill="FFFFFF"/>
            <w:vAlign w:val="center"/>
          </w:tcPr>
          <w:p w14:paraId="21AC7BF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805</w:t>
            </w:r>
          </w:p>
        </w:tc>
        <w:tc>
          <w:tcPr>
            <w:tcW w:w="2119" w:type="dxa"/>
            <w:tcBorders>
              <w:top w:val="nil"/>
              <w:left w:val="nil"/>
              <w:bottom w:val="nil"/>
              <w:right w:val="nil"/>
            </w:tcBorders>
            <w:shd w:val="clear" w:color="auto" w:fill="FFFFFF"/>
            <w:vAlign w:val="center"/>
          </w:tcPr>
          <w:p w14:paraId="4641A88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 / 2707</w:t>
            </w:r>
          </w:p>
        </w:tc>
        <w:tc>
          <w:tcPr>
            <w:tcW w:w="3027" w:type="dxa"/>
            <w:tcBorders>
              <w:top w:val="nil"/>
              <w:left w:val="nil"/>
              <w:bottom w:val="nil"/>
              <w:right w:val="nil"/>
            </w:tcBorders>
            <w:shd w:val="clear" w:color="auto" w:fill="FFFFFF"/>
            <w:vAlign w:val="center"/>
          </w:tcPr>
          <w:p w14:paraId="55D9C5D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5.50 (3.70–8.17)</w:t>
            </w:r>
          </w:p>
        </w:tc>
        <w:tc>
          <w:tcPr>
            <w:tcW w:w="1513" w:type="dxa"/>
            <w:tcBorders>
              <w:top w:val="nil"/>
              <w:left w:val="nil"/>
              <w:bottom w:val="nil"/>
              <w:right w:val="nil"/>
            </w:tcBorders>
            <w:shd w:val="clear" w:color="auto" w:fill="FFFFFF"/>
            <w:vAlign w:val="center"/>
          </w:tcPr>
          <w:p w14:paraId="0067DF1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1.71e-17</w:t>
            </w:r>
          </w:p>
        </w:tc>
        <w:tc>
          <w:tcPr>
            <w:tcW w:w="1516" w:type="dxa"/>
            <w:tcBorders>
              <w:top w:val="nil"/>
              <w:left w:val="nil"/>
              <w:bottom w:val="nil"/>
              <w:right w:val="nil"/>
            </w:tcBorders>
            <w:shd w:val="clear" w:color="auto" w:fill="FFFFFF"/>
            <w:vAlign w:val="center"/>
          </w:tcPr>
          <w:p w14:paraId="1AC4D09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1.03e-16</w:t>
            </w:r>
          </w:p>
        </w:tc>
      </w:tr>
      <w:tr w14:paraId="79EF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3F38B98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1816" w:type="dxa"/>
            <w:tcBorders>
              <w:top w:val="nil"/>
              <w:left w:val="nil"/>
              <w:bottom w:val="nil"/>
              <w:right w:val="nil"/>
            </w:tcBorders>
            <w:shd w:val="clear" w:color="auto" w:fill="FFFFFF"/>
            <w:vAlign w:val="center"/>
          </w:tcPr>
          <w:p w14:paraId="6FBFDDB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Fedratinib</w:t>
            </w:r>
          </w:p>
        </w:tc>
        <w:tc>
          <w:tcPr>
            <w:tcW w:w="2119" w:type="dxa"/>
            <w:tcBorders>
              <w:top w:val="nil"/>
              <w:left w:val="nil"/>
              <w:bottom w:val="nil"/>
              <w:right w:val="nil"/>
            </w:tcBorders>
            <w:shd w:val="clear" w:color="auto" w:fill="FFFFFF"/>
            <w:vAlign w:val="center"/>
          </w:tcPr>
          <w:p w14:paraId="451E266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805</w:t>
            </w:r>
          </w:p>
        </w:tc>
        <w:tc>
          <w:tcPr>
            <w:tcW w:w="2119" w:type="dxa"/>
            <w:tcBorders>
              <w:top w:val="nil"/>
              <w:left w:val="nil"/>
              <w:bottom w:val="nil"/>
              <w:right w:val="nil"/>
            </w:tcBorders>
            <w:shd w:val="clear" w:color="auto" w:fill="FFFFFF"/>
            <w:vAlign w:val="center"/>
          </w:tcPr>
          <w:p w14:paraId="44797FB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 / 120</w:t>
            </w:r>
          </w:p>
        </w:tc>
        <w:tc>
          <w:tcPr>
            <w:tcW w:w="3027" w:type="dxa"/>
            <w:tcBorders>
              <w:top w:val="nil"/>
              <w:left w:val="nil"/>
              <w:bottom w:val="nil"/>
              <w:right w:val="nil"/>
            </w:tcBorders>
            <w:shd w:val="clear" w:color="auto" w:fill="FFFFFF"/>
            <w:vAlign w:val="center"/>
          </w:tcPr>
          <w:p w14:paraId="2670633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1.11 (0.54–2.28)</w:t>
            </w:r>
          </w:p>
        </w:tc>
        <w:tc>
          <w:tcPr>
            <w:tcW w:w="1513" w:type="dxa"/>
            <w:tcBorders>
              <w:top w:val="nil"/>
              <w:left w:val="nil"/>
              <w:bottom w:val="nil"/>
              <w:right w:val="nil"/>
            </w:tcBorders>
            <w:shd w:val="clear" w:color="auto" w:fill="FFFFFF"/>
            <w:vAlign w:val="center"/>
          </w:tcPr>
          <w:p w14:paraId="1837481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c>
          <w:tcPr>
            <w:tcW w:w="1516" w:type="dxa"/>
            <w:tcBorders>
              <w:top w:val="nil"/>
              <w:left w:val="nil"/>
              <w:bottom w:val="nil"/>
              <w:right w:val="nil"/>
            </w:tcBorders>
            <w:shd w:val="clear" w:color="auto" w:fill="FFFFFF"/>
            <w:vAlign w:val="center"/>
          </w:tcPr>
          <w:p w14:paraId="6407E97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68AA8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147103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1816" w:type="dxa"/>
            <w:tcBorders>
              <w:top w:val="nil"/>
              <w:left w:val="nil"/>
              <w:bottom w:val="nil"/>
              <w:right w:val="nil"/>
            </w:tcBorders>
            <w:shd w:val="clear" w:color="auto" w:fill="FFFFFF"/>
            <w:vAlign w:val="center"/>
          </w:tcPr>
          <w:p w14:paraId="0587942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Pacritinib</w:t>
            </w:r>
          </w:p>
        </w:tc>
        <w:tc>
          <w:tcPr>
            <w:tcW w:w="2119" w:type="dxa"/>
            <w:tcBorders>
              <w:top w:val="nil"/>
              <w:left w:val="nil"/>
              <w:bottom w:val="nil"/>
              <w:right w:val="nil"/>
            </w:tcBorders>
            <w:shd w:val="clear" w:color="auto" w:fill="FFFFFF"/>
            <w:vAlign w:val="center"/>
          </w:tcPr>
          <w:p w14:paraId="5FD06C8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805</w:t>
            </w:r>
          </w:p>
        </w:tc>
        <w:tc>
          <w:tcPr>
            <w:tcW w:w="2119" w:type="dxa"/>
            <w:tcBorders>
              <w:top w:val="nil"/>
              <w:left w:val="nil"/>
              <w:bottom w:val="nil"/>
              <w:right w:val="nil"/>
            </w:tcBorders>
            <w:shd w:val="clear" w:color="auto" w:fill="FFFFFF"/>
            <w:vAlign w:val="center"/>
          </w:tcPr>
          <w:p w14:paraId="6510F6C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 / 973</w:t>
            </w:r>
          </w:p>
        </w:tc>
        <w:tc>
          <w:tcPr>
            <w:tcW w:w="3027" w:type="dxa"/>
            <w:tcBorders>
              <w:top w:val="nil"/>
              <w:left w:val="nil"/>
              <w:bottom w:val="nil"/>
              <w:right w:val="nil"/>
            </w:tcBorders>
            <w:shd w:val="clear" w:color="auto" w:fill="FFFFFF"/>
            <w:vAlign w:val="center"/>
          </w:tcPr>
          <w:p w14:paraId="1DFA36C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8.10 (4.14–15.84)</w:t>
            </w:r>
          </w:p>
        </w:tc>
        <w:tc>
          <w:tcPr>
            <w:tcW w:w="1513" w:type="dxa"/>
            <w:tcBorders>
              <w:top w:val="nil"/>
              <w:left w:val="nil"/>
              <w:bottom w:val="nil"/>
              <w:right w:val="nil"/>
            </w:tcBorders>
            <w:shd w:val="clear" w:color="auto" w:fill="FFFFFF"/>
            <w:vAlign w:val="center"/>
          </w:tcPr>
          <w:p w14:paraId="2D10C35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1.10e-13</w:t>
            </w:r>
          </w:p>
        </w:tc>
        <w:tc>
          <w:tcPr>
            <w:tcW w:w="1516" w:type="dxa"/>
            <w:tcBorders>
              <w:top w:val="nil"/>
              <w:left w:val="nil"/>
              <w:bottom w:val="nil"/>
              <w:right w:val="nil"/>
            </w:tcBorders>
            <w:shd w:val="clear" w:color="auto" w:fill="FFFFFF"/>
            <w:vAlign w:val="center"/>
          </w:tcPr>
          <w:p w14:paraId="0B04725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5.48e-13</w:t>
            </w:r>
          </w:p>
        </w:tc>
      </w:tr>
      <w:tr w14:paraId="2202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0333EB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1816" w:type="dxa"/>
            <w:tcBorders>
              <w:top w:val="nil"/>
              <w:left w:val="nil"/>
              <w:bottom w:val="nil"/>
              <w:right w:val="nil"/>
            </w:tcBorders>
            <w:shd w:val="clear" w:color="auto" w:fill="FFFFFF"/>
            <w:vAlign w:val="center"/>
          </w:tcPr>
          <w:p w14:paraId="13DA4D5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Ruxolitinib</w:t>
            </w:r>
          </w:p>
        </w:tc>
        <w:tc>
          <w:tcPr>
            <w:tcW w:w="2119" w:type="dxa"/>
            <w:tcBorders>
              <w:top w:val="nil"/>
              <w:left w:val="nil"/>
              <w:bottom w:val="nil"/>
              <w:right w:val="nil"/>
            </w:tcBorders>
            <w:shd w:val="clear" w:color="auto" w:fill="FFFFFF"/>
            <w:vAlign w:val="center"/>
          </w:tcPr>
          <w:p w14:paraId="4044783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829</w:t>
            </w:r>
          </w:p>
        </w:tc>
        <w:tc>
          <w:tcPr>
            <w:tcW w:w="2119" w:type="dxa"/>
            <w:tcBorders>
              <w:top w:val="nil"/>
              <w:left w:val="nil"/>
              <w:bottom w:val="nil"/>
              <w:right w:val="nil"/>
            </w:tcBorders>
            <w:shd w:val="clear" w:color="auto" w:fill="FFFFFF"/>
            <w:vAlign w:val="center"/>
          </w:tcPr>
          <w:p w14:paraId="311D4D3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 / 2721</w:t>
            </w:r>
          </w:p>
        </w:tc>
        <w:tc>
          <w:tcPr>
            <w:tcW w:w="3027" w:type="dxa"/>
            <w:tcBorders>
              <w:top w:val="nil"/>
              <w:left w:val="nil"/>
              <w:bottom w:val="nil"/>
              <w:right w:val="nil"/>
            </w:tcBorders>
            <w:shd w:val="clear" w:color="auto" w:fill="FFFFFF"/>
            <w:vAlign w:val="center"/>
          </w:tcPr>
          <w:p w14:paraId="13C0545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5.23 (3.21–8.51)</w:t>
            </w:r>
          </w:p>
        </w:tc>
        <w:tc>
          <w:tcPr>
            <w:tcW w:w="1513" w:type="dxa"/>
            <w:tcBorders>
              <w:top w:val="nil"/>
              <w:left w:val="nil"/>
              <w:bottom w:val="nil"/>
              <w:right w:val="nil"/>
            </w:tcBorders>
            <w:shd w:val="clear" w:color="auto" w:fill="FFFFFF"/>
            <w:vAlign w:val="center"/>
          </w:tcPr>
          <w:p w14:paraId="1C47E18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2.06e-11</w:t>
            </w:r>
          </w:p>
        </w:tc>
        <w:tc>
          <w:tcPr>
            <w:tcW w:w="1516" w:type="dxa"/>
            <w:tcBorders>
              <w:top w:val="nil"/>
              <w:left w:val="nil"/>
              <w:bottom w:val="nil"/>
              <w:right w:val="nil"/>
            </w:tcBorders>
            <w:shd w:val="clear" w:color="auto" w:fill="FFFFFF"/>
            <w:vAlign w:val="center"/>
          </w:tcPr>
          <w:p w14:paraId="69C7F5D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8.23e-11</w:t>
            </w:r>
          </w:p>
        </w:tc>
      </w:tr>
      <w:tr w14:paraId="425B2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3BF31F1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1816" w:type="dxa"/>
            <w:tcBorders>
              <w:top w:val="nil"/>
              <w:left w:val="nil"/>
              <w:bottom w:val="nil"/>
              <w:right w:val="nil"/>
            </w:tcBorders>
            <w:shd w:val="clear" w:color="auto" w:fill="FFFFFF"/>
            <w:vAlign w:val="center"/>
          </w:tcPr>
          <w:p w14:paraId="67C25A4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Fedratinib</w:t>
            </w:r>
          </w:p>
        </w:tc>
        <w:tc>
          <w:tcPr>
            <w:tcW w:w="2119" w:type="dxa"/>
            <w:tcBorders>
              <w:top w:val="nil"/>
              <w:left w:val="nil"/>
              <w:bottom w:val="nil"/>
              <w:right w:val="nil"/>
            </w:tcBorders>
            <w:shd w:val="clear" w:color="auto" w:fill="FFFFFF"/>
            <w:vAlign w:val="center"/>
          </w:tcPr>
          <w:p w14:paraId="739055D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829</w:t>
            </w:r>
          </w:p>
        </w:tc>
        <w:tc>
          <w:tcPr>
            <w:tcW w:w="2119" w:type="dxa"/>
            <w:tcBorders>
              <w:top w:val="nil"/>
              <w:left w:val="nil"/>
              <w:bottom w:val="nil"/>
              <w:right w:val="nil"/>
            </w:tcBorders>
            <w:shd w:val="clear" w:color="auto" w:fill="FFFFFF"/>
            <w:vAlign w:val="center"/>
          </w:tcPr>
          <w:p w14:paraId="793DE4C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 / 125</w:t>
            </w:r>
          </w:p>
        </w:tc>
        <w:tc>
          <w:tcPr>
            <w:tcW w:w="3027" w:type="dxa"/>
            <w:tcBorders>
              <w:top w:val="nil"/>
              <w:left w:val="nil"/>
              <w:bottom w:val="nil"/>
              <w:right w:val="nil"/>
            </w:tcBorders>
            <w:shd w:val="clear" w:color="auto" w:fill="FFFFFF"/>
            <w:vAlign w:val="center"/>
          </w:tcPr>
          <w:p w14:paraId="6848A78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1.62 (0.57–4.59)</w:t>
            </w:r>
          </w:p>
        </w:tc>
        <w:tc>
          <w:tcPr>
            <w:tcW w:w="1513" w:type="dxa"/>
            <w:tcBorders>
              <w:top w:val="nil"/>
              <w:left w:val="nil"/>
              <w:bottom w:val="nil"/>
              <w:right w:val="nil"/>
            </w:tcBorders>
            <w:shd w:val="clear" w:color="auto" w:fill="FFFFFF"/>
            <w:vAlign w:val="center"/>
          </w:tcPr>
          <w:p w14:paraId="6DB2C33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0.503</w:t>
            </w:r>
          </w:p>
        </w:tc>
        <w:tc>
          <w:tcPr>
            <w:tcW w:w="1516" w:type="dxa"/>
            <w:tcBorders>
              <w:top w:val="nil"/>
              <w:left w:val="nil"/>
              <w:bottom w:val="nil"/>
              <w:right w:val="nil"/>
            </w:tcBorders>
            <w:shd w:val="clear" w:color="auto" w:fill="FFFFFF"/>
            <w:vAlign w:val="center"/>
          </w:tcPr>
          <w:p w14:paraId="7104C3F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1.000</w:t>
            </w:r>
          </w:p>
        </w:tc>
      </w:tr>
      <w:tr w14:paraId="4304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single" w:color="000000" w:sz="8" w:space="0"/>
              <w:right w:val="nil"/>
            </w:tcBorders>
            <w:shd w:val="clear" w:color="auto" w:fill="FFFFFF"/>
            <w:vAlign w:val="center"/>
          </w:tcPr>
          <w:p w14:paraId="00852A3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1816" w:type="dxa"/>
            <w:tcBorders>
              <w:top w:val="nil"/>
              <w:left w:val="nil"/>
              <w:bottom w:val="single" w:color="000000" w:sz="8" w:space="0"/>
              <w:right w:val="nil"/>
            </w:tcBorders>
            <w:shd w:val="clear" w:color="auto" w:fill="FFFFFF"/>
            <w:vAlign w:val="center"/>
          </w:tcPr>
          <w:p w14:paraId="28B7BF1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Pacritinib</w:t>
            </w:r>
          </w:p>
        </w:tc>
        <w:tc>
          <w:tcPr>
            <w:tcW w:w="2119" w:type="dxa"/>
            <w:tcBorders>
              <w:top w:val="nil"/>
              <w:left w:val="nil"/>
              <w:bottom w:val="single" w:color="000000" w:sz="8" w:space="0"/>
              <w:right w:val="nil"/>
            </w:tcBorders>
            <w:shd w:val="clear" w:color="auto" w:fill="FFFFFF"/>
            <w:vAlign w:val="center"/>
          </w:tcPr>
          <w:p w14:paraId="521AFAA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829</w:t>
            </w:r>
          </w:p>
        </w:tc>
        <w:tc>
          <w:tcPr>
            <w:tcW w:w="2119" w:type="dxa"/>
            <w:tcBorders>
              <w:top w:val="nil"/>
              <w:left w:val="nil"/>
              <w:bottom w:val="single" w:color="000000" w:sz="8" w:space="0"/>
              <w:right w:val="nil"/>
            </w:tcBorders>
            <w:shd w:val="clear" w:color="auto" w:fill="FFFFFF"/>
            <w:vAlign w:val="center"/>
          </w:tcPr>
          <w:p w14:paraId="2BED257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 / 972</w:t>
            </w:r>
          </w:p>
        </w:tc>
        <w:tc>
          <w:tcPr>
            <w:tcW w:w="3027" w:type="dxa"/>
            <w:tcBorders>
              <w:top w:val="nil"/>
              <w:left w:val="nil"/>
              <w:bottom w:val="single" w:color="000000" w:sz="8" w:space="0"/>
              <w:right w:val="nil"/>
            </w:tcBorders>
            <w:shd w:val="clear" w:color="auto" w:fill="FFFFFF"/>
            <w:vAlign w:val="center"/>
          </w:tcPr>
          <w:p w14:paraId="46057E0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4.58 (2.35–8.95)</w:t>
            </w:r>
          </w:p>
        </w:tc>
        <w:tc>
          <w:tcPr>
            <w:tcW w:w="1513" w:type="dxa"/>
            <w:tcBorders>
              <w:top w:val="nil"/>
              <w:left w:val="nil"/>
              <w:bottom w:val="single" w:color="000000" w:sz="8" w:space="0"/>
              <w:right w:val="nil"/>
            </w:tcBorders>
            <w:shd w:val="clear" w:color="auto" w:fill="FFFFFF"/>
            <w:vAlign w:val="center"/>
          </w:tcPr>
          <w:p w14:paraId="1160453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1.09e-06</w:t>
            </w:r>
          </w:p>
        </w:tc>
        <w:tc>
          <w:tcPr>
            <w:tcW w:w="1516" w:type="dxa"/>
            <w:tcBorders>
              <w:top w:val="nil"/>
              <w:left w:val="nil"/>
              <w:bottom w:val="single" w:color="000000" w:sz="8" w:space="0"/>
              <w:right w:val="nil"/>
            </w:tcBorders>
            <w:shd w:val="clear" w:color="auto" w:fill="FFFFFF"/>
            <w:vAlign w:val="center"/>
          </w:tcPr>
          <w:p w14:paraId="35F89CD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3.28e-06</w:t>
            </w:r>
          </w:p>
        </w:tc>
      </w:tr>
    </w:tbl>
    <w:p w14:paraId="15B02D4C">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Secondary comparisons use the same primary eligible reports. Six tests form a separate Holm family. No zero-cell correction was needed; CIs are nominal and unadjusted for multiplicity.</w:t>
      </w:r>
    </w:p>
    <w:p w14:paraId="3D942BBA">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S5. Sensitivity and exploratory specificity analyses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330"/>
        <w:gridCol w:w="3330"/>
        <w:gridCol w:w="2119"/>
        <w:gridCol w:w="2119"/>
        <w:gridCol w:w="3027"/>
        <w:gridCol w:w="1212"/>
      </w:tblGrid>
      <w:tr w14:paraId="13F24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330" w:type="dxa"/>
            <w:tcBorders>
              <w:top w:val="single" w:color="000000" w:sz="8" w:space="0"/>
              <w:left w:val="nil"/>
              <w:bottom w:val="single" w:color="000000" w:sz="6" w:space="0"/>
              <w:right w:val="nil"/>
            </w:tcBorders>
            <w:shd w:val="clear" w:color="auto" w:fill="FFFFFF"/>
            <w:vAlign w:val="center"/>
          </w:tcPr>
          <w:p w14:paraId="3DF0660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Analysis</w:t>
            </w:r>
          </w:p>
        </w:tc>
        <w:tc>
          <w:tcPr>
            <w:tcW w:w="3330" w:type="dxa"/>
            <w:tcBorders>
              <w:top w:val="single" w:color="000000" w:sz="8" w:space="0"/>
              <w:left w:val="nil"/>
              <w:bottom w:val="single" w:color="000000" w:sz="6" w:space="0"/>
              <w:right w:val="nil"/>
            </w:tcBorders>
            <w:shd w:val="clear" w:color="auto" w:fill="FFFFFF"/>
            <w:vAlign w:val="center"/>
          </w:tcPr>
          <w:p w14:paraId="5378263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Endpoint</w:t>
            </w:r>
          </w:p>
        </w:tc>
        <w:tc>
          <w:tcPr>
            <w:tcW w:w="2119" w:type="dxa"/>
            <w:tcBorders>
              <w:top w:val="single" w:color="000000" w:sz="8" w:space="0"/>
              <w:left w:val="nil"/>
              <w:bottom w:val="single" w:color="000000" w:sz="6" w:space="0"/>
              <w:right w:val="nil"/>
            </w:tcBorders>
            <w:shd w:val="clear" w:color="auto" w:fill="FFFFFF"/>
            <w:vAlign w:val="center"/>
          </w:tcPr>
          <w:p w14:paraId="48BFE54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Momelotinib event / total</w:t>
            </w:r>
          </w:p>
        </w:tc>
        <w:tc>
          <w:tcPr>
            <w:tcW w:w="2119" w:type="dxa"/>
            <w:tcBorders>
              <w:top w:val="single" w:color="000000" w:sz="8" w:space="0"/>
              <w:left w:val="nil"/>
              <w:bottom w:val="single" w:color="000000" w:sz="6" w:space="0"/>
              <w:right w:val="nil"/>
            </w:tcBorders>
            <w:shd w:val="clear" w:color="auto" w:fill="FFFFFF"/>
            <w:vAlign w:val="center"/>
          </w:tcPr>
          <w:p w14:paraId="1B3EFA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Comparator event / total</w:t>
            </w:r>
          </w:p>
        </w:tc>
        <w:tc>
          <w:tcPr>
            <w:tcW w:w="3027" w:type="dxa"/>
            <w:tcBorders>
              <w:top w:val="single" w:color="000000" w:sz="8" w:space="0"/>
              <w:left w:val="nil"/>
              <w:bottom w:val="single" w:color="000000" w:sz="6" w:space="0"/>
              <w:right w:val="nil"/>
            </w:tcBorders>
            <w:shd w:val="clear" w:color="auto" w:fill="FFFFFF"/>
            <w:vAlign w:val="center"/>
          </w:tcPr>
          <w:p w14:paraId="54ACC16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ROR (95% CI)</w:t>
            </w:r>
          </w:p>
        </w:tc>
        <w:tc>
          <w:tcPr>
            <w:tcW w:w="1212" w:type="dxa"/>
            <w:tcBorders>
              <w:top w:val="single" w:color="000000" w:sz="8" w:space="0"/>
              <w:left w:val="nil"/>
              <w:bottom w:val="single" w:color="000000" w:sz="6" w:space="0"/>
              <w:right w:val="nil"/>
            </w:tcBorders>
            <w:shd w:val="clear" w:color="auto" w:fill="FFFFFF"/>
            <w:vAlign w:val="center"/>
          </w:tcPr>
          <w:p w14:paraId="014EC27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Nominal Fisher P</w:t>
            </w:r>
          </w:p>
        </w:tc>
      </w:tr>
      <w:tr w14:paraId="094C8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72BD49A8">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PS or SS, disjoint</w:t>
            </w:r>
          </w:p>
        </w:tc>
        <w:tc>
          <w:tcPr>
            <w:tcW w:w="3330" w:type="dxa"/>
            <w:tcBorders>
              <w:top w:val="nil"/>
              <w:left w:val="nil"/>
              <w:bottom w:val="nil"/>
              <w:right w:val="nil"/>
            </w:tcBorders>
            <w:shd w:val="clear" w:color="auto" w:fill="FFFFFF"/>
            <w:vAlign w:val="center"/>
          </w:tcPr>
          <w:p w14:paraId="0F03C36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3B38850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68 / 882</w:t>
            </w:r>
          </w:p>
        </w:tc>
        <w:tc>
          <w:tcPr>
            <w:tcW w:w="2119" w:type="dxa"/>
            <w:tcBorders>
              <w:top w:val="nil"/>
              <w:left w:val="nil"/>
              <w:bottom w:val="nil"/>
              <w:right w:val="nil"/>
            </w:tcBorders>
            <w:shd w:val="clear" w:color="auto" w:fill="FFFFFF"/>
            <w:vAlign w:val="center"/>
          </w:tcPr>
          <w:p w14:paraId="0AF4E56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71 / 4061</w:t>
            </w:r>
          </w:p>
        </w:tc>
        <w:tc>
          <w:tcPr>
            <w:tcW w:w="3027" w:type="dxa"/>
            <w:tcBorders>
              <w:top w:val="nil"/>
              <w:left w:val="nil"/>
              <w:bottom w:val="nil"/>
              <w:right w:val="nil"/>
            </w:tcBorders>
            <w:shd w:val="clear" w:color="auto" w:fill="FFFFFF"/>
            <w:vAlign w:val="center"/>
          </w:tcPr>
          <w:p w14:paraId="0C89835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4.69 (3.34–6.60)</w:t>
            </w:r>
          </w:p>
        </w:tc>
        <w:tc>
          <w:tcPr>
            <w:tcW w:w="1212" w:type="dxa"/>
            <w:tcBorders>
              <w:top w:val="nil"/>
              <w:left w:val="nil"/>
              <w:bottom w:val="nil"/>
              <w:right w:val="nil"/>
            </w:tcBorders>
            <w:shd w:val="clear" w:color="auto" w:fill="FFFFFF"/>
            <w:vAlign w:val="center"/>
          </w:tcPr>
          <w:p w14:paraId="230CE19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1.71e-17</w:t>
            </w:r>
          </w:p>
        </w:tc>
      </w:tr>
      <w:tr w14:paraId="1EB9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7CE68CD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PS or SS, disjoint</w:t>
            </w:r>
          </w:p>
        </w:tc>
        <w:tc>
          <w:tcPr>
            <w:tcW w:w="3330" w:type="dxa"/>
            <w:tcBorders>
              <w:top w:val="nil"/>
              <w:left w:val="nil"/>
              <w:bottom w:val="nil"/>
              <w:right w:val="nil"/>
            </w:tcBorders>
            <w:shd w:val="clear" w:color="auto" w:fill="FFFFFF"/>
            <w:vAlign w:val="center"/>
          </w:tcPr>
          <w:p w14:paraId="310CF0C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6DB1A83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42 / 882</w:t>
            </w:r>
          </w:p>
        </w:tc>
        <w:tc>
          <w:tcPr>
            <w:tcW w:w="2119" w:type="dxa"/>
            <w:tcBorders>
              <w:top w:val="nil"/>
              <w:left w:val="nil"/>
              <w:bottom w:val="nil"/>
              <w:right w:val="nil"/>
            </w:tcBorders>
            <w:shd w:val="clear" w:color="auto" w:fill="FFFFFF"/>
            <w:vAlign w:val="center"/>
          </w:tcPr>
          <w:p w14:paraId="7E94CEE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47 / 4061</w:t>
            </w:r>
          </w:p>
        </w:tc>
        <w:tc>
          <w:tcPr>
            <w:tcW w:w="3027" w:type="dxa"/>
            <w:tcBorders>
              <w:top w:val="nil"/>
              <w:left w:val="nil"/>
              <w:bottom w:val="nil"/>
              <w:right w:val="nil"/>
            </w:tcBorders>
            <w:shd w:val="clear" w:color="auto" w:fill="FFFFFF"/>
            <w:vAlign w:val="center"/>
          </w:tcPr>
          <w:p w14:paraId="56CC731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4.27 (2.80–6.52)</w:t>
            </w:r>
          </w:p>
        </w:tc>
        <w:tc>
          <w:tcPr>
            <w:tcW w:w="1212" w:type="dxa"/>
            <w:tcBorders>
              <w:top w:val="nil"/>
              <w:left w:val="nil"/>
              <w:bottom w:val="nil"/>
              <w:right w:val="nil"/>
            </w:tcBorders>
            <w:shd w:val="clear" w:color="auto" w:fill="FFFFFF"/>
            <w:vAlign w:val="center"/>
          </w:tcPr>
          <w:p w14:paraId="4593F57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1.31e-10</w:t>
            </w:r>
          </w:p>
        </w:tc>
      </w:tr>
      <w:tr w14:paraId="7B57C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21EF588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Healthcare professionals</w:t>
            </w:r>
          </w:p>
        </w:tc>
        <w:tc>
          <w:tcPr>
            <w:tcW w:w="3330" w:type="dxa"/>
            <w:tcBorders>
              <w:top w:val="nil"/>
              <w:left w:val="nil"/>
              <w:bottom w:val="nil"/>
              <w:right w:val="nil"/>
            </w:tcBorders>
            <w:shd w:val="clear" w:color="auto" w:fill="FFFFFF"/>
            <w:vAlign w:val="center"/>
          </w:tcPr>
          <w:p w14:paraId="046372F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7D9D065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63 / 713</w:t>
            </w:r>
          </w:p>
        </w:tc>
        <w:tc>
          <w:tcPr>
            <w:tcW w:w="2119" w:type="dxa"/>
            <w:tcBorders>
              <w:top w:val="nil"/>
              <w:left w:val="nil"/>
              <w:bottom w:val="nil"/>
              <w:right w:val="nil"/>
            </w:tcBorders>
            <w:shd w:val="clear" w:color="auto" w:fill="FFFFFF"/>
            <w:vAlign w:val="center"/>
          </w:tcPr>
          <w:p w14:paraId="7261E95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39 / 1024</w:t>
            </w:r>
          </w:p>
        </w:tc>
        <w:tc>
          <w:tcPr>
            <w:tcW w:w="3027" w:type="dxa"/>
            <w:tcBorders>
              <w:top w:val="nil"/>
              <w:left w:val="nil"/>
              <w:bottom w:val="nil"/>
              <w:right w:val="nil"/>
            </w:tcBorders>
            <w:shd w:val="clear" w:color="auto" w:fill="FFFFFF"/>
            <w:vAlign w:val="center"/>
          </w:tcPr>
          <w:p w14:paraId="07513E1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2.45 (1.62–3.69)</w:t>
            </w:r>
          </w:p>
        </w:tc>
        <w:tc>
          <w:tcPr>
            <w:tcW w:w="1212" w:type="dxa"/>
            <w:tcBorders>
              <w:top w:val="nil"/>
              <w:left w:val="nil"/>
              <w:bottom w:val="nil"/>
              <w:right w:val="nil"/>
            </w:tcBorders>
            <w:shd w:val="clear" w:color="auto" w:fill="FFFFFF"/>
            <w:vAlign w:val="center"/>
          </w:tcPr>
          <w:p w14:paraId="6DDBD9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1.68e-05</w:t>
            </w:r>
          </w:p>
        </w:tc>
      </w:tr>
      <w:tr w14:paraId="61F90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434C0C8">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Healthcare professionals</w:t>
            </w:r>
          </w:p>
        </w:tc>
        <w:tc>
          <w:tcPr>
            <w:tcW w:w="3330" w:type="dxa"/>
            <w:tcBorders>
              <w:top w:val="nil"/>
              <w:left w:val="nil"/>
              <w:bottom w:val="nil"/>
              <w:right w:val="nil"/>
            </w:tcBorders>
            <w:shd w:val="clear" w:color="auto" w:fill="FFFFFF"/>
            <w:vAlign w:val="center"/>
          </w:tcPr>
          <w:p w14:paraId="308A1B4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08298B6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33 / 713</w:t>
            </w:r>
          </w:p>
        </w:tc>
        <w:tc>
          <w:tcPr>
            <w:tcW w:w="2119" w:type="dxa"/>
            <w:tcBorders>
              <w:top w:val="nil"/>
              <w:left w:val="nil"/>
              <w:bottom w:val="nil"/>
              <w:right w:val="nil"/>
            </w:tcBorders>
            <w:shd w:val="clear" w:color="auto" w:fill="FFFFFF"/>
            <w:vAlign w:val="center"/>
          </w:tcPr>
          <w:p w14:paraId="0BE9E21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 / 1024</w:t>
            </w:r>
          </w:p>
        </w:tc>
        <w:tc>
          <w:tcPr>
            <w:tcW w:w="3027" w:type="dxa"/>
            <w:tcBorders>
              <w:top w:val="nil"/>
              <w:left w:val="nil"/>
              <w:bottom w:val="nil"/>
              <w:right w:val="nil"/>
            </w:tcBorders>
            <w:shd w:val="clear" w:color="auto" w:fill="FFFFFF"/>
            <w:vAlign w:val="center"/>
          </w:tcPr>
          <w:p w14:paraId="48A8422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4.92 (2.41–10.05)</w:t>
            </w:r>
          </w:p>
        </w:tc>
        <w:tc>
          <w:tcPr>
            <w:tcW w:w="1212" w:type="dxa"/>
            <w:tcBorders>
              <w:top w:val="nil"/>
              <w:left w:val="nil"/>
              <w:bottom w:val="nil"/>
              <w:right w:val="nil"/>
            </w:tcBorders>
            <w:shd w:val="clear" w:color="auto" w:fill="FFFFFF"/>
            <w:vAlign w:val="center"/>
          </w:tcPr>
          <w:p w14:paraId="55C50B1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2.07e-06</w:t>
            </w:r>
          </w:p>
        </w:tc>
      </w:tr>
      <w:tr w14:paraId="6C5F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4B0A13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US only</w:t>
            </w:r>
          </w:p>
        </w:tc>
        <w:tc>
          <w:tcPr>
            <w:tcW w:w="3330" w:type="dxa"/>
            <w:tcBorders>
              <w:top w:val="nil"/>
              <w:left w:val="nil"/>
              <w:bottom w:val="nil"/>
              <w:right w:val="nil"/>
            </w:tcBorders>
            <w:shd w:val="clear" w:color="auto" w:fill="FFFFFF"/>
            <w:vAlign w:val="center"/>
          </w:tcPr>
          <w:p w14:paraId="6D828F8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1C02E51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 / 407</w:t>
            </w:r>
          </w:p>
        </w:tc>
        <w:tc>
          <w:tcPr>
            <w:tcW w:w="2119" w:type="dxa"/>
            <w:tcBorders>
              <w:top w:val="nil"/>
              <w:left w:val="nil"/>
              <w:bottom w:val="nil"/>
              <w:right w:val="nil"/>
            </w:tcBorders>
            <w:shd w:val="clear" w:color="auto" w:fill="FFFFFF"/>
            <w:vAlign w:val="center"/>
          </w:tcPr>
          <w:p w14:paraId="113B20E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28 / 3004</w:t>
            </w:r>
          </w:p>
        </w:tc>
        <w:tc>
          <w:tcPr>
            <w:tcW w:w="3027" w:type="dxa"/>
            <w:tcBorders>
              <w:top w:val="nil"/>
              <w:left w:val="nil"/>
              <w:bottom w:val="nil"/>
              <w:right w:val="nil"/>
            </w:tcBorders>
            <w:shd w:val="clear" w:color="auto" w:fill="FFFFFF"/>
            <w:vAlign w:val="center"/>
          </w:tcPr>
          <w:p w14:paraId="33BD1DB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4.35 (2.33–8.11)</w:t>
            </w:r>
          </w:p>
        </w:tc>
        <w:tc>
          <w:tcPr>
            <w:tcW w:w="1212" w:type="dxa"/>
            <w:tcBorders>
              <w:top w:val="nil"/>
              <w:left w:val="nil"/>
              <w:bottom w:val="nil"/>
              <w:right w:val="nil"/>
            </w:tcBorders>
            <w:shd w:val="clear" w:color="auto" w:fill="FFFFFF"/>
            <w:vAlign w:val="center"/>
          </w:tcPr>
          <w:p w14:paraId="54798F7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2.20e-05</w:t>
            </w:r>
          </w:p>
        </w:tc>
      </w:tr>
      <w:tr w14:paraId="0774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1E27DE5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US only</w:t>
            </w:r>
          </w:p>
        </w:tc>
        <w:tc>
          <w:tcPr>
            <w:tcW w:w="3330" w:type="dxa"/>
            <w:tcBorders>
              <w:top w:val="nil"/>
              <w:left w:val="nil"/>
              <w:bottom w:val="nil"/>
              <w:right w:val="nil"/>
            </w:tcBorders>
            <w:shd w:val="clear" w:color="auto" w:fill="FFFFFF"/>
            <w:vAlign w:val="center"/>
          </w:tcPr>
          <w:p w14:paraId="03437E7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56A1D65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 / 407</w:t>
            </w:r>
          </w:p>
        </w:tc>
        <w:tc>
          <w:tcPr>
            <w:tcW w:w="2119" w:type="dxa"/>
            <w:tcBorders>
              <w:top w:val="nil"/>
              <w:left w:val="nil"/>
              <w:bottom w:val="nil"/>
              <w:right w:val="nil"/>
            </w:tcBorders>
            <w:shd w:val="clear" w:color="auto" w:fill="FFFFFF"/>
            <w:vAlign w:val="center"/>
          </w:tcPr>
          <w:p w14:paraId="71AA0EE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29 / 3004</w:t>
            </w:r>
          </w:p>
        </w:tc>
        <w:tc>
          <w:tcPr>
            <w:tcW w:w="3027" w:type="dxa"/>
            <w:tcBorders>
              <w:top w:val="nil"/>
              <w:left w:val="nil"/>
              <w:bottom w:val="nil"/>
              <w:right w:val="nil"/>
            </w:tcBorders>
            <w:shd w:val="clear" w:color="auto" w:fill="FFFFFF"/>
            <w:vAlign w:val="center"/>
          </w:tcPr>
          <w:p w14:paraId="4673039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7.29 (4.27–12.44)</w:t>
            </w:r>
          </w:p>
        </w:tc>
        <w:tc>
          <w:tcPr>
            <w:tcW w:w="1212" w:type="dxa"/>
            <w:tcBorders>
              <w:top w:val="nil"/>
              <w:left w:val="nil"/>
              <w:bottom w:val="nil"/>
              <w:right w:val="nil"/>
            </w:tcBorders>
            <w:shd w:val="clear" w:color="auto" w:fill="FFFFFF"/>
            <w:vAlign w:val="center"/>
          </w:tcPr>
          <w:p w14:paraId="085FC64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1.43e-11</w:t>
            </w:r>
          </w:p>
        </w:tc>
      </w:tr>
      <w:tr w14:paraId="4E69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60EA9B07">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No other study JAK co-report</w:t>
            </w:r>
          </w:p>
        </w:tc>
        <w:tc>
          <w:tcPr>
            <w:tcW w:w="3330" w:type="dxa"/>
            <w:tcBorders>
              <w:top w:val="nil"/>
              <w:left w:val="nil"/>
              <w:bottom w:val="nil"/>
              <w:right w:val="nil"/>
            </w:tcBorders>
            <w:shd w:val="clear" w:color="auto" w:fill="FFFFFF"/>
            <w:vAlign w:val="center"/>
          </w:tcPr>
          <w:p w14:paraId="6563D66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7782275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56 / 786</w:t>
            </w:r>
          </w:p>
        </w:tc>
        <w:tc>
          <w:tcPr>
            <w:tcW w:w="2119" w:type="dxa"/>
            <w:tcBorders>
              <w:top w:val="nil"/>
              <w:left w:val="nil"/>
              <w:bottom w:val="nil"/>
              <w:right w:val="nil"/>
            </w:tcBorders>
            <w:shd w:val="clear" w:color="auto" w:fill="FFFFFF"/>
            <w:vAlign w:val="center"/>
          </w:tcPr>
          <w:p w14:paraId="5AF3C0A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56 / 3724</w:t>
            </w:r>
          </w:p>
        </w:tc>
        <w:tc>
          <w:tcPr>
            <w:tcW w:w="3027" w:type="dxa"/>
            <w:tcBorders>
              <w:top w:val="nil"/>
              <w:left w:val="nil"/>
              <w:bottom w:val="nil"/>
              <w:right w:val="nil"/>
            </w:tcBorders>
            <w:shd w:val="clear" w:color="auto" w:fill="FFFFFF"/>
            <w:vAlign w:val="center"/>
          </w:tcPr>
          <w:p w14:paraId="1598482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5.02 (3.44–7.34)</w:t>
            </w:r>
          </w:p>
        </w:tc>
        <w:tc>
          <w:tcPr>
            <w:tcW w:w="1212" w:type="dxa"/>
            <w:tcBorders>
              <w:top w:val="nil"/>
              <w:left w:val="nil"/>
              <w:bottom w:val="nil"/>
              <w:right w:val="nil"/>
            </w:tcBorders>
            <w:shd w:val="clear" w:color="auto" w:fill="FFFFFF"/>
            <w:vAlign w:val="center"/>
          </w:tcPr>
          <w:p w14:paraId="150011E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1.23e-15</w:t>
            </w:r>
          </w:p>
        </w:tc>
      </w:tr>
      <w:tr w14:paraId="78B0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FC5B7F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No other study JAK co-report</w:t>
            </w:r>
          </w:p>
        </w:tc>
        <w:tc>
          <w:tcPr>
            <w:tcW w:w="3330" w:type="dxa"/>
            <w:tcBorders>
              <w:top w:val="nil"/>
              <w:left w:val="nil"/>
              <w:bottom w:val="nil"/>
              <w:right w:val="nil"/>
            </w:tcBorders>
            <w:shd w:val="clear" w:color="auto" w:fill="FFFFFF"/>
            <w:vAlign w:val="center"/>
          </w:tcPr>
          <w:p w14:paraId="6A7FB84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5E967B0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40 / 786</w:t>
            </w:r>
          </w:p>
        </w:tc>
        <w:tc>
          <w:tcPr>
            <w:tcW w:w="2119" w:type="dxa"/>
            <w:tcBorders>
              <w:top w:val="nil"/>
              <w:left w:val="nil"/>
              <w:bottom w:val="nil"/>
              <w:right w:val="nil"/>
            </w:tcBorders>
            <w:shd w:val="clear" w:color="auto" w:fill="FFFFFF"/>
            <w:vAlign w:val="center"/>
          </w:tcPr>
          <w:p w14:paraId="4ACDAB1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39 / 3724</w:t>
            </w:r>
          </w:p>
        </w:tc>
        <w:tc>
          <w:tcPr>
            <w:tcW w:w="3027" w:type="dxa"/>
            <w:tcBorders>
              <w:top w:val="nil"/>
              <w:left w:val="nil"/>
              <w:bottom w:val="nil"/>
              <w:right w:val="nil"/>
            </w:tcBorders>
            <w:shd w:val="clear" w:color="auto" w:fill="FFFFFF"/>
            <w:vAlign w:val="center"/>
          </w:tcPr>
          <w:p w14:paraId="53D9D2C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5.07 (3.24–7.93)</w:t>
            </w:r>
          </w:p>
        </w:tc>
        <w:tc>
          <w:tcPr>
            <w:tcW w:w="1212" w:type="dxa"/>
            <w:tcBorders>
              <w:top w:val="nil"/>
              <w:left w:val="nil"/>
              <w:bottom w:val="nil"/>
              <w:right w:val="nil"/>
            </w:tcBorders>
            <w:shd w:val="clear" w:color="auto" w:fill="FFFFFF"/>
            <w:vAlign w:val="center"/>
          </w:tcPr>
          <w:p w14:paraId="67EC91A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1.00e-11</w:t>
            </w:r>
          </w:p>
        </w:tc>
      </w:tr>
      <w:tr w14:paraId="187F7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6EEE0089">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Indication unrestricted</w:t>
            </w:r>
          </w:p>
        </w:tc>
        <w:tc>
          <w:tcPr>
            <w:tcW w:w="3330" w:type="dxa"/>
            <w:tcBorders>
              <w:top w:val="nil"/>
              <w:left w:val="nil"/>
              <w:bottom w:val="nil"/>
              <w:right w:val="nil"/>
            </w:tcBorders>
            <w:shd w:val="clear" w:color="auto" w:fill="FFFFFF"/>
            <w:vAlign w:val="center"/>
          </w:tcPr>
          <w:p w14:paraId="270D1B7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5166C44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91 / 1371</w:t>
            </w:r>
          </w:p>
        </w:tc>
        <w:tc>
          <w:tcPr>
            <w:tcW w:w="2119" w:type="dxa"/>
            <w:tcBorders>
              <w:top w:val="nil"/>
              <w:left w:val="nil"/>
              <w:bottom w:val="nil"/>
              <w:right w:val="nil"/>
            </w:tcBorders>
            <w:shd w:val="clear" w:color="auto" w:fill="FFFFFF"/>
            <w:vAlign w:val="center"/>
          </w:tcPr>
          <w:p w14:paraId="73C659A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145 / 15516</w:t>
            </w:r>
          </w:p>
        </w:tc>
        <w:tc>
          <w:tcPr>
            <w:tcW w:w="3027" w:type="dxa"/>
            <w:tcBorders>
              <w:top w:val="nil"/>
              <w:left w:val="nil"/>
              <w:bottom w:val="nil"/>
              <w:right w:val="nil"/>
            </w:tcBorders>
            <w:shd w:val="clear" w:color="auto" w:fill="FFFFFF"/>
            <w:vAlign w:val="center"/>
          </w:tcPr>
          <w:p w14:paraId="7DFA78C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7.54 (5.76–9.86)</w:t>
            </w:r>
          </w:p>
        </w:tc>
        <w:tc>
          <w:tcPr>
            <w:tcW w:w="1212" w:type="dxa"/>
            <w:tcBorders>
              <w:top w:val="nil"/>
              <w:left w:val="nil"/>
              <w:bottom w:val="nil"/>
              <w:right w:val="nil"/>
            </w:tcBorders>
            <w:shd w:val="clear" w:color="auto" w:fill="FFFFFF"/>
            <w:vAlign w:val="center"/>
          </w:tcPr>
          <w:p w14:paraId="0AC1BD1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4.48e-39</w:t>
            </w:r>
          </w:p>
        </w:tc>
      </w:tr>
      <w:tr w14:paraId="3E99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5BABB9CD">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Indication unrestricted</w:t>
            </w:r>
          </w:p>
        </w:tc>
        <w:tc>
          <w:tcPr>
            <w:tcW w:w="3330" w:type="dxa"/>
            <w:tcBorders>
              <w:top w:val="nil"/>
              <w:left w:val="nil"/>
              <w:bottom w:val="nil"/>
              <w:right w:val="nil"/>
            </w:tcBorders>
            <w:shd w:val="clear" w:color="auto" w:fill="FFFFFF"/>
            <w:vAlign w:val="center"/>
          </w:tcPr>
          <w:p w14:paraId="04A8A9E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38ADCF3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1371</w:t>
            </w:r>
          </w:p>
        </w:tc>
        <w:tc>
          <w:tcPr>
            <w:tcW w:w="2119" w:type="dxa"/>
            <w:tcBorders>
              <w:top w:val="nil"/>
              <w:left w:val="nil"/>
              <w:bottom w:val="nil"/>
              <w:right w:val="nil"/>
            </w:tcBorders>
            <w:shd w:val="clear" w:color="auto" w:fill="FFFFFF"/>
            <w:vAlign w:val="center"/>
          </w:tcPr>
          <w:p w14:paraId="27BE62E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169 / 15516</w:t>
            </w:r>
          </w:p>
        </w:tc>
        <w:tc>
          <w:tcPr>
            <w:tcW w:w="3027" w:type="dxa"/>
            <w:tcBorders>
              <w:top w:val="nil"/>
              <w:left w:val="nil"/>
              <w:bottom w:val="nil"/>
              <w:right w:val="nil"/>
            </w:tcBorders>
            <w:shd w:val="clear" w:color="auto" w:fill="FFFFFF"/>
            <w:vAlign w:val="center"/>
          </w:tcPr>
          <w:p w14:paraId="0274539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4.67 (3.50–6.23)</w:t>
            </w:r>
          </w:p>
        </w:tc>
        <w:tc>
          <w:tcPr>
            <w:tcW w:w="1212" w:type="dxa"/>
            <w:tcBorders>
              <w:top w:val="nil"/>
              <w:left w:val="nil"/>
              <w:bottom w:val="nil"/>
              <w:right w:val="nil"/>
            </w:tcBorders>
            <w:shd w:val="clear" w:color="auto" w:fill="FFFFFF"/>
            <w:vAlign w:val="center"/>
          </w:tcPr>
          <w:p w14:paraId="357B352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2.17e-20</w:t>
            </w:r>
          </w:p>
        </w:tc>
      </w:tr>
      <w:tr w14:paraId="44327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5B9BE4AE">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Source-quarter window</w:t>
            </w:r>
          </w:p>
        </w:tc>
        <w:tc>
          <w:tcPr>
            <w:tcW w:w="3330" w:type="dxa"/>
            <w:tcBorders>
              <w:top w:val="nil"/>
              <w:left w:val="nil"/>
              <w:bottom w:val="nil"/>
              <w:right w:val="nil"/>
            </w:tcBorders>
            <w:shd w:val="clear" w:color="auto" w:fill="FFFFFF"/>
            <w:vAlign w:val="center"/>
          </w:tcPr>
          <w:p w14:paraId="4E60B52F">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7B8110D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873</w:t>
            </w:r>
          </w:p>
        </w:tc>
        <w:tc>
          <w:tcPr>
            <w:tcW w:w="2119" w:type="dxa"/>
            <w:tcBorders>
              <w:top w:val="nil"/>
              <w:left w:val="nil"/>
              <w:bottom w:val="nil"/>
              <w:right w:val="nil"/>
            </w:tcBorders>
            <w:shd w:val="clear" w:color="auto" w:fill="FFFFFF"/>
            <w:vAlign w:val="center"/>
          </w:tcPr>
          <w:p w14:paraId="1FA30A2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71 / 4317</w:t>
            </w:r>
          </w:p>
        </w:tc>
        <w:tc>
          <w:tcPr>
            <w:tcW w:w="3027" w:type="dxa"/>
            <w:tcBorders>
              <w:top w:val="nil"/>
              <w:left w:val="nil"/>
              <w:bottom w:val="nil"/>
              <w:right w:val="nil"/>
            </w:tcBorders>
            <w:shd w:val="clear" w:color="auto" w:fill="FFFFFF"/>
            <w:vAlign w:val="center"/>
          </w:tcPr>
          <w:p w14:paraId="6B5764F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4.97 (3.53–7.00)</w:t>
            </w:r>
          </w:p>
        </w:tc>
        <w:tc>
          <w:tcPr>
            <w:tcW w:w="1212" w:type="dxa"/>
            <w:tcBorders>
              <w:top w:val="nil"/>
              <w:left w:val="nil"/>
              <w:bottom w:val="nil"/>
              <w:right w:val="nil"/>
            </w:tcBorders>
            <w:shd w:val="clear" w:color="auto" w:fill="FFFFFF"/>
            <w:vAlign w:val="center"/>
          </w:tcPr>
          <w:p w14:paraId="5008F7D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2.06e-18</w:t>
            </w:r>
          </w:p>
        </w:tc>
      </w:tr>
      <w:tr w14:paraId="6A43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16D9BC61">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Source-quarter window</w:t>
            </w:r>
          </w:p>
        </w:tc>
        <w:tc>
          <w:tcPr>
            <w:tcW w:w="3330" w:type="dxa"/>
            <w:tcBorders>
              <w:top w:val="nil"/>
              <w:left w:val="nil"/>
              <w:bottom w:val="nil"/>
              <w:right w:val="nil"/>
            </w:tcBorders>
            <w:shd w:val="clear" w:color="auto" w:fill="FFFFFF"/>
            <w:vAlign w:val="center"/>
          </w:tcPr>
          <w:p w14:paraId="620684D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0C88893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873</w:t>
            </w:r>
          </w:p>
        </w:tc>
        <w:tc>
          <w:tcPr>
            <w:tcW w:w="2119" w:type="dxa"/>
            <w:tcBorders>
              <w:top w:val="nil"/>
              <w:left w:val="nil"/>
              <w:bottom w:val="nil"/>
              <w:right w:val="nil"/>
            </w:tcBorders>
            <w:shd w:val="clear" w:color="auto" w:fill="FFFFFF"/>
            <w:vAlign w:val="center"/>
          </w:tcPr>
          <w:p w14:paraId="152D82C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53 / 4317</w:t>
            </w:r>
          </w:p>
        </w:tc>
        <w:tc>
          <w:tcPr>
            <w:tcW w:w="3027" w:type="dxa"/>
            <w:tcBorders>
              <w:top w:val="nil"/>
              <w:left w:val="nil"/>
              <w:bottom w:val="nil"/>
              <w:right w:val="nil"/>
            </w:tcBorders>
            <w:shd w:val="clear" w:color="auto" w:fill="FFFFFF"/>
            <w:vAlign w:val="center"/>
          </w:tcPr>
          <w:p w14:paraId="3823661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4.17 (2.77–6.27)</w:t>
            </w:r>
          </w:p>
        </w:tc>
        <w:tc>
          <w:tcPr>
            <w:tcW w:w="1212" w:type="dxa"/>
            <w:tcBorders>
              <w:top w:val="nil"/>
              <w:left w:val="nil"/>
              <w:bottom w:val="nil"/>
              <w:right w:val="nil"/>
            </w:tcBorders>
            <w:shd w:val="clear" w:color="auto" w:fill="FFFFFF"/>
            <w:vAlign w:val="center"/>
          </w:tcPr>
          <w:p w14:paraId="32575BD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9.10e-11</w:t>
            </w:r>
          </w:p>
        </w:tc>
      </w:tr>
      <w:tr w14:paraId="6F43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46DDB16A">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All ages</w:t>
            </w:r>
          </w:p>
        </w:tc>
        <w:tc>
          <w:tcPr>
            <w:tcW w:w="3330" w:type="dxa"/>
            <w:tcBorders>
              <w:top w:val="nil"/>
              <w:left w:val="nil"/>
              <w:bottom w:val="nil"/>
              <w:right w:val="nil"/>
            </w:tcBorders>
            <w:shd w:val="clear" w:color="auto" w:fill="FFFFFF"/>
            <w:vAlign w:val="center"/>
          </w:tcPr>
          <w:p w14:paraId="158E979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749F521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872</w:t>
            </w:r>
          </w:p>
        </w:tc>
        <w:tc>
          <w:tcPr>
            <w:tcW w:w="2119" w:type="dxa"/>
            <w:tcBorders>
              <w:top w:val="nil"/>
              <w:left w:val="nil"/>
              <w:bottom w:val="nil"/>
              <w:right w:val="nil"/>
            </w:tcBorders>
            <w:shd w:val="clear" w:color="auto" w:fill="FFFFFF"/>
            <w:vAlign w:val="center"/>
          </w:tcPr>
          <w:p w14:paraId="7A8F469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60 / 3862</w:t>
            </w:r>
          </w:p>
        </w:tc>
        <w:tc>
          <w:tcPr>
            <w:tcW w:w="3027" w:type="dxa"/>
            <w:tcBorders>
              <w:top w:val="nil"/>
              <w:left w:val="nil"/>
              <w:bottom w:val="nil"/>
              <w:right w:val="nil"/>
            </w:tcBorders>
            <w:shd w:val="clear" w:color="auto" w:fill="FFFFFF"/>
            <w:vAlign w:val="center"/>
          </w:tcPr>
          <w:p w14:paraId="433A833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5.27 (3.69–7.53)</w:t>
            </w:r>
          </w:p>
        </w:tc>
        <w:tc>
          <w:tcPr>
            <w:tcW w:w="1212" w:type="dxa"/>
            <w:tcBorders>
              <w:top w:val="nil"/>
              <w:left w:val="nil"/>
              <w:bottom w:val="nil"/>
              <w:right w:val="nil"/>
            </w:tcBorders>
            <w:shd w:val="clear" w:color="auto" w:fill="FFFFFF"/>
            <w:vAlign w:val="center"/>
          </w:tcPr>
          <w:p w14:paraId="2FCF7A8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9.24e-19</w:t>
            </w:r>
          </w:p>
        </w:tc>
      </w:tr>
      <w:tr w14:paraId="33D3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38C0E64">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All ages</w:t>
            </w:r>
          </w:p>
        </w:tc>
        <w:tc>
          <w:tcPr>
            <w:tcW w:w="3330" w:type="dxa"/>
            <w:tcBorders>
              <w:top w:val="nil"/>
              <w:left w:val="nil"/>
              <w:bottom w:val="nil"/>
              <w:right w:val="nil"/>
            </w:tcBorders>
            <w:shd w:val="clear" w:color="auto" w:fill="FFFFFF"/>
            <w:vAlign w:val="center"/>
          </w:tcPr>
          <w:p w14:paraId="77B8DC0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6914523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872</w:t>
            </w:r>
          </w:p>
        </w:tc>
        <w:tc>
          <w:tcPr>
            <w:tcW w:w="2119" w:type="dxa"/>
            <w:tcBorders>
              <w:top w:val="nil"/>
              <w:left w:val="nil"/>
              <w:bottom w:val="nil"/>
              <w:right w:val="nil"/>
            </w:tcBorders>
            <w:shd w:val="clear" w:color="auto" w:fill="FFFFFF"/>
            <w:vAlign w:val="center"/>
          </w:tcPr>
          <w:p w14:paraId="7AF05CBA">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42 / 3862</w:t>
            </w:r>
          </w:p>
        </w:tc>
        <w:tc>
          <w:tcPr>
            <w:tcW w:w="3027" w:type="dxa"/>
            <w:tcBorders>
              <w:top w:val="nil"/>
              <w:left w:val="nil"/>
              <w:bottom w:val="nil"/>
              <w:right w:val="nil"/>
            </w:tcBorders>
            <w:shd w:val="clear" w:color="auto" w:fill="FFFFFF"/>
            <w:vAlign w:val="center"/>
          </w:tcPr>
          <w:p w14:paraId="590866E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4.72 (3.06–7.27)</w:t>
            </w:r>
          </w:p>
        </w:tc>
        <w:tc>
          <w:tcPr>
            <w:tcW w:w="1212" w:type="dxa"/>
            <w:tcBorders>
              <w:top w:val="nil"/>
              <w:left w:val="nil"/>
              <w:bottom w:val="nil"/>
              <w:right w:val="nil"/>
            </w:tcBorders>
            <w:shd w:val="clear" w:color="auto" w:fill="FFFFFF"/>
            <w:vAlign w:val="center"/>
          </w:tcPr>
          <w:p w14:paraId="3DF6333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1.23e-11</w:t>
            </w:r>
          </w:p>
        </w:tc>
      </w:tr>
      <w:tr w14:paraId="402F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00072A0F">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Exclude route inconsistencies</w:t>
            </w:r>
          </w:p>
        </w:tc>
        <w:tc>
          <w:tcPr>
            <w:tcW w:w="3330" w:type="dxa"/>
            <w:tcBorders>
              <w:top w:val="nil"/>
              <w:left w:val="nil"/>
              <w:bottom w:val="nil"/>
              <w:right w:val="nil"/>
            </w:tcBorders>
            <w:shd w:val="clear" w:color="auto" w:fill="FFFFFF"/>
            <w:vAlign w:val="center"/>
          </w:tcPr>
          <w:p w14:paraId="56A79AD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2119" w:type="dxa"/>
            <w:tcBorders>
              <w:top w:val="nil"/>
              <w:left w:val="nil"/>
              <w:bottom w:val="nil"/>
              <w:right w:val="nil"/>
            </w:tcBorders>
            <w:shd w:val="clear" w:color="auto" w:fill="FFFFFF"/>
            <w:vAlign w:val="center"/>
          </w:tcPr>
          <w:p w14:paraId="2928433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 / 872</w:t>
            </w:r>
          </w:p>
        </w:tc>
        <w:tc>
          <w:tcPr>
            <w:tcW w:w="2119" w:type="dxa"/>
            <w:tcBorders>
              <w:top w:val="nil"/>
              <w:left w:val="nil"/>
              <w:bottom w:val="nil"/>
              <w:right w:val="nil"/>
            </w:tcBorders>
            <w:shd w:val="clear" w:color="auto" w:fill="FFFFFF"/>
            <w:vAlign w:val="center"/>
          </w:tcPr>
          <w:p w14:paraId="0DAA5BC6">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57 / 3433</w:t>
            </w:r>
          </w:p>
        </w:tc>
        <w:tc>
          <w:tcPr>
            <w:tcW w:w="3027" w:type="dxa"/>
            <w:tcBorders>
              <w:top w:val="nil"/>
              <w:left w:val="nil"/>
              <w:bottom w:val="nil"/>
              <w:right w:val="nil"/>
            </w:tcBorders>
            <w:shd w:val="clear" w:color="auto" w:fill="FFFFFF"/>
            <w:vAlign w:val="center"/>
          </w:tcPr>
          <w:p w14:paraId="4D19E81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4.93 (3.43–7.08)</w:t>
            </w:r>
          </w:p>
        </w:tc>
        <w:tc>
          <w:tcPr>
            <w:tcW w:w="1212" w:type="dxa"/>
            <w:tcBorders>
              <w:top w:val="nil"/>
              <w:left w:val="nil"/>
              <w:bottom w:val="nil"/>
              <w:right w:val="nil"/>
            </w:tcBorders>
            <w:shd w:val="clear" w:color="auto" w:fill="FFFFFF"/>
            <w:vAlign w:val="center"/>
          </w:tcPr>
          <w:p w14:paraId="3E5902B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3.04e-17</w:t>
            </w:r>
          </w:p>
        </w:tc>
      </w:tr>
      <w:tr w14:paraId="79712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1DCAADC2">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Exclude route inconsistencies</w:t>
            </w:r>
          </w:p>
        </w:tc>
        <w:tc>
          <w:tcPr>
            <w:tcW w:w="3330" w:type="dxa"/>
            <w:tcBorders>
              <w:top w:val="nil"/>
              <w:left w:val="nil"/>
              <w:bottom w:val="nil"/>
              <w:right w:val="nil"/>
            </w:tcBorders>
            <w:shd w:val="clear" w:color="auto" w:fill="FFFFFF"/>
            <w:vAlign w:val="center"/>
          </w:tcPr>
          <w:p w14:paraId="6DE1F65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2119" w:type="dxa"/>
            <w:tcBorders>
              <w:top w:val="nil"/>
              <w:left w:val="nil"/>
              <w:bottom w:val="nil"/>
              <w:right w:val="nil"/>
            </w:tcBorders>
            <w:shd w:val="clear" w:color="auto" w:fill="FFFFFF"/>
            <w:vAlign w:val="center"/>
          </w:tcPr>
          <w:p w14:paraId="63715BA8">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 / 872</w:t>
            </w:r>
          </w:p>
        </w:tc>
        <w:tc>
          <w:tcPr>
            <w:tcW w:w="2119" w:type="dxa"/>
            <w:tcBorders>
              <w:top w:val="nil"/>
              <w:left w:val="nil"/>
              <w:bottom w:val="nil"/>
              <w:right w:val="nil"/>
            </w:tcBorders>
            <w:shd w:val="clear" w:color="auto" w:fill="FFFFFF"/>
            <w:vAlign w:val="center"/>
          </w:tcPr>
          <w:p w14:paraId="0A32AC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37 / 3433</w:t>
            </w:r>
          </w:p>
        </w:tc>
        <w:tc>
          <w:tcPr>
            <w:tcW w:w="3027" w:type="dxa"/>
            <w:tcBorders>
              <w:top w:val="nil"/>
              <w:left w:val="nil"/>
              <w:bottom w:val="nil"/>
              <w:right w:val="nil"/>
            </w:tcBorders>
            <w:shd w:val="clear" w:color="auto" w:fill="FFFFFF"/>
            <w:vAlign w:val="center"/>
          </w:tcPr>
          <w:p w14:paraId="4510D52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4.76 (3.05–7.44)</w:t>
            </w:r>
          </w:p>
        </w:tc>
        <w:tc>
          <w:tcPr>
            <w:tcW w:w="1212" w:type="dxa"/>
            <w:tcBorders>
              <w:top w:val="nil"/>
              <w:left w:val="nil"/>
              <w:bottom w:val="nil"/>
              <w:right w:val="nil"/>
            </w:tcBorders>
            <w:shd w:val="clear" w:color="auto" w:fill="FFFFFF"/>
            <w:vAlign w:val="center"/>
          </w:tcPr>
          <w:p w14:paraId="71DC73B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2.27e-11</w:t>
            </w:r>
          </w:p>
        </w:tc>
      </w:tr>
      <w:tr w14:paraId="5647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2620855B">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Exact PT</w:t>
            </w:r>
          </w:p>
        </w:tc>
        <w:tc>
          <w:tcPr>
            <w:tcW w:w="3330" w:type="dxa"/>
            <w:tcBorders>
              <w:top w:val="nil"/>
              <w:left w:val="nil"/>
              <w:bottom w:val="nil"/>
              <w:right w:val="nil"/>
            </w:tcBorders>
            <w:shd w:val="clear" w:color="auto" w:fill="FFFFFF"/>
            <w:vAlign w:val="center"/>
          </w:tcPr>
          <w:p w14:paraId="7B717F9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kidney injury PT</w:t>
            </w:r>
          </w:p>
        </w:tc>
        <w:tc>
          <w:tcPr>
            <w:tcW w:w="2119" w:type="dxa"/>
            <w:tcBorders>
              <w:top w:val="nil"/>
              <w:left w:val="nil"/>
              <w:bottom w:val="nil"/>
              <w:right w:val="nil"/>
            </w:tcBorders>
            <w:shd w:val="clear" w:color="auto" w:fill="FFFFFF"/>
            <w:vAlign w:val="center"/>
          </w:tcPr>
          <w:p w14:paraId="50AA5E0D">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21 / 872</w:t>
            </w:r>
          </w:p>
        </w:tc>
        <w:tc>
          <w:tcPr>
            <w:tcW w:w="2119" w:type="dxa"/>
            <w:tcBorders>
              <w:top w:val="nil"/>
              <w:left w:val="nil"/>
              <w:bottom w:val="nil"/>
              <w:right w:val="nil"/>
            </w:tcBorders>
            <w:shd w:val="clear" w:color="auto" w:fill="FFFFFF"/>
            <w:vAlign w:val="center"/>
          </w:tcPr>
          <w:p w14:paraId="19C98D44">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 / 3860</w:t>
            </w:r>
          </w:p>
        </w:tc>
        <w:tc>
          <w:tcPr>
            <w:tcW w:w="3027" w:type="dxa"/>
            <w:tcBorders>
              <w:top w:val="nil"/>
              <w:left w:val="nil"/>
              <w:bottom w:val="nil"/>
              <w:right w:val="nil"/>
            </w:tcBorders>
            <w:shd w:val="clear" w:color="auto" w:fill="FFFFFF"/>
            <w:vAlign w:val="center"/>
          </w:tcPr>
          <w:p w14:paraId="0CCED37E">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4.12 (2.27–7.47)</w:t>
            </w:r>
          </w:p>
        </w:tc>
        <w:tc>
          <w:tcPr>
            <w:tcW w:w="1212" w:type="dxa"/>
            <w:tcBorders>
              <w:top w:val="nil"/>
              <w:left w:val="nil"/>
              <w:bottom w:val="nil"/>
              <w:right w:val="nil"/>
            </w:tcBorders>
            <w:shd w:val="clear" w:color="auto" w:fill="FFFFFF"/>
            <w:vAlign w:val="center"/>
          </w:tcPr>
          <w:p w14:paraId="31B2EBC9">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8.10e-06</w:t>
            </w:r>
          </w:p>
        </w:tc>
      </w:tr>
      <w:tr w14:paraId="5D6B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4EF6EAC">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Exact PT</w:t>
            </w:r>
          </w:p>
        </w:tc>
        <w:tc>
          <w:tcPr>
            <w:tcW w:w="3330" w:type="dxa"/>
            <w:tcBorders>
              <w:top w:val="nil"/>
              <w:left w:val="nil"/>
              <w:bottom w:val="nil"/>
              <w:right w:val="nil"/>
            </w:tcBorders>
            <w:shd w:val="clear" w:color="auto" w:fill="FFFFFF"/>
            <w:vAlign w:val="center"/>
          </w:tcPr>
          <w:p w14:paraId="490A5EE3">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Neuropathy peripheral PT</w:t>
            </w:r>
          </w:p>
        </w:tc>
        <w:tc>
          <w:tcPr>
            <w:tcW w:w="2119" w:type="dxa"/>
            <w:tcBorders>
              <w:top w:val="nil"/>
              <w:left w:val="nil"/>
              <w:bottom w:val="nil"/>
              <w:right w:val="nil"/>
            </w:tcBorders>
            <w:shd w:val="clear" w:color="auto" w:fill="FFFFFF"/>
            <w:vAlign w:val="center"/>
          </w:tcPr>
          <w:p w14:paraId="7A655B35">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34 / 872</w:t>
            </w:r>
          </w:p>
        </w:tc>
        <w:tc>
          <w:tcPr>
            <w:tcW w:w="2119" w:type="dxa"/>
            <w:tcBorders>
              <w:top w:val="nil"/>
              <w:left w:val="nil"/>
              <w:bottom w:val="nil"/>
              <w:right w:val="nil"/>
            </w:tcBorders>
            <w:shd w:val="clear" w:color="auto" w:fill="FFFFFF"/>
            <w:vAlign w:val="center"/>
          </w:tcPr>
          <w:p w14:paraId="1C1D698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29 / 3860</w:t>
            </w:r>
          </w:p>
        </w:tc>
        <w:tc>
          <w:tcPr>
            <w:tcW w:w="3027" w:type="dxa"/>
            <w:tcBorders>
              <w:top w:val="nil"/>
              <w:left w:val="nil"/>
              <w:bottom w:val="nil"/>
              <w:right w:val="nil"/>
            </w:tcBorders>
            <w:shd w:val="clear" w:color="auto" w:fill="FFFFFF"/>
            <w:vAlign w:val="center"/>
          </w:tcPr>
          <w:p w14:paraId="048B4790">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5.36 (3.25–8.85)</w:t>
            </w:r>
          </w:p>
        </w:tc>
        <w:tc>
          <w:tcPr>
            <w:tcW w:w="1212" w:type="dxa"/>
            <w:tcBorders>
              <w:top w:val="nil"/>
              <w:left w:val="nil"/>
              <w:bottom w:val="nil"/>
              <w:right w:val="nil"/>
            </w:tcBorders>
            <w:shd w:val="clear" w:color="auto" w:fill="FFFFFF"/>
            <w:vAlign w:val="center"/>
          </w:tcPr>
          <w:p w14:paraId="2783D807">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1.90e-10</w:t>
            </w:r>
          </w:p>
        </w:tc>
      </w:tr>
      <w:tr w14:paraId="73BD6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01C08B50">
            <w:pPr>
              <w:keepNext w:val="0"/>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Exploratory broad SMQ</w:t>
            </w:r>
          </w:p>
        </w:tc>
        <w:tc>
          <w:tcPr>
            <w:tcW w:w="3330" w:type="dxa"/>
            <w:tcBorders>
              <w:top w:val="nil"/>
              <w:left w:val="nil"/>
              <w:bottom w:val="nil"/>
              <w:right w:val="nil"/>
            </w:tcBorders>
            <w:shd w:val="clear" w:color="auto" w:fill="FFFFFF"/>
            <w:vAlign w:val="center"/>
          </w:tcPr>
          <w:p w14:paraId="49DF7182">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(broad)</w:t>
            </w:r>
          </w:p>
        </w:tc>
        <w:tc>
          <w:tcPr>
            <w:tcW w:w="2119" w:type="dxa"/>
            <w:tcBorders>
              <w:top w:val="nil"/>
              <w:left w:val="nil"/>
              <w:bottom w:val="nil"/>
              <w:right w:val="nil"/>
            </w:tcBorders>
            <w:shd w:val="clear" w:color="auto" w:fill="FFFFFF"/>
            <w:vAlign w:val="center"/>
          </w:tcPr>
          <w:p w14:paraId="4A46DEA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79 / 872</w:t>
            </w:r>
          </w:p>
        </w:tc>
        <w:tc>
          <w:tcPr>
            <w:tcW w:w="2119" w:type="dxa"/>
            <w:tcBorders>
              <w:top w:val="nil"/>
              <w:left w:val="nil"/>
              <w:bottom w:val="nil"/>
              <w:right w:val="nil"/>
            </w:tcBorders>
            <w:shd w:val="clear" w:color="auto" w:fill="FFFFFF"/>
            <w:vAlign w:val="center"/>
          </w:tcPr>
          <w:p w14:paraId="0F0271AC">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85 / 3860</w:t>
            </w:r>
          </w:p>
        </w:tc>
        <w:tc>
          <w:tcPr>
            <w:tcW w:w="3027" w:type="dxa"/>
            <w:tcBorders>
              <w:top w:val="nil"/>
              <w:left w:val="nil"/>
              <w:bottom w:val="nil"/>
              <w:right w:val="nil"/>
            </w:tcBorders>
            <w:shd w:val="clear" w:color="auto" w:fill="FFFFFF"/>
            <w:vAlign w:val="center"/>
          </w:tcPr>
          <w:p w14:paraId="4D291981">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4.42 (3.23–6.07)</w:t>
            </w:r>
          </w:p>
        </w:tc>
        <w:tc>
          <w:tcPr>
            <w:tcW w:w="1212" w:type="dxa"/>
            <w:tcBorders>
              <w:top w:val="nil"/>
              <w:left w:val="nil"/>
              <w:bottom w:val="nil"/>
              <w:right w:val="nil"/>
            </w:tcBorders>
            <w:shd w:val="clear" w:color="auto" w:fill="FFFFFF"/>
            <w:vAlign w:val="center"/>
          </w:tcPr>
          <w:p w14:paraId="1BFF325B">
            <w:pPr>
              <w:keepNext w:val="0"/>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8.54e-19</w:t>
            </w:r>
          </w:p>
        </w:tc>
      </w:tr>
      <w:tr w14:paraId="079CF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nil"/>
              <w:right w:val="nil"/>
            </w:tcBorders>
            <w:shd w:val="clear" w:color="auto" w:fill="FFFFFF"/>
            <w:vAlign w:val="center"/>
          </w:tcPr>
          <w:p w14:paraId="3133732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Exploratory broad SMQ</w:t>
            </w:r>
          </w:p>
        </w:tc>
        <w:tc>
          <w:tcPr>
            <w:tcW w:w="3330" w:type="dxa"/>
            <w:tcBorders>
              <w:top w:val="nil"/>
              <w:left w:val="nil"/>
              <w:bottom w:val="nil"/>
              <w:right w:val="nil"/>
            </w:tcBorders>
            <w:shd w:val="clear" w:color="auto" w:fill="FFFFFF"/>
            <w:vAlign w:val="center"/>
          </w:tcPr>
          <w:p w14:paraId="072F3A8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(broad)</w:t>
            </w:r>
          </w:p>
        </w:tc>
        <w:tc>
          <w:tcPr>
            <w:tcW w:w="2119" w:type="dxa"/>
            <w:tcBorders>
              <w:top w:val="nil"/>
              <w:left w:val="nil"/>
              <w:bottom w:val="nil"/>
              <w:right w:val="nil"/>
            </w:tcBorders>
            <w:shd w:val="clear" w:color="auto" w:fill="FFFFFF"/>
            <w:vAlign w:val="center"/>
          </w:tcPr>
          <w:p w14:paraId="51AE6C4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55 / 872</w:t>
            </w:r>
          </w:p>
        </w:tc>
        <w:tc>
          <w:tcPr>
            <w:tcW w:w="2119" w:type="dxa"/>
            <w:tcBorders>
              <w:top w:val="nil"/>
              <w:left w:val="nil"/>
              <w:bottom w:val="nil"/>
              <w:right w:val="nil"/>
            </w:tcBorders>
            <w:shd w:val="clear" w:color="auto" w:fill="FFFFFF"/>
            <w:vAlign w:val="center"/>
          </w:tcPr>
          <w:p w14:paraId="13F3AEA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122 / 3860</w:t>
            </w:r>
          </w:p>
        </w:tc>
        <w:tc>
          <w:tcPr>
            <w:tcW w:w="3027" w:type="dxa"/>
            <w:tcBorders>
              <w:top w:val="nil"/>
              <w:left w:val="nil"/>
              <w:bottom w:val="nil"/>
              <w:right w:val="nil"/>
            </w:tcBorders>
            <w:shd w:val="clear" w:color="auto" w:fill="FFFFFF"/>
            <w:vAlign w:val="center"/>
          </w:tcPr>
          <w:p w14:paraId="2D2BBF1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2.06 (1.49–2.86)</w:t>
            </w:r>
          </w:p>
        </w:tc>
        <w:tc>
          <w:tcPr>
            <w:tcW w:w="1212" w:type="dxa"/>
            <w:tcBorders>
              <w:top w:val="nil"/>
              <w:left w:val="nil"/>
              <w:bottom w:val="nil"/>
              <w:right w:val="nil"/>
            </w:tcBorders>
            <w:shd w:val="clear" w:color="auto" w:fill="FFFFFF"/>
            <w:vAlign w:val="center"/>
          </w:tcPr>
          <w:p w14:paraId="088D7FA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4.11e-05</w:t>
            </w:r>
          </w:p>
        </w:tc>
      </w:tr>
      <w:tr w14:paraId="1F1D8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330" w:type="dxa"/>
            <w:tcBorders>
              <w:top w:val="nil"/>
              <w:left w:val="nil"/>
              <w:bottom w:val="single" w:color="000000" w:sz="8" w:space="0"/>
              <w:right w:val="nil"/>
            </w:tcBorders>
            <w:shd w:val="clear" w:color="auto" w:fill="FFFFFF"/>
            <w:vAlign w:val="center"/>
          </w:tcPr>
          <w:p w14:paraId="7D5578A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Exploratory laboratory set</w:t>
            </w:r>
          </w:p>
        </w:tc>
        <w:tc>
          <w:tcPr>
            <w:tcW w:w="3330" w:type="dxa"/>
            <w:tcBorders>
              <w:top w:val="nil"/>
              <w:left w:val="nil"/>
              <w:bottom w:val="single" w:color="000000" w:sz="8" w:space="0"/>
              <w:right w:val="nil"/>
            </w:tcBorders>
            <w:shd w:val="clear" w:color="auto" w:fill="FFFFFF"/>
            <w:vAlign w:val="center"/>
          </w:tcPr>
          <w:p w14:paraId="3E2D850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Renal laboratory set</w:t>
            </w:r>
          </w:p>
        </w:tc>
        <w:tc>
          <w:tcPr>
            <w:tcW w:w="2119" w:type="dxa"/>
            <w:tcBorders>
              <w:top w:val="nil"/>
              <w:left w:val="nil"/>
              <w:bottom w:val="single" w:color="000000" w:sz="8" w:space="0"/>
              <w:right w:val="nil"/>
            </w:tcBorders>
            <w:shd w:val="clear" w:color="auto" w:fill="FFFFFF"/>
            <w:vAlign w:val="center"/>
          </w:tcPr>
          <w:p w14:paraId="79A168D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 / 872</w:t>
            </w:r>
          </w:p>
        </w:tc>
        <w:tc>
          <w:tcPr>
            <w:tcW w:w="2119" w:type="dxa"/>
            <w:tcBorders>
              <w:top w:val="nil"/>
              <w:left w:val="nil"/>
              <w:bottom w:val="single" w:color="000000" w:sz="8" w:space="0"/>
              <w:right w:val="nil"/>
            </w:tcBorders>
            <w:shd w:val="clear" w:color="auto" w:fill="FFFFFF"/>
            <w:vAlign w:val="center"/>
          </w:tcPr>
          <w:p w14:paraId="56C902B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 / 3860</w:t>
            </w:r>
          </w:p>
        </w:tc>
        <w:tc>
          <w:tcPr>
            <w:tcW w:w="3027" w:type="dxa"/>
            <w:tcBorders>
              <w:top w:val="nil"/>
              <w:left w:val="nil"/>
              <w:bottom w:val="single" w:color="000000" w:sz="8" w:space="0"/>
              <w:right w:val="nil"/>
            </w:tcBorders>
            <w:shd w:val="clear" w:color="auto" w:fill="FFFFFF"/>
            <w:vAlign w:val="center"/>
          </w:tcPr>
          <w:p w14:paraId="2F23E6C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3.51 (1.59–7.76)</w:t>
            </w:r>
          </w:p>
        </w:tc>
        <w:tc>
          <w:tcPr>
            <w:tcW w:w="1212" w:type="dxa"/>
            <w:tcBorders>
              <w:top w:val="nil"/>
              <w:left w:val="nil"/>
              <w:bottom w:val="single" w:color="000000" w:sz="8" w:space="0"/>
              <w:right w:val="nil"/>
            </w:tcBorders>
            <w:shd w:val="clear" w:color="auto" w:fill="FFFFFF"/>
            <w:vAlign w:val="center"/>
          </w:tcPr>
          <w:p w14:paraId="7D8E735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0.003</w:t>
            </w:r>
          </w:p>
        </w:tc>
      </w:tr>
    </w:tbl>
    <w:p w14:paraId="253E49FC">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Each row changes the stated reporting-frame or event definition; all other primary rules apply unless explicitly relaxed. The PS+SS cohort is re-formed with mutual exclusion and need not contain every primary report. These are overlapping, non-independent comparisons. Nominal P values are descriptive and are not additional primary tests.</w:t>
      </w:r>
    </w:p>
    <w:p w14:paraId="393FA813">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S6. All coefficients of the report-characteristic logistic models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2876"/>
        <w:gridCol w:w="3935"/>
        <w:gridCol w:w="1967"/>
        <w:gridCol w:w="1816"/>
        <w:gridCol w:w="3027"/>
        <w:gridCol w:w="1516"/>
      </w:tblGrid>
      <w:tr w14:paraId="73E0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2876" w:type="dxa"/>
            <w:tcBorders>
              <w:top w:val="single" w:color="000000" w:sz="8" w:space="0"/>
              <w:left w:val="nil"/>
              <w:bottom w:val="single" w:color="000000" w:sz="6" w:space="0"/>
              <w:right w:val="nil"/>
            </w:tcBorders>
            <w:shd w:val="clear" w:color="auto" w:fill="FFFFFF"/>
            <w:vAlign w:val="center"/>
          </w:tcPr>
          <w:p w14:paraId="288665B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Endpoint</w:t>
            </w:r>
          </w:p>
        </w:tc>
        <w:tc>
          <w:tcPr>
            <w:tcW w:w="3935" w:type="dxa"/>
            <w:tcBorders>
              <w:top w:val="single" w:color="000000" w:sz="8" w:space="0"/>
              <w:left w:val="nil"/>
              <w:bottom w:val="single" w:color="000000" w:sz="6" w:space="0"/>
              <w:right w:val="nil"/>
            </w:tcBorders>
            <w:shd w:val="clear" w:color="auto" w:fill="FFFFFF"/>
            <w:vAlign w:val="center"/>
          </w:tcPr>
          <w:p w14:paraId="4C19BF8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Model term</w:t>
            </w:r>
          </w:p>
        </w:tc>
        <w:tc>
          <w:tcPr>
            <w:tcW w:w="1967" w:type="dxa"/>
            <w:tcBorders>
              <w:top w:val="single" w:color="000000" w:sz="8" w:space="0"/>
              <w:left w:val="nil"/>
              <w:bottom w:val="single" w:color="000000" w:sz="6" w:space="0"/>
              <w:right w:val="nil"/>
            </w:tcBorders>
            <w:shd w:val="clear" w:color="auto" w:fill="FFFFFF"/>
            <w:vAlign w:val="center"/>
          </w:tcPr>
          <w:p w14:paraId="0E278AA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Log-odds coefficient</w:t>
            </w:r>
          </w:p>
        </w:tc>
        <w:tc>
          <w:tcPr>
            <w:tcW w:w="1816" w:type="dxa"/>
            <w:tcBorders>
              <w:top w:val="single" w:color="000000" w:sz="8" w:space="0"/>
              <w:left w:val="nil"/>
              <w:bottom w:val="single" w:color="000000" w:sz="6" w:space="0"/>
              <w:right w:val="nil"/>
            </w:tcBorders>
            <w:shd w:val="clear" w:color="auto" w:fill="FFFFFF"/>
            <w:vAlign w:val="center"/>
          </w:tcPr>
          <w:p w14:paraId="2D9B565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Standard error</w:t>
            </w:r>
          </w:p>
        </w:tc>
        <w:tc>
          <w:tcPr>
            <w:tcW w:w="3027" w:type="dxa"/>
            <w:tcBorders>
              <w:top w:val="single" w:color="000000" w:sz="8" w:space="0"/>
              <w:left w:val="nil"/>
              <w:bottom w:val="single" w:color="000000" w:sz="6" w:space="0"/>
              <w:right w:val="nil"/>
            </w:tcBorders>
            <w:shd w:val="clear" w:color="auto" w:fill="FFFFFF"/>
            <w:vAlign w:val="center"/>
          </w:tcPr>
          <w:p w14:paraId="65125E0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exp(coefficient) (95% CI)</w:t>
            </w:r>
          </w:p>
        </w:tc>
        <w:tc>
          <w:tcPr>
            <w:tcW w:w="1516" w:type="dxa"/>
            <w:tcBorders>
              <w:top w:val="single" w:color="000000" w:sz="8" w:space="0"/>
              <w:left w:val="nil"/>
              <w:bottom w:val="single" w:color="000000" w:sz="6" w:space="0"/>
              <w:right w:val="nil"/>
            </w:tcBorders>
            <w:shd w:val="clear" w:color="auto" w:fill="FFFFFF"/>
            <w:vAlign w:val="center"/>
          </w:tcPr>
          <w:p w14:paraId="15179A9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Nominal Wald P</w:t>
            </w:r>
          </w:p>
        </w:tc>
      </w:tr>
      <w:tr w14:paraId="0D430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73680589">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5BDBFD5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Intercept</w:t>
            </w:r>
          </w:p>
        </w:tc>
        <w:tc>
          <w:tcPr>
            <w:tcW w:w="1967" w:type="dxa"/>
            <w:tcBorders>
              <w:top w:val="nil"/>
              <w:left w:val="nil"/>
              <w:bottom w:val="nil"/>
              <w:right w:val="nil"/>
            </w:tcBorders>
            <w:shd w:val="clear" w:color="auto" w:fill="FFFFFF"/>
            <w:vAlign w:val="center"/>
          </w:tcPr>
          <w:p w14:paraId="52E2DD2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-2.7740</w:t>
            </w:r>
          </w:p>
        </w:tc>
        <w:tc>
          <w:tcPr>
            <w:tcW w:w="1816" w:type="dxa"/>
            <w:tcBorders>
              <w:top w:val="nil"/>
              <w:left w:val="nil"/>
              <w:bottom w:val="nil"/>
              <w:right w:val="nil"/>
            </w:tcBorders>
            <w:shd w:val="clear" w:color="auto" w:fill="FFFFFF"/>
            <w:vAlign w:val="center"/>
          </w:tcPr>
          <w:p w14:paraId="318AE2D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0.2170</w:t>
            </w:r>
          </w:p>
        </w:tc>
        <w:tc>
          <w:tcPr>
            <w:tcW w:w="3027" w:type="dxa"/>
            <w:tcBorders>
              <w:top w:val="nil"/>
              <w:left w:val="nil"/>
              <w:bottom w:val="nil"/>
              <w:right w:val="nil"/>
            </w:tcBorders>
            <w:shd w:val="clear" w:color="auto" w:fill="FFFFFF"/>
            <w:vAlign w:val="center"/>
          </w:tcPr>
          <w:p w14:paraId="0A79380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0.06 (0.04–0.10)</w:t>
            </w:r>
          </w:p>
        </w:tc>
        <w:tc>
          <w:tcPr>
            <w:tcW w:w="1516" w:type="dxa"/>
            <w:tcBorders>
              <w:top w:val="nil"/>
              <w:left w:val="nil"/>
              <w:bottom w:val="nil"/>
              <w:right w:val="nil"/>
            </w:tcBorders>
            <w:shd w:val="clear" w:color="auto" w:fill="FFFFFF"/>
            <w:vAlign w:val="center"/>
          </w:tcPr>
          <w:p w14:paraId="3BA979D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2.00e-37</w:t>
            </w:r>
          </w:p>
        </w:tc>
      </w:tr>
      <w:tr w14:paraId="521E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14AC3B4E">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4D30280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Momelotinib vs pooled comparator</w:t>
            </w:r>
          </w:p>
        </w:tc>
        <w:tc>
          <w:tcPr>
            <w:tcW w:w="1967" w:type="dxa"/>
            <w:tcBorders>
              <w:top w:val="nil"/>
              <w:left w:val="nil"/>
              <w:bottom w:val="nil"/>
              <w:right w:val="nil"/>
            </w:tcBorders>
            <w:shd w:val="clear" w:color="auto" w:fill="FFFFFF"/>
            <w:vAlign w:val="center"/>
          </w:tcPr>
          <w:p w14:paraId="709D5AD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1.0058</w:t>
            </w:r>
          </w:p>
        </w:tc>
        <w:tc>
          <w:tcPr>
            <w:tcW w:w="1816" w:type="dxa"/>
            <w:tcBorders>
              <w:top w:val="nil"/>
              <w:left w:val="nil"/>
              <w:bottom w:val="nil"/>
              <w:right w:val="nil"/>
            </w:tcBorders>
            <w:shd w:val="clear" w:color="auto" w:fill="FFFFFF"/>
            <w:vAlign w:val="center"/>
          </w:tcPr>
          <w:p w14:paraId="6F0C702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0.2114</w:t>
            </w:r>
          </w:p>
        </w:tc>
        <w:tc>
          <w:tcPr>
            <w:tcW w:w="3027" w:type="dxa"/>
            <w:tcBorders>
              <w:top w:val="nil"/>
              <w:left w:val="nil"/>
              <w:bottom w:val="nil"/>
              <w:right w:val="nil"/>
            </w:tcBorders>
            <w:shd w:val="clear" w:color="auto" w:fill="FFFFFF"/>
            <w:vAlign w:val="center"/>
          </w:tcPr>
          <w:p w14:paraId="0A6C3D1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2.73 (1.81–4.14)</w:t>
            </w:r>
          </w:p>
        </w:tc>
        <w:tc>
          <w:tcPr>
            <w:tcW w:w="1516" w:type="dxa"/>
            <w:tcBorders>
              <w:top w:val="nil"/>
              <w:left w:val="nil"/>
              <w:bottom w:val="nil"/>
              <w:right w:val="nil"/>
            </w:tcBorders>
            <w:shd w:val="clear" w:color="auto" w:fill="FFFFFF"/>
            <w:vAlign w:val="center"/>
          </w:tcPr>
          <w:p w14:paraId="68CF0EA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1.95e-06</w:t>
            </w:r>
          </w:p>
        </w:tc>
      </w:tr>
      <w:tr w14:paraId="5F936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04A9DA5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0B78A51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Receipt quarter, per quarter</w:t>
            </w:r>
          </w:p>
        </w:tc>
        <w:tc>
          <w:tcPr>
            <w:tcW w:w="1967" w:type="dxa"/>
            <w:tcBorders>
              <w:top w:val="nil"/>
              <w:left w:val="nil"/>
              <w:bottom w:val="nil"/>
              <w:right w:val="nil"/>
            </w:tcBorders>
            <w:shd w:val="clear" w:color="auto" w:fill="FFFFFF"/>
            <w:vAlign w:val="center"/>
          </w:tcPr>
          <w:p w14:paraId="0ACB67C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-0.0476</w:t>
            </w:r>
          </w:p>
        </w:tc>
        <w:tc>
          <w:tcPr>
            <w:tcW w:w="1816" w:type="dxa"/>
            <w:tcBorders>
              <w:top w:val="nil"/>
              <w:left w:val="nil"/>
              <w:bottom w:val="nil"/>
              <w:right w:val="nil"/>
            </w:tcBorders>
            <w:shd w:val="clear" w:color="auto" w:fill="FFFFFF"/>
            <w:vAlign w:val="center"/>
          </w:tcPr>
          <w:p w14:paraId="4429179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0.0338</w:t>
            </w:r>
          </w:p>
        </w:tc>
        <w:tc>
          <w:tcPr>
            <w:tcW w:w="3027" w:type="dxa"/>
            <w:tcBorders>
              <w:top w:val="nil"/>
              <w:left w:val="nil"/>
              <w:bottom w:val="nil"/>
              <w:right w:val="nil"/>
            </w:tcBorders>
            <w:shd w:val="clear" w:color="auto" w:fill="FFFFFF"/>
            <w:vAlign w:val="center"/>
          </w:tcPr>
          <w:p w14:paraId="4573ABD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0.95 (0.89–1.02)</w:t>
            </w:r>
          </w:p>
        </w:tc>
        <w:tc>
          <w:tcPr>
            <w:tcW w:w="1516" w:type="dxa"/>
            <w:tcBorders>
              <w:top w:val="nil"/>
              <w:left w:val="nil"/>
              <w:bottom w:val="nil"/>
              <w:right w:val="nil"/>
            </w:tcBorders>
            <w:shd w:val="clear" w:color="auto" w:fill="FFFFFF"/>
            <w:vAlign w:val="center"/>
          </w:tcPr>
          <w:p w14:paraId="1D40CEB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0.159</w:t>
            </w:r>
          </w:p>
        </w:tc>
      </w:tr>
      <w:tr w14:paraId="67EEF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720632E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45787A6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US vs non-US</w:t>
            </w:r>
          </w:p>
        </w:tc>
        <w:tc>
          <w:tcPr>
            <w:tcW w:w="1967" w:type="dxa"/>
            <w:tcBorders>
              <w:top w:val="nil"/>
              <w:left w:val="nil"/>
              <w:bottom w:val="nil"/>
              <w:right w:val="nil"/>
            </w:tcBorders>
            <w:shd w:val="clear" w:color="auto" w:fill="FFFFFF"/>
            <w:vAlign w:val="center"/>
          </w:tcPr>
          <w:p w14:paraId="4E1A0CA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-0.8488</w:t>
            </w:r>
          </w:p>
        </w:tc>
        <w:tc>
          <w:tcPr>
            <w:tcW w:w="1816" w:type="dxa"/>
            <w:tcBorders>
              <w:top w:val="nil"/>
              <w:left w:val="nil"/>
              <w:bottom w:val="nil"/>
              <w:right w:val="nil"/>
            </w:tcBorders>
            <w:shd w:val="clear" w:color="auto" w:fill="FFFFFF"/>
            <w:vAlign w:val="center"/>
          </w:tcPr>
          <w:p w14:paraId="1C983E7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0.2178</w:t>
            </w:r>
          </w:p>
        </w:tc>
        <w:tc>
          <w:tcPr>
            <w:tcW w:w="3027" w:type="dxa"/>
            <w:tcBorders>
              <w:top w:val="nil"/>
              <w:left w:val="nil"/>
              <w:bottom w:val="nil"/>
              <w:right w:val="nil"/>
            </w:tcBorders>
            <w:shd w:val="clear" w:color="auto" w:fill="FFFFFF"/>
            <w:vAlign w:val="center"/>
          </w:tcPr>
          <w:p w14:paraId="443884A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0.43 (0.28–0.66)</w:t>
            </w:r>
          </w:p>
        </w:tc>
        <w:tc>
          <w:tcPr>
            <w:tcW w:w="1516" w:type="dxa"/>
            <w:tcBorders>
              <w:top w:val="nil"/>
              <w:left w:val="nil"/>
              <w:bottom w:val="nil"/>
              <w:right w:val="nil"/>
            </w:tcBorders>
            <w:shd w:val="clear" w:color="auto" w:fill="FFFFFF"/>
            <w:vAlign w:val="center"/>
          </w:tcPr>
          <w:p w14:paraId="76373BD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9.74e-05</w:t>
            </w:r>
          </w:p>
        </w:tc>
      </w:tr>
      <w:tr w14:paraId="78136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7B4F18F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53A52BE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Non-HCP vs HCP</w:t>
            </w:r>
          </w:p>
        </w:tc>
        <w:tc>
          <w:tcPr>
            <w:tcW w:w="1967" w:type="dxa"/>
            <w:tcBorders>
              <w:top w:val="nil"/>
              <w:left w:val="nil"/>
              <w:bottom w:val="nil"/>
              <w:right w:val="nil"/>
            </w:tcBorders>
            <w:shd w:val="clear" w:color="auto" w:fill="FFFFFF"/>
            <w:vAlign w:val="center"/>
          </w:tcPr>
          <w:p w14:paraId="2A35848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-1.4398</w:t>
            </w:r>
          </w:p>
        </w:tc>
        <w:tc>
          <w:tcPr>
            <w:tcW w:w="1816" w:type="dxa"/>
            <w:tcBorders>
              <w:top w:val="nil"/>
              <w:left w:val="nil"/>
              <w:bottom w:val="nil"/>
              <w:right w:val="nil"/>
            </w:tcBorders>
            <w:shd w:val="clear" w:color="auto" w:fill="FFFFFF"/>
            <w:vAlign w:val="center"/>
          </w:tcPr>
          <w:p w14:paraId="2E8E932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0.3632</w:t>
            </w:r>
          </w:p>
        </w:tc>
        <w:tc>
          <w:tcPr>
            <w:tcW w:w="3027" w:type="dxa"/>
            <w:tcBorders>
              <w:top w:val="nil"/>
              <w:left w:val="nil"/>
              <w:bottom w:val="nil"/>
              <w:right w:val="nil"/>
            </w:tcBorders>
            <w:shd w:val="clear" w:color="auto" w:fill="FFFFFF"/>
            <w:vAlign w:val="center"/>
          </w:tcPr>
          <w:p w14:paraId="57CE047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0.24 (0.12–0.48)</w:t>
            </w:r>
          </w:p>
        </w:tc>
        <w:tc>
          <w:tcPr>
            <w:tcW w:w="1516" w:type="dxa"/>
            <w:tcBorders>
              <w:top w:val="nil"/>
              <w:left w:val="nil"/>
              <w:bottom w:val="nil"/>
              <w:right w:val="nil"/>
            </w:tcBorders>
            <w:shd w:val="clear" w:color="auto" w:fill="FFFFFF"/>
            <w:vAlign w:val="center"/>
          </w:tcPr>
          <w:p w14:paraId="4B2E202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7.35e-05</w:t>
            </w:r>
          </w:p>
        </w:tc>
      </w:tr>
      <w:tr w14:paraId="5DD9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2E350E6C">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3935" w:type="dxa"/>
            <w:tcBorders>
              <w:top w:val="nil"/>
              <w:left w:val="nil"/>
              <w:bottom w:val="nil"/>
              <w:right w:val="nil"/>
            </w:tcBorders>
            <w:shd w:val="clear" w:color="auto" w:fill="FFFFFF"/>
            <w:vAlign w:val="center"/>
          </w:tcPr>
          <w:p w14:paraId="1482B8C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Unknown reporter vs HCP</w:t>
            </w:r>
          </w:p>
        </w:tc>
        <w:tc>
          <w:tcPr>
            <w:tcW w:w="1967" w:type="dxa"/>
            <w:tcBorders>
              <w:top w:val="nil"/>
              <w:left w:val="nil"/>
              <w:bottom w:val="nil"/>
              <w:right w:val="nil"/>
            </w:tcBorders>
            <w:shd w:val="clear" w:color="auto" w:fill="FFFFFF"/>
            <w:vAlign w:val="center"/>
          </w:tcPr>
          <w:p w14:paraId="2C2A1A6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-0.8429</w:t>
            </w:r>
          </w:p>
        </w:tc>
        <w:tc>
          <w:tcPr>
            <w:tcW w:w="1816" w:type="dxa"/>
            <w:tcBorders>
              <w:top w:val="nil"/>
              <w:left w:val="nil"/>
              <w:bottom w:val="nil"/>
              <w:right w:val="nil"/>
            </w:tcBorders>
            <w:shd w:val="clear" w:color="auto" w:fill="FFFFFF"/>
            <w:vAlign w:val="center"/>
          </w:tcPr>
          <w:p w14:paraId="1EFF6A8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0.3326</w:t>
            </w:r>
          </w:p>
        </w:tc>
        <w:tc>
          <w:tcPr>
            <w:tcW w:w="3027" w:type="dxa"/>
            <w:tcBorders>
              <w:top w:val="nil"/>
              <w:left w:val="nil"/>
              <w:bottom w:val="nil"/>
              <w:right w:val="nil"/>
            </w:tcBorders>
            <w:shd w:val="clear" w:color="auto" w:fill="FFFFFF"/>
            <w:vAlign w:val="center"/>
          </w:tcPr>
          <w:p w14:paraId="097A633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0.43 (0.22–0.83)</w:t>
            </w:r>
          </w:p>
        </w:tc>
        <w:tc>
          <w:tcPr>
            <w:tcW w:w="1516" w:type="dxa"/>
            <w:tcBorders>
              <w:top w:val="nil"/>
              <w:left w:val="nil"/>
              <w:bottom w:val="nil"/>
              <w:right w:val="nil"/>
            </w:tcBorders>
            <w:shd w:val="clear" w:color="auto" w:fill="FFFFFF"/>
            <w:vAlign w:val="center"/>
          </w:tcPr>
          <w:p w14:paraId="3AE85F9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0.011</w:t>
            </w:r>
          </w:p>
        </w:tc>
      </w:tr>
      <w:tr w14:paraId="1B5A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0871D7DB">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nil"/>
              <w:right w:val="nil"/>
            </w:tcBorders>
            <w:shd w:val="clear" w:color="auto" w:fill="FFFFFF"/>
            <w:vAlign w:val="center"/>
          </w:tcPr>
          <w:p w14:paraId="6878C9A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Intercept</w:t>
            </w:r>
          </w:p>
        </w:tc>
        <w:tc>
          <w:tcPr>
            <w:tcW w:w="1967" w:type="dxa"/>
            <w:tcBorders>
              <w:top w:val="nil"/>
              <w:left w:val="nil"/>
              <w:bottom w:val="nil"/>
              <w:right w:val="nil"/>
            </w:tcBorders>
            <w:shd w:val="clear" w:color="auto" w:fill="FFFFFF"/>
            <w:vAlign w:val="center"/>
          </w:tcPr>
          <w:p w14:paraId="4C3AE30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-4.9161</w:t>
            </w:r>
          </w:p>
        </w:tc>
        <w:tc>
          <w:tcPr>
            <w:tcW w:w="1816" w:type="dxa"/>
            <w:tcBorders>
              <w:top w:val="nil"/>
              <w:left w:val="nil"/>
              <w:bottom w:val="nil"/>
              <w:right w:val="nil"/>
            </w:tcBorders>
            <w:shd w:val="clear" w:color="auto" w:fill="FFFFFF"/>
            <w:vAlign w:val="center"/>
          </w:tcPr>
          <w:p w14:paraId="3F076EE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0.3819</w:t>
            </w:r>
          </w:p>
        </w:tc>
        <w:tc>
          <w:tcPr>
            <w:tcW w:w="3027" w:type="dxa"/>
            <w:tcBorders>
              <w:top w:val="nil"/>
              <w:left w:val="nil"/>
              <w:bottom w:val="nil"/>
              <w:right w:val="nil"/>
            </w:tcBorders>
            <w:shd w:val="clear" w:color="auto" w:fill="FFFFFF"/>
            <w:vAlign w:val="center"/>
          </w:tcPr>
          <w:p w14:paraId="1F9C64D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0.007 (0.003–0.015)</w:t>
            </w:r>
          </w:p>
        </w:tc>
        <w:tc>
          <w:tcPr>
            <w:tcW w:w="1516" w:type="dxa"/>
            <w:tcBorders>
              <w:top w:val="nil"/>
              <w:left w:val="nil"/>
              <w:bottom w:val="nil"/>
              <w:right w:val="nil"/>
            </w:tcBorders>
            <w:shd w:val="clear" w:color="auto" w:fill="FFFFFF"/>
            <w:vAlign w:val="center"/>
          </w:tcPr>
          <w:p w14:paraId="13E41AD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6.38e-38</w:t>
            </w:r>
          </w:p>
        </w:tc>
      </w:tr>
      <w:tr w14:paraId="5EDA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22FE281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nil"/>
              <w:right w:val="nil"/>
            </w:tcBorders>
            <w:shd w:val="clear" w:color="auto" w:fill="FFFFFF"/>
            <w:vAlign w:val="center"/>
          </w:tcPr>
          <w:p w14:paraId="07B1606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Momelotinib vs pooled comparator</w:t>
            </w:r>
          </w:p>
        </w:tc>
        <w:tc>
          <w:tcPr>
            <w:tcW w:w="1967" w:type="dxa"/>
            <w:tcBorders>
              <w:top w:val="nil"/>
              <w:left w:val="nil"/>
              <w:bottom w:val="nil"/>
              <w:right w:val="nil"/>
            </w:tcBorders>
            <w:shd w:val="clear" w:color="auto" w:fill="FFFFFF"/>
            <w:vAlign w:val="center"/>
          </w:tcPr>
          <w:p w14:paraId="773E9C8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1.6496</w:t>
            </w:r>
          </w:p>
        </w:tc>
        <w:tc>
          <w:tcPr>
            <w:tcW w:w="1816" w:type="dxa"/>
            <w:tcBorders>
              <w:top w:val="nil"/>
              <w:left w:val="nil"/>
              <w:bottom w:val="nil"/>
              <w:right w:val="nil"/>
            </w:tcBorders>
            <w:shd w:val="clear" w:color="auto" w:fill="FFFFFF"/>
            <w:vAlign w:val="center"/>
          </w:tcPr>
          <w:p w14:paraId="1DC10AA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0.2734</w:t>
            </w:r>
          </w:p>
        </w:tc>
        <w:tc>
          <w:tcPr>
            <w:tcW w:w="3027" w:type="dxa"/>
            <w:tcBorders>
              <w:top w:val="nil"/>
              <w:left w:val="nil"/>
              <w:bottom w:val="nil"/>
              <w:right w:val="nil"/>
            </w:tcBorders>
            <w:shd w:val="clear" w:color="auto" w:fill="FFFFFF"/>
            <w:vAlign w:val="center"/>
          </w:tcPr>
          <w:p w14:paraId="2B2E61D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5.21 (3.05–8.90)</w:t>
            </w:r>
          </w:p>
        </w:tc>
        <w:tc>
          <w:tcPr>
            <w:tcW w:w="1516" w:type="dxa"/>
            <w:tcBorders>
              <w:top w:val="nil"/>
              <w:left w:val="nil"/>
              <w:bottom w:val="nil"/>
              <w:right w:val="nil"/>
            </w:tcBorders>
            <w:shd w:val="clear" w:color="auto" w:fill="FFFFFF"/>
            <w:vAlign w:val="center"/>
          </w:tcPr>
          <w:p w14:paraId="6B53244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1.61e-09</w:t>
            </w:r>
          </w:p>
        </w:tc>
      </w:tr>
      <w:tr w14:paraId="0060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3686B3C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nil"/>
              <w:right w:val="nil"/>
            </w:tcBorders>
            <w:shd w:val="clear" w:color="auto" w:fill="FFFFFF"/>
            <w:vAlign w:val="center"/>
          </w:tcPr>
          <w:p w14:paraId="4ACC2BF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Receipt quarter, per quarter</w:t>
            </w:r>
          </w:p>
        </w:tc>
        <w:tc>
          <w:tcPr>
            <w:tcW w:w="1967" w:type="dxa"/>
            <w:tcBorders>
              <w:top w:val="nil"/>
              <w:left w:val="nil"/>
              <w:bottom w:val="nil"/>
              <w:right w:val="nil"/>
            </w:tcBorders>
            <w:shd w:val="clear" w:color="auto" w:fill="FFFFFF"/>
            <w:vAlign w:val="center"/>
          </w:tcPr>
          <w:p w14:paraId="18613C1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0.0320</w:t>
            </w:r>
          </w:p>
        </w:tc>
        <w:tc>
          <w:tcPr>
            <w:tcW w:w="1816" w:type="dxa"/>
            <w:tcBorders>
              <w:top w:val="nil"/>
              <w:left w:val="nil"/>
              <w:bottom w:val="nil"/>
              <w:right w:val="nil"/>
            </w:tcBorders>
            <w:shd w:val="clear" w:color="auto" w:fill="FFFFFF"/>
            <w:vAlign w:val="center"/>
          </w:tcPr>
          <w:p w14:paraId="601C16C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0.0434</w:t>
            </w:r>
          </w:p>
        </w:tc>
        <w:tc>
          <w:tcPr>
            <w:tcW w:w="3027" w:type="dxa"/>
            <w:tcBorders>
              <w:top w:val="nil"/>
              <w:left w:val="nil"/>
              <w:bottom w:val="nil"/>
              <w:right w:val="nil"/>
            </w:tcBorders>
            <w:shd w:val="clear" w:color="auto" w:fill="FFFFFF"/>
            <w:vAlign w:val="center"/>
          </w:tcPr>
          <w:p w14:paraId="18E7FD1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1.03 (0.95–1.12)</w:t>
            </w:r>
          </w:p>
        </w:tc>
        <w:tc>
          <w:tcPr>
            <w:tcW w:w="1516" w:type="dxa"/>
            <w:tcBorders>
              <w:top w:val="nil"/>
              <w:left w:val="nil"/>
              <w:bottom w:val="nil"/>
              <w:right w:val="nil"/>
            </w:tcBorders>
            <w:shd w:val="clear" w:color="auto" w:fill="FFFFFF"/>
            <w:vAlign w:val="center"/>
          </w:tcPr>
          <w:p w14:paraId="5A92594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0.461</w:t>
            </w:r>
          </w:p>
        </w:tc>
      </w:tr>
      <w:tr w14:paraId="3884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335A254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nil"/>
              <w:right w:val="nil"/>
            </w:tcBorders>
            <w:shd w:val="clear" w:color="auto" w:fill="FFFFFF"/>
            <w:vAlign w:val="center"/>
          </w:tcPr>
          <w:p w14:paraId="3B050CC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US vs non-US</w:t>
            </w:r>
          </w:p>
        </w:tc>
        <w:tc>
          <w:tcPr>
            <w:tcW w:w="1967" w:type="dxa"/>
            <w:tcBorders>
              <w:top w:val="nil"/>
              <w:left w:val="nil"/>
              <w:bottom w:val="nil"/>
              <w:right w:val="nil"/>
            </w:tcBorders>
            <w:shd w:val="clear" w:color="auto" w:fill="FFFFFF"/>
            <w:vAlign w:val="center"/>
          </w:tcPr>
          <w:p w14:paraId="51E0C4B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0.1742</w:t>
            </w:r>
          </w:p>
        </w:tc>
        <w:tc>
          <w:tcPr>
            <w:tcW w:w="1816" w:type="dxa"/>
            <w:tcBorders>
              <w:top w:val="nil"/>
              <w:left w:val="nil"/>
              <w:bottom w:val="nil"/>
              <w:right w:val="nil"/>
            </w:tcBorders>
            <w:shd w:val="clear" w:color="auto" w:fill="FFFFFF"/>
            <w:vAlign w:val="center"/>
          </w:tcPr>
          <w:p w14:paraId="25E1C59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0.2778</w:t>
            </w:r>
          </w:p>
        </w:tc>
        <w:tc>
          <w:tcPr>
            <w:tcW w:w="3027" w:type="dxa"/>
            <w:tcBorders>
              <w:top w:val="nil"/>
              <w:left w:val="nil"/>
              <w:bottom w:val="nil"/>
              <w:right w:val="nil"/>
            </w:tcBorders>
            <w:shd w:val="clear" w:color="auto" w:fill="FFFFFF"/>
            <w:vAlign w:val="center"/>
          </w:tcPr>
          <w:p w14:paraId="7D2D8B6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1.19 (0.69–2.05)</w:t>
            </w:r>
          </w:p>
        </w:tc>
        <w:tc>
          <w:tcPr>
            <w:tcW w:w="1516" w:type="dxa"/>
            <w:tcBorders>
              <w:top w:val="nil"/>
              <w:left w:val="nil"/>
              <w:bottom w:val="nil"/>
              <w:right w:val="nil"/>
            </w:tcBorders>
            <w:shd w:val="clear" w:color="auto" w:fill="FFFFFF"/>
            <w:vAlign w:val="center"/>
          </w:tcPr>
          <w:p w14:paraId="4DC48F1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0.531</w:t>
            </w:r>
          </w:p>
        </w:tc>
      </w:tr>
      <w:tr w14:paraId="7E89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nil"/>
              <w:right w:val="nil"/>
            </w:tcBorders>
            <w:shd w:val="clear" w:color="auto" w:fill="FFFFFF"/>
            <w:vAlign w:val="center"/>
          </w:tcPr>
          <w:p w14:paraId="06B34D1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nil"/>
              <w:right w:val="nil"/>
            </w:tcBorders>
            <w:shd w:val="clear" w:color="auto" w:fill="FFFFFF"/>
            <w:vAlign w:val="center"/>
          </w:tcPr>
          <w:p w14:paraId="2BE706E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Non-HCP vs HCP</w:t>
            </w:r>
          </w:p>
        </w:tc>
        <w:tc>
          <w:tcPr>
            <w:tcW w:w="1967" w:type="dxa"/>
            <w:tcBorders>
              <w:top w:val="nil"/>
              <w:left w:val="nil"/>
              <w:bottom w:val="nil"/>
              <w:right w:val="nil"/>
            </w:tcBorders>
            <w:shd w:val="clear" w:color="auto" w:fill="FFFFFF"/>
            <w:vAlign w:val="center"/>
          </w:tcPr>
          <w:p w14:paraId="57C4369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0.1784</w:t>
            </w:r>
          </w:p>
        </w:tc>
        <w:tc>
          <w:tcPr>
            <w:tcW w:w="1816" w:type="dxa"/>
            <w:tcBorders>
              <w:top w:val="nil"/>
              <w:left w:val="nil"/>
              <w:bottom w:val="nil"/>
              <w:right w:val="nil"/>
            </w:tcBorders>
            <w:shd w:val="clear" w:color="auto" w:fill="FFFFFF"/>
            <w:vAlign w:val="center"/>
          </w:tcPr>
          <w:p w14:paraId="5265D24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0.3515</w:t>
            </w:r>
          </w:p>
        </w:tc>
        <w:tc>
          <w:tcPr>
            <w:tcW w:w="3027" w:type="dxa"/>
            <w:tcBorders>
              <w:top w:val="nil"/>
              <w:left w:val="nil"/>
              <w:bottom w:val="nil"/>
              <w:right w:val="nil"/>
            </w:tcBorders>
            <w:shd w:val="clear" w:color="auto" w:fill="FFFFFF"/>
            <w:vAlign w:val="center"/>
          </w:tcPr>
          <w:p w14:paraId="1DDEEE1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1.20 (0.60–2.38)</w:t>
            </w:r>
          </w:p>
        </w:tc>
        <w:tc>
          <w:tcPr>
            <w:tcW w:w="1516" w:type="dxa"/>
            <w:tcBorders>
              <w:top w:val="nil"/>
              <w:left w:val="nil"/>
              <w:bottom w:val="nil"/>
              <w:right w:val="nil"/>
            </w:tcBorders>
            <w:shd w:val="clear" w:color="auto" w:fill="FFFFFF"/>
            <w:vAlign w:val="center"/>
          </w:tcPr>
          <w:p w14:paraId="6E2DD84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0.612</w:t>
            </w:r>
          </w:p>
        </w:tc>
      </w:tr>
      <w:tr w14:paraId="3B30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2876" w:type="dxa"/>
            <w:tcBorders>
              <w:top w:val="nil"/>
              <w:left w:val="nil"/>
              <w:bottom w:val="single" w:color="000000" w:sz="8" w:space="0"/>
              <w:right w:val="nil"/>
            </w:tcBorders>
            <w:shd w:val="clear" w:color="auto" w:fill="FFFFFF"/>
            <w:vAlign w:val="center"/>
          </w:tcPr>
          <w:p w14:paraId="51227A3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3935" w:type="dxa"/>
            <w:tcBorders>
              <w:top w:val="nil"/>
              <w:left w:val="nil"/>
              <w:bottom w:val="single" w:color="000000" w:sz="8" w:space="0"/>
              <w:right w:val="nil"/>
            </w:tcBorders>
            <w:shd w:val="clear" w:color="auto" w:fill="FFFFFF"/>
            <w:vAlign w:val="center"/>
          </w:tcPr>
          <w:p w14:paraId="641D355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Unknown reporter vs HCP</w:t>
            </w:r>
          </w:p>
        </w:tc>
        <w:tc>
          <w:tcPr>
            <w:tcW w:w="1967" w:type="dxa"/>
            <w:tcBorders>
              <w:top w:val="nil"/>
              <w:left w:val="nil"/>
              <w:bottom w:val="single" w:color="000000" w:sz="8" w:space="0"/>
              <w:right w:val="nil"/>
            </w:tcBorders>
            <w:shd w:val="clear" w:color="auto" w:fill="FFFFFF"/>
            <w:vAlign w:val="center"/>
          </w:tcPr>
          <w:p w14:paraId="4EA9A40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0.1317</w:t>
            </w:r>
          </w:p>
        </w:tc>
        <w:tc>
          <w:tcPr>
            <w:tcW w:w="1816" w:type="dxa"/>
            <w:tcBorders>
              <w:top w:val="nil"/>
              <w:left w:val="nil"/>
              <w:bottom w:val="single" w:color="000000" w:sz="8" w:space="0"/>
              <w:right w:val="nil"/>
            </w:tcBorders>
            <w:shd w:val="clear" w:color="auto" w:fill="FFFFFF"/>
            <w:vAlign w:val="center"/>
          </w:tcPr>
          <w:p w14:paraId="30A3538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0.3426</w:t>
            </w:r>
          </w:p>
        </w:tc>
        <w:tc>
          <w:tcPr>
            <w:tcW w:w="3027" w:type="dxa"/>
            <w:tcBorders>
              <w:top w:val="nil"/>
              <w:left w:val="nil"/>
              <w:bottom w:val="single" w:color="000000" w:sz="8" w:space="0"/>
              <w:right w:val="nil"/>
            </w:tcBorders>
            <w:shd w:val="clear" w:color="auto" w:fill="FFFFFF"/>
            <w:vAlign w:val="center"/>
          </w:tcPr>
          <w:p w14:paraId="4BABE11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1.14 (0.58–2.23)</w:t>
            </w:r>
          </w:p>
        </w:tc>
        <w:tc>
          <w:tcPr>
            <w:tcW w:w="1516" w:type="dxa"/>
            <w:tcBorders>
              <w:top w:val="nil"/>
              <w:left w:val="nil"/>
              <w:bottom w:val="single" w:color="000000" w:sz="8" w:space="0"/>
              <w:right w:val="nil"/>
            </w:tcBorders>
            <w:shd w:val="clear" w:color="auto" w:fill="FFFFFF"/>
            <w:vAlign w:val="center"/>
          </w:tcPr>
          <w:p w14:paraId="1B1304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0.701</w:t>
            </w:r>
          </w:p>
        </w:tc>
      </w:tr>
    </w:tbl>
    <w:p w14:paraId="2DE489C5">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All 4,732 reports were used in each model. For the drug term, exp(coefficient) is the adjusted ROR; exponentiating the intercept gives baseline odds, not an ROR. Reference groups are pooled study comparators, non-US country and HCP reporter. These associations are not clinical risk factors. HCP, healthcare professional. The neuropathy intercept is shown to three decimal places to avoid rounding a positive confidence limit to zero.</w:t>
      </w:r>
    </w:p>
    <w:p w14:paraId="771753A8">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S7. Recorded model fitting diagnostics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481"/>
        <w:gridCol w:w="1513"/>
        <w:gridCol w:w="1513"/>
        <w:gridCol w:w="1816"/>
        <w:gridCol w:w="1513"/>
        <w:gridCol w:w="3027"/>
        <w:gridCol w:w="2274"/>
      </w:tblGrid>
      <w:tr w14:paraId="645B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481" w:type="dxa"/>
            <w:tcBorders>
              <w:top w:val="single" w:color="000000" w:sz="8" w:space="0"/>
              <w:left w:val="nil"/>
              <w:bottom w:val="single" w:color="000000" w:sz="6" w:space="0"/>
              <w:right w:val="nil"/>
            </w:tcBorders>
            <w:shd w:val="clear" w:color="auto" w:fill="FFFFFF"/>
            <w:vAlign w:val="center"/>
          </w:tcPr>
          <w:p w14:paraId="0EE27F2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Endpoint</w:t>
            </w:r>
          </w:p>
        </w:tc>
        <w:tc>
          <w:tcPr>
            <w:tcW w:w="1513" w:type="dxa"/>
            <w:tcBorders>
              <w:top w:val="single" w:color="000000" w:sz="8" w:space="0"/>
              <w:left w:val="nil"/>
              <w:bottom w:val="single" w:color="000000" w:sz="6" w:space="0"/>
              <w:right w:val="nil"/>
            </w:tcBorders>
            <w:shd w:val="clear" w:color="auto" w:fill="FFFFFF"/>
            <w:vAlign w:val="center"/>
          </w:tcPr>
          <w:p w14:paraId="57F6004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Reports</w:t>
            </w:r>
          </w:p>
        </w:tc>
        <w:tc>
          <w:tcPr>
            <w:tcW w:w="1513" w:type="dxa"/>
            <w:tcBorders>
              <w:top w:val="single" w:color="000000" w:sz="8" w:space="0"/>
              <w:left w:val="nil"/>
              <w:bottom w:val="single" w:color="000000" w:sz="6" w:space="0"/>
              <w:right w:val="nil"/>
            </w:tcBorders>
            <w:shd w:val="clear" w:color="auto" w:fill="FFFFFF"/>
            <w:vAlign w:val="center"/>
          </w:tcPr>
          <w:p w14:paraId="5294DBC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Events</w:t>
            </w:r>
          </w:p>
        </w:tc>
        <w:tc>
          <w:tcPr>
            <w:tcW w:w="1816" w:type="dxa"/>
            <w:tcBorders>
              <w:top w:val="single" w:color="000000" w:sz="8" w:space="0"/>
              <w:left w:val="nil"/>
              <w:bottom w:val="single" w:color="000000" w:sz="6" w:space="0"/>
              <w:right w:val="nil"/>
            </w:tcBorders>
            <w:shd w:val="clear" w:color="auto" w:fill="FFFFFF"/>
            <w:vAlign w:val="center"/>
          </w:tcPr>
          <w:p w14:paraId="0C959D4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Rank / columns</w:t>
            </w:r>
          </w:p>
        </w:tc>
        <w:tc>
          <w:tcPr>
            <w:tcW w:w="1513" w:type="dxa"/>
            <w:tcBorders>
              <w:top w:val="single" w:color="000000" w:sz="8" w:space="0"/>
              <w:left w:val="nil"/>
              <w:bottom w:val="single" w:color="000000" w:sz="6" w:space="0"/>
              <w:right w:val="nil"/>
            </w:tcBorders>
            <w:shd w:val="clear" w:color="auto" w:fill="FFFFFF"/>
            <w:vAlign w:val="center"/>
          </w:tcPr>
          <w:p w14:paraId="55092A3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Converged</w:t>
            </w:r>
          </w:p>
        </w:tc>
        <w:tc>
          <w:tcPr>
            <w:tcW w:w="3027" w:type="dxa"/>
            <w:tcBorders>
              <w:top w:val="single" w:color="000000" w:sz="8" w:space="0"/>
              <w:left w:val="nil"/>
              <w:bottom w:val="single" w:color="000000" w:sz="6" w:space="0"/>
              <w:right w:val="nil"/>
            </w:tcBorders>
            <w:shd w:val="clear" w:color="auto" w:fill="FFFFFF"/>
            <w:vAlign w:val="center"/>
          </w:tcPr>
          <w:p w14:paraId="0685565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Fitted probability range</w:t>
            </w:r>
          </w:p>
        </w:tc>
        <w:tc>
          <w:tcPr>
            <w:tcW w:w="2274" w:type="dxa"/>
            <w:tcBorders>
              <w:top w:val="single" w:color="000000" w:sz="8" w:space="0"/>
              <w:left w:val="nil"/>
              <w:bottom w:val="single" w:color="000000" w:sz="6" w:space="0"/>
              <w:right w:val="nil"/>
            </w:tcBorders>
            <w:shd w:val="clear" w:color="auto" w:fill="FFFFFF"/>
            <w:vAlign w:val="center"/>
          </w:tcPr>
          <w:p w14:paraId="4DCBFD4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Warnings</w:t>
            </w:r>
          </w:p>
        </w:tc>
      </w:tr>
      <w:tr w14:paraId="45C5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481" w:type="dxa"/>
            <w:tcBorders>
              <w:top w:val="nil"/>
              <w:left w:val="nil"/>
              <w:bottom w:val="nil"/>
              <w:right w:val="nil"/>
            </w:tcBorders>
            <w:shd w:val="clear" w:color="auto" w:fill="FFFFFF"/>
            <w:vAlign w:val="center"/>
          </w:tcPr>
          <w:p w14:paraId="696B354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Acute renal failure (narrow)</w:t>
            </w:r>
          </w:p>
        </w:tc>
        <w:tc>
          <w:tcPr>
            <w:tcW w:w="1513" w:type="dxa"/>
            <w:tcBorders>
              <w:top w:val="nil"/>
              <w:left w:val="nil"/>
              <w:bottom w:val="nil"/>
              <w:right w:val="nil"/>
            </w:tcBorders>
            <w:shd w:val="clear" w:color="auto" w:fill="FFFFFF"/>
            <w:vAlign w:val="center"/>
          </w:tcPr>
          <w:p w14:paraId="549C05C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4732</w:t>
            </w:r>
          </w:p>
        </w:tc>
        <w:tc>
          <w:tcPr>
            <w:tcW w:w="1513" w:type="dxa"/>
            <w:tcBorders>
              <w:top w:val="nil"/>
              <w:left w:val="nil"/>
              <w:bottom w:val="nil"/>
              <w:right w:val="nil"/>
            </w:tcBorders>
            <w:shd w:val="clear" w:color="auto" w:fill="FFFFFF"/>
            <w:vAlign w:val="center"/>
          </w:tcPr>
          <w:p w14:paraId="661B191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127</w:t>
            </w:r>
          </w:p>
        </w:tc>
        <w:tc>
          <w:tcPr>
            <w:tcW w:w="1816" w:type="dxa"/>
            <w:tcBorders>
              <w:top w:val="nil"/>
              <w:left w:val="nil"/>
              <w:bottom w:val="nil"/>
              <w:right w:val="nil"/>
            </w:tcBorders>
            <w:shd w:val="clear" w:color="auto" w:fill="FFFFFF"/>
            <w:vAlign w:val="center"/>
          </w:tcPr>
          <w:p w14:paraId="72DE4B2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 / 6</w:t>
            </w:r>
          </w:p>
        </w:tc>
        <w:tc>
          <w:tcPr>
            <w:tcW w:w="1513" w:type="dxa"/>
            <w:tcBorders>
              <w:top w:val="nil"/>
              <w:left w:val="nil"/>
              <w:bottom w:val="nil"/>
              <w:right w:val="nil"/>
            </w:tcBorders>
            <w:shd w:val="clear" w:color="auto" w:fill="FFFFFF"/>
            <w:vAlign w:val="center"/>
          </w:tcPr>
          <w:p w14:paraId="5B1D19C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TRUE</w:t>
            </w:r>
          </w:p>
        </w:tc>
        <w:tc>
          <w:tcPr>
            <w:tcW w:w="3027" w:type="dxa"/>
            <w:tcBorders>
              <w:top w:val="nil"/>
              <w:left w:val="nil"/>
              <w:bottom w:val="nil"/>
              <w:right w:val="nil"/>
            </w:tcBorders>
            <w:shd w:val="clear" w:color="auto" w:fill="FFFFFF"/>
            <w:vAlign w:val="center"/>
          </w:tcPr>
          <w:p w14:paraId="2E31E55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0.0041–0.1458</w:t>
            </w:r>
          </w:p>
        </w:tc>
        <w:tc>
          <w:tcPr>
            <w:tcW w:w="2274" w:type="dxa"/>
            <w:tcBorders>
              <w:top w:val="nil"/>
              <w:left w:val="nil"/>
              <w:bottom w:val="nil"/>
              <w:right w:val="nil"/>
            </w:tcBorders>
            <w:shd w:val="clear" w:color="auto" w:fill="FFFFFF"/>
            <w:vAlign w:val="center"/>
          </w:tcPr>
          <w:p w14:paraId="622EBF1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None</w:t>
            </w:r>
          </w:p>
        </w:tc>
      </w:tr>
      <w:tr w14:paraId="4DEAA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481" w:type="dxa"/>
            <w:tcBorders>
              <w:top w:val="nil"/>
              <w:left w:val="nil"/>
              <w:bottom w:val="single" w:color="000000" w:sz="8" w:space="0"/>
              <w:right w:val="nil"/>
            </w:tcBorders>
            <w:shd w:val="clear" w:color="auto" w:fill="FFFFFF"/>
            <w:vAlign w:val="center"/>
          </w:tcPr>
          <w:p w14:paraId="4C569B1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Peripheral neuropathy (narrow)</w:t>
            </w:r>
          </w:p>
        </w:tc>
        <w:tc>
          <w:tcPr>
            <w:tcW w:w="1513" w:type="dxa"/>
            <w:tcBorders>
              <w:top w:val="nil"/>
              <w:left w:val="nil"/>
              <w:bottom w:val="single" w:color="000000" w:sz="8" w:space="0"/>
              <w:right w:val="nil"/>
            </w:tcBorders>
            <w:shd w:val="clear" w:color="auto" w:fill="FFFFFF"/>
            <w:vAlign w:val="center"/>
          </w:tcPr>
          <w:p w14:paraId="29819AE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4732</w:t>
            </w:r>
          </w:p>
        </w:tc>
        <w:tc>
          <w:tcPr>
            <w:tcW w:w="1513" w:type="dxa"/>
            <w:tcBorders>
              <w:top w:val="nil"/>
              <w:left w:val="nil"/>
              <w:bottom w:val="single" w:color="000000" w:sz="8" w:space="0"/>
              <w:right w:val="nil"/>
            </w:tcBorders>
            <w:shd w:val="clear" w:color="auto" w:fill="FFFFFF"/>
            <w:vAlign w:val="center"/>
          </w:tcPr>
          <w:p w14:paraId="1A1F6CF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85</w:t>
            </w:r>
          </w:p>
        </w:tc>
        <w:tc>
          <w:tcPr>
            <w:tcW w:w="1816" w:type="dxa"/>
            <w:tcBorders>
              <w:top w:val="nil"/>
              <w:left w:val="nil"/>
              <w:bottom w:val="single" w:color="000000" w:sz="8" w:space="0"/>
              <w:right w:val="nil"/>
            </w:tcBorders>
            <w:shd w:val="clear" w:color="auto" w:fill="FFFFFF"/>
            <w:vAlign w:val="center"/>
          </w:tcPr>
          <w:p w14:paraId="3941874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 / 6</w:t>
            </w:r>
          </w:p>
        </w:tc>
        <w:tc>
          <w:tcPr>
            <w:tcW w:w="1513" w:type="dxa"/>
            <w:tcBorders>
              <w:top w:val="nil"/>
              <w:left w:val="nil"/>
              <w:bottom w:val="single" w:color="000000" w:sz="8" w:space="0"/>
              <w:right w:val="nil"/>
            </w:tcBorders>
            <w:shd w:val="clear" w:color="auto" w:fill="FFFFFF"/>
            <w:vAlign w:val="center"/>
          </w:tcPr>
          <w:p w14:paraId="4567A94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TRUE</w:t>
            </w:r>
          </w:p>
        </w:tc>
        <w:tc>
          <w:tcPr>
            <w:tcW w:w="3027" w:type="dxa"/>
            <w:tcBorders>
              <w:top w:val="nil"/>
              <w:left w:val="nil"/>
              <w:bottom w:val="single" w:color="000000" w:sz="8" w:space="0"/>
              <w:right w:val="nil"/>
            </w:tcBorders>
            <w:shd w:val="clear" w:color="auto" w:fill="FFFFFF"/>
            <w:vAlign w:val="center"/>
          </w:tcPr>
          <w:p w14:paraId="389BE8C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0.0073–0.0666</w:t>
            </w:r>
          </w:p>
        </w:tc>
        <w:tc>
          <w:tcPr>
            <w:tcW w:w="2274" w:type="dxa"/>
            <w:tcBorders>
              <w:top w:val="nil"/>
              <w:left w:val="nil"/>
              <w:bottom w:val="single" w:color="000000" w:sz="8" w:space="0"/>
              <w:right w:val="nil"/>
            </w:tcBorders>
            <w:shd w:val="clear" w:color="auto" w:fill="FFFFFF"/>
            <w:vAlign w:val="center"/>
          </w:tcPr>
          <w:p w14:paraId="10560C1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None</w:t>
            </w:r>
          </w:p>
        </w:tc>
      </w:tr>
    </w:tbl>
    <w:p w14:paraId="1819A5D0">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Six columns include the intercept; both models were full rank. Maximum absolute coefficient was below 5 in both models. Finite estimates and convergence do not establish exchangeability, correct clinical adjustment or absence of all model misspecification.</w:t>
      </w:r>
    </w:p>
    <w:p w14:paraId="1573FB7D">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S8. Treatment-start-to-event-date information and exclusions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1816"/>
        <w:gridCol w:w="2876"/>
        <w:gridCol w:w="983"/>
        <w:gridCol w:w="1210"/>
        <w:gridCol w:w="1210"/>
        <w:gridCol w:w="1438"/>
        <w:gridCol w:w="1135"/>
        <w:gridCol w:w="983"/>
        <w:gridCol w:w="983"/>
        <w:gridCol w:w="2503"/>
      </w:tblGrid>
      <w:tr w14:paraId="2EC1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1816" w:type="dxa"/>
            <w:tcBorders>
              <w:top w:val="single" w:color="000000" w:sz="8" w:space="0"/>
              <w:left w:val="nil"/>
              <w:bottom w:val="single" w:color="000000" w:sz="6" w:space="0"/>
              <w:right w:val="nil"/>
            </w:tcBorders>
            <w:shd w:val="clear" w:color="auto" w:fill="FFFFFF"/>
            <w:vAlign w:val="center"/>
          </w:tcPr>
          <w:p w14:paraId="715C890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Drug</w:t>
            </w:r>
          </w:p>
        </w:tc>
        <w:tc>
          <w:tcPr>
            <w:tcW w:w="2876" w:type="dxa"/>
            <w:tcBorders>
              <w:top w:val="single" w:color="000000" w:sz="8" w:space="0"/>
              <w:left w:val="nil"/>
              <w:bottom w:val="single" w:color="000000" w:sz="6" w:space="0"/>
              <w:right w:val="nil"/>
            </w:tcBorders>
            <w:shd w:val="clear" w:color="auto" w:fill="FFFFFF"/>
            <w:vAlign w:val="center"/>
          </w:tcPr>
          <w:p w14:paraId="0B4CC08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Report group</w:t>
            </w:r>
          </w:p>
        </w:tc>
        <w:tc>
          <w:tcPr>
            <w:tcW w:w="983" w:type="dxa"/>
            <w:tcBorders>
              <w:top w:val="single" w:color="000000" w:sz="8" w:space="0"/>
              <w:left w:val="nil"/>
              <w:bottom w:val="single" w:color="000000" w:sz="6" w:space="0"/>
              <w:right w:val="nil"/>
            </w:tcBorders>
            <w:shd w:val="clear" w:color="auto" w:fill="FFFFFF"/>
            <w:vAlign w:val="center"/>
          </w:tcPr>
          <w:p w14:paraId="500CE0B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Total</w:t>
            </w:r>
          </w:p>
        </w:tc>
        <w:tc>
          <w:tcPr>
            <w:tcW w:w="1210" w:type="dxa"/>
            <w:tcBorders>
              <w:top w:val="single" w:color="000000" w:sz="8" w:space="0"/>
              <w:left w:val="nil"/>
              <w:bottom w:val="single" w:color="000000" w:sz="6" w:space="0"/>
              <w:right w:val="nil"/>
            </w:tcBorders>
            <w:shd w:val="clear" w:color="auto" w:fill="FFFFFF"/>
            <w:vAlign w:val="center"/>
          </w:tcPr>
          <w:p w14:paraId="23422CC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No complete start</w:t>
            </w:r>
          </w:p>
        </w:tc>
        <w:tc>
          <w:tcPr>
            <w:tcW w:w="1210" w:type="dxa"/>
            <w:tcBorders>
              <w:top w:val="single" w:color="000000" w:sz="8" w:space="0"/>
              <w:left w:val="nil"/>
              <w:bottom w:val="single" w:color="000000" w:sz="6" w:space="0"/>
              <w:right w:val="nil"/>
            </w:tcBorders>
            <w:shd w:val="clear" w:color="auto" w:fill="FFFFFF"/>
            <w:vAlign w:val="center"/>
          </w:tcPr>
          <w:p w14:paraId="61BB1FB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&gt;1 distinct start</w:t>
            </w:r>
          </w:p>
        </w:tc>
        <w:tc>
          <w:tcPr>
            <w:tcW w:w="1438" w:type="dxa"/>
            <w:tcBorders>
              <w:top w:val="single" w:color="000000" w:sz="8" w:space="0"/>
              <w:left w:val="nil"/>
              <w:bottom w:val="single" w:color="000000" w:sz="6" w:space="0"/>
              <w:right w:val="nil"/>
            </w:tcBorders>
            <w:shd w:val="clear" w:color="auto" w:fill="FFFFFF"/>
            <w:vAlign w:val="center"/>
          </w:tcPr>
          <w:p w14:paraId="2ABA54D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No complete event date</w:t>
            </w:r>
          </w:p>
        </w:tc>
        <w:tc>
          <w:tcPr>
            <w:tcW w:w="1135" w:type="dxa"/>
            <w:tcBorders>
              <w:top w:val="single" w:color="000000" w:sz="8" w:space="0"/>
              <w:left w:val="nil"/>
              <w:bottom w:val="single" w:color="000000" w:sz="6" w:space="0"/>
              <w:right w:val="nil"/>
            </w:tcBorders>
            <w:shd w:val="clear" w:color="auto" w:fill="FFFFFF"/>
            <w:vAlign w:val="center"/>
          </w:tcPr>
          <w:p w14:paraId="1C88DDC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Negative interval</w:t>
            </w:r>
          </w:p>
        </w:tc>
        <w:tc>
          <w:tcPr>
            <w:tcW w:w="983" w:type="dxa"/>
            <w:tcBorders>
              <w:top w:val="single" w:color="000000" w:sz="8" w:space="0"/>
              <w:left w:val="nil"/>
              <w:bottom w:val="single" w:color="000000" w:sz="6" w:space="0"/>
              <w:right w:val="nil"/>
            </w:tcBorders>
            <w:shd w:val="clear" w:color="auto" w:fill="FFFFFF"/>
            <w:vAlign w:val="center"/>
          </w:tcPr>
          <w:p w14:paraId="5402D15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Usable</w:t>
            </w:r>
          </w:p>
        </w:tc>
        <w:tc>
          <w:tcPr>
            <w:tcW w:w="983" w:type="dxa"/>
            <w:tcBorders>
              <w:top w:val="single" w:color="000000" w:sz="8" w:space="0"/>
              <w:left w:val="nil"/>
              <w:bottom w:val="single" w:color="000000" w:sz="6" w:space="0"/>
              <w:right w:val="nil"/>
            </w:tcBorders>
            <w:shd w:val="clear" w:color="auto" w:fill="FFFFFF"/>
            <w:vAlign w:val="center"/>
          </w:tcPr>
          <w:p w14:paraId="123BEF8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Same day</w:t>
            </w:r>
          </w:p>
        </w:tc>
        <w:tc>
          <w:tcPr>
            <w:tcW w:w="2503" w:type="dxa"/>
            <w:tcBorders>
              <w:top w:val="single" w:color="000000" w:sz="8" w:space="0"/>
              <w:left w:val="nil"/>
              <w:bottom w:val="single" w:color="000000" w:sz="6" w:space="0"/>
              <w:right w:val="nil"/>
            </w:tcBorders>
            <w:shd w:val="clear" w:color="auto" w:fill="FFFFFF"/>
            <w:vAlign w:val="center"/>
          </w:tcPr>
          <w:p w14:paraId="18EF04D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Median (IQR), days</w:t>
            </w:r>
          </w:p>
        </w:tc>
      </w:tr>
      <w:tr w14:paraId="488D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02074D6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2876" w:type="dxa"/>
            <w:tcBorders>
              <w:top w:val="nil"/>
              <w:left w:val="nil"/>
              <w:bottom w:val="nil"/>
              <w:right w:val="nil"/>
            </w:tcBorders>
            <w:shd w:val="clear" w:color="auto" w:fill="FFFFFF"/>
            <w:vAlign w:val="center"/>
          </w:tcPr>
          <w:p w14:paraId="7E18673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All eligible reports</w:t>
            </w:r>
          </w:p>
        </w:tc>
        <w:tc>
          <w:tcPr>
            <w:tcW w:w="983" w:type="dxa"/>
            <w:tcBorders>
              <w:top w:val="nil"/>
              <w:left w:val="nil"/>
              <w:bottom w:val="nil"/>
              <w:right w:val="nil"/>
            </w:tcBorders>
            <w:shd w:val="clear" w:color="auto" w:fill="FFFFFF"/>
            <w:vAlign w:val="center"/>
          </w:tcPr>
          <w:p w14:paraId="5A28FFC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872</w:t>
            </w:r>
          </w:p>
        </w:tc>
        <w:tc>
          <w:tcPr>
            <w:tcW w:w="1210" w:type="dxa"/>
            <w:tcBorders>
              <w:top w:val="nil"/>
              <w:left w:val="nil"/>
              <w:bottom w:val="nil"/>
              <w:right w:val="nil"/>
            </w:tcBorders>
            <w:shd w:val="clear" w:color="auto" w:fill="FFFFFF"/>
            <w:vAlign w:val="center"/>
          </w:tcPr>
          <w:p w14:paraId="7319093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711</w:t>
            </w:r>
          </w:p>
        </w:tc>
        <w:tc>
          <w:tcPr>
            <w:tcW w:w="1210" w:type="dxa"/>
            <w:tcBorders>
              <w:top w:val="nil"/>
              <w:left w:val="nil"/>
              <w:bottom w:val="nil"/>
              <w:right w:val="nil"/>
            </w:tcBorders>
            <w:shd w:val="clear" w:color="auto" w:fill="FFFFFF"/>
            <w:vAlign w:val="center"/>
          </w:tcPr>
          <w:p w14:paraId="33E94F9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12523EB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565</w:t>
            </w:r>
          </w:p>
        </w:tc>
        <w:tc>
          <w:tcPr>
            <w:tcW w:w="1135" w:type="dxa"/>
            <w:tcBorders>
              <w:top w:val="nil"/>
              <w:left w:val="nil"/>
              <w:bottom w:val="nil"/>
              <w:right w:val="nil"/>
            </w:tcBorders>
            <w:shd w:val="clear" w:color="auto" w:fill="FFFFFF"/>
            <w:vAlign w:val="center"/>
          </w:tcPr>
          <w:p w14:paraId="246FC1D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983" w:type="dxa"/>
            <w:tcBorders>
              <w:top w:val="nil"/>
              <w:left w:val="nil"/>
              <w:bottom w:val="nil"/>
              <w:right w:val="nil"/>
            </w:tcBorders>
            <w:shd w:val="clear" w:color="auto" w:fill="FFFFFF"/>
            <w:vAlign w:val="center"/>
          </w:tcPr>
          <w:p w14:paraId="7BCC85E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92</w:t>
            </w:r>
          </w:p>
        </w:tc>
        <w:tc>
          <w:tcPr>
            <w:tcW w:w="983" w:type="dxa"/>
            <w:tcBorders>
              <w:top w:val="nil"/>
              <w:left w:val="nil"/>
              <w:bottom w:val="nil"/>
              <w:right w:val="nil"/>
            </w:tcBorders>
            <w:shd w:val="clear" w:color="auto" w:fill="FFFFFF"/>
            <w:vAlign w:val="center"/>
          </w:tcPr>
          <w:p w14:paraId="1F3F039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w:t>
            </w:r>
          </w:p>
        </w:tc>
        <w:tc>
          <w:tcPr>
            <w:tcW w:w="2503" w:type="dxa"/>
            <w:tcBorders>
              <w:top w:val="nil"/>
              <w:left w:val="nil"/>
              <w:bottom w:val="nil"/>
              <w:right w:val="nil"/>
            </w:tcBorders>
            <w:shd w:val="clear" w:color="auto" w:fill="FFFFFF"/>
            <w:vAlign w:val="center"/>
          </w:tcPr>
          <w:p w14:paraId="5C93DF9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24.00 (6.75–89.00)</w:t>
            </w:r>
          </w:p>
        </w:tc>
      </w:tr>
      <w:tr w14:paraId="2A379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6C5FD382">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2876" w:type="dxa"/>
            <w:tcBorders>
              <w:top w:val="nil"/>
              <w:left w:val="nil"/>
              <w:bottom w:val="nil"/>
              <w:right w:val="nil"/>
            </w:tcBorders>
            <w:shd w:val="clear" w:color="auto" w:fill="FFFFFF"/>
            <w:vAlign w:val="center"/>
          </w:tcPr>
          <w:p w14:paraId="7107C48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983" w:type="dxa"/>
            <w:tcBorders>
              <w:top w:val="nil"/>
              <w:left w:val="nil"/>
              <w:bottom w:val="nil"/>
              <w:right w:val="nil"/>
            </w:tcBorders>
            <w:shd w:val="clear" w:color="auto" w:fill="FFFFFF"/>
            <w:vAlign w:val="center"/>
          </w:tcPr>
          <w:p w14:paraId="0ACEDA0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w:t>
            </w:r>
          </w:p>
        </w:tc>
        <w:tc>
          <w:tcPr>
            <w:tcW w:w="1210" w:type="dxa"/>
            <w:tcBorders>
              <w:top w:val="nil"/>
              <w:left w:val="nil"/>
              <w:bottom w:val="nil"/>
              <w:right w:val="nil"/>
            </w:tcBorders>
            <w:shd w:val="clear" w:color="auto" w:fill="FFFFFF"/>
            <w:vAlign w:val="center"/>
          </w:tcPr>
          <w:p w14:paraId="433D4B3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w:t>
            </w:r>
          </w:p>
        </w:tc>
        <w:tc>
          <w:tcPr>
            <w:tcW w:w="1210" w:type="dxa"/>
            <w:tcBorders>
              <w:top w:val="nil"/>
              <w:left w:val="nil"/>
              <w:bottom w:val="nil"/>
              <w:right w:val="nil"/>
            </w:tcBorders>
            <w:shd w:val="clear" w:color="auto" w:fill="FFFFFF"/>
            <w:vAlign w:val="center"/>
          </w:tcPr>
          <w:p w14:paraId="0091B0B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5501C2D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31</w:t>
            </w:r>
          </w:p>
        </w:tc>
        <w:tc>
          <w:tcPr>
            <w:tcW w:w="1135" w:type="dxa"/>
            <w:tcBorders>
              <w:top w:val="nil"/>
              <w:left w:val="nil"/>
              <w:bottom w:val="nil"/>
              <w:right w:val="nil"/>
            </w:tcBorders>
            <w:shd w:val="clear" w:color="auto" w:fill="FFFFFF"/>
            <w:vAlign w:val="center"/>
          </w:tcPr>
          <w:p w14:paraId="37793FD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nil"/>
              <w:right w:val="nil"/>
            </w:tcBorders>
            <w:shd w:val="clear" w:color="auto" w:fill="FFFFFF"/>
            <w:vAlign w:val="center"/>
          </w:tcPr>
          <w:p w14:paraId="663E777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w:t>
            </w:r>
          </w:p>
        </w:tc>
        <w:tc>
          <w:tcPr>
            <w:tcW w:w="983" w:type="dxa"/>
            <w:tcBorders>
              <w:top w:val="nil"/>
              <w:left w:val="nil"/>
              <w:bottom w:val="nil"/>
              <w:right w:val="nil"/>
            </w:tcBorders>
            <w:shd w:val="clear" w:color="auto" w:fill="FFFFFF"/>
            <w:vAlign w:val="center"/>
          </w:tcPr>
          <w:p w14:paraId="08D98AE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2503" w:type="dxa"/>
            <w:tcBorders>
              <w:top w:val="nil"/>
              <w:left w:val="nil"/>
              <w:bottom w:val="nil"/>
              <w:right w:val="nil"/>
            </w:tcBorders>
            <w:shd w:val="clear" w:color="auto" w:fill="FFFFFF"/>
            <w:vAlign w:val="center"/>
          </w:tcPr>
          <w:p w14:paraId="77E49E6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18.00 (4.00–41.00)</w:t>
            </w:r>
          </w:p>
        </w:tc>
      </w:tr>
      <w:tr w14:paraId="76599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6227BFF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2876" w:type="dxa"/>
            <w:tcBorders>
              <w:top w:val="nil"/>
              <w:left w:val="nil"/>
              <w:bottom w:val="nil"/>
              <w:right w:val="nil"/>
            </w:tcBorders>
            <w:shd w:val="clear" w:color="auto" w:fill="FFFFFF"/>
            <w:vAlign w:val="center"/>
          </w:tcPr>
          <w:p w14:paraId="211608C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983" w:type="dxa"/>
            <w:tcBorders>
              <w:top w:val="nil"/>
              <w:left w:val="nil"/>
              <w:bottom w:val="nil"/>
              <w:right w:val="nil"/>
            </w:tcBorders>
            <w:shd w:val="clear" w:color="auto" w:fill="FFFFFF"/>
            <w:vAlign w:val="center"/>
          </w:tcPr>
          <w:p w14:paraId="1D7CB7A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w:t>
            </w:r>
          </w:p>
        </w:tc>
        <w:tc>
          <w:tcPr>
            <w:tcW w:w="1210" w:type="dxa"/>
            <w:tcBorders>
              <w:top w:val="nil"/>
              <w:left w:val="nil"/>
              <w:bottom w:val="nil"/>
              <w:right w:val="nil"/>
            </w:tcBorders>
            <w:shd w:val="clear" w:color="auto" w:fill="FFFFFF"/>
            <w:vAlign w:val="center"/>
          </w:tcPr>
          <w:p w14:paraId="2B6AECF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w:t>
            </w:r>
          </w:p>
        </w:tc>
        <w:tc>
          <w:tcPr>
            <w:tcW w:w="1210" w:type="dxa"/>
            <w:tcBorders>
              <w:top w:val="nil"/>
              <w:left w:val="nil"/>
              <w:bottom w:val="nil"/>
              <w:right w:val="nil"/>
            </w:tcBorders>
            <w:shd w:val="clear" w:color="auto" w:fill="FFFFFF"/>
            <w:vAlign w:val="center"/>
          </w:tcPr>
          <w:p w14:paraId="06B742E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652FAC8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31</w:t>
            </w:r>
          </w:p>
        </w:tc>
        <w:tc>
          <w:tcPr>
            <w:tcW w:w="1135" w:type="dxa"/>
            <w:tcBorders>
              <w:top w:val="nil"/>
              <w:left w:val="nil"/>
              <w:bottom w:val="nil"/>
              <w:right w:val="nil"/>
            </w:tcBorders>
            <w:shd w:val="clear" w:color="auto" w:fill="FFFFFF"/>
            <w:vAlign w:val="center"/>
          </w:tcPr>
          <w:p w14:paraId="7E24E30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nil"/>
              <w:right w:val="nil"/>
            </w:tcBorders>
            <w:shd w:val="clear" w:color="auto" w:fill="FFFFFF"/>
            <w:vAlign w:val="center"/>
          </w:tcPr>
          <w:p w14:paraId="2E50BA2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983" w:type="dxa"/>
            <w:tcBorders>
              <w:top w:val="nil"/>
              <w:left w:val="nil"/>
              <w:bottom w:val="nil"/>
              <w:right w:val="nil"/>
            </w:tcBorders>
            <w:shd w:val="clear" w:color="auto" w:fill="FFFFFF"/>
            <w:vAlign w:val="center"/>
          </w:tcPr>
          <w:p w14:paraId="5D9F3BF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2503" w:type="dxa"/>
            <w:tcBorders>
              <w:top w:val="nil"/>
              <w:left w:val="nil"/>
              <w:bottom w:val="nil"/>
              <w:right w:val="nil"/>
            </w:tcBorders>
            <w:shd w:val="clear" w:color="auto" w:fill="FFFFFF"/>
            <w:vAlign w:val="center"/>
          </w:tcPr>
          <w:p w14:paraId="65DBD6F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summarized (n&lt;3)</w:t>
            </w:r>
          </w:p>
        </w:tc>
      </w:tr>
      <w:tr w14:paraId="7A37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375F6E4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2876" w:type="dxa"/>
            <w:tcBorders>
              <w:top w:val="nil"/>
              <w:left w:val="nil"/>
              <w:bottom w:val="nil"/>
              <w:right w:val="nil"/>
            </w:tcBorders>
            <w:shd w:val="clear" w:color="auto" w:fill="FFFFFF"/>
            <w:vAlign w:val="center"/>
          </w:tcPr>
          <w:p w14:paraId="09D0C13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All eligible reports</w:t>
            </w:r>
          </w:p>
        </w:tc>
        <w:tc>
          <w:tcPr>
            <w:tcW w:w="983" w:type="dxa"/>
            <w:tcBorders>
              <w:top w:val="nil"/>
              <w:left w:val="nil"/>
              <w:bottom w:val="nil"/>
              <w:right w:val="nil"/>
            </w:tcBorders>
            <w:shd w:val="clear" w:color="auto" w:fill="FFFFFF"/>
            <w:vAlign w:val="center"/>
          </w:tcPr>
          <w:p w14:paraId="70F1BC5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2748</w:t>
            </w:r>
          </w:p>
        </w:tc>
        <w:tc>
          <w:tcPr>
            <w:tcW w:w="1210" w:type="dxa"/>
            <w:tcBorders>
              <w:top w:val="nil"/>
              <w:left w:val="nil"/>
              <w:bottom w:val="nil"/>
              <w:right w:val="nil"/>
            </w:tcBorders>
            <w:shd w:val="clear" w:color="auto" w:fill="FFFFFF"/>
            <w:vAlign w:val="center"/>
          </w:tcPr>
          <w:p w14:paraId="337DD23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2221</w:t>
            </w:r>
          </w:p>
        </w:tc>
        <w:tc>
          <w:tcPr>
            <w:tcW w:w="1210" w:type="dxa"/>
            <w:tcBorders>
              <w:top w:val="nil"/>
              <w:left w:val="nil"/>
              <w:bottom w:val="nil"/>
              <w:right w:val="nil"/>
            </w:tcBorders>
            <w:shd w:val="clear" w:color="auto" w:fill="FFFFFF"/>
            <w:vAlign w:val="center"/>
          </w:tcPr>
          <w:p w14:paraId="2276A05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3074173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2238</w:t>
            </w:r>
          </w:p>
        </w:tc>
        <w:tc>
          <w:tcPr>
            <w:tcW w:w="1135" w:type="dxa"/>
            <w:tcBorders>
              <w:top w:val="nil"/>
              <w:left w:val="nil"/>
              <w:bottom w:val="nil"/>
              <w:right w:val="nil"/>
            </w:tcBorders>
            <w:shd w:val="clear" w:color="auto" w:fill="FFFFFF"/>
            <w:vAlign w:val="center"/>
          </w:tcPr>
          <w:p w14:paraId="6C3D795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w:t>
            </w:r>
          </w:p>
        </w:tc>
        <w:tc>
          <w:tcPr>
            <w:tcW w:w="983" w:type="dxa"/>
            <w:tcBorders>
              <w:top w:val="nil"/>
              <w:left w:val="nil"/>
              <w:bottom w:val="nil"/>
              <w:right w:val="nil"/>
            </w:tcBorders>
            <w:shd w:val="clear" w:color="auto" w:fill="FFFFFF"/>
            <w:vAlign w:val="center"/>
          </w:tcPr>
          <w:p w14:paraId="5D86860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262</w:t>
            </w:r>
          </w:p>
        </w:tc>
        <w:tc>
          <w:tcPr>
            <w:tcW w:w="983" w:type="dxa"/>
            <w:tcBorders>
              <w:top w:val="nil"/>
              <w:left w:val="nil"/>
              <w:bottom w:val="nil"/>
              <w:right w:val="nil"/>
            </w:tcBorders>
            <w:shd w:val="clear" w:color="auto" w:fill="FFFFFF"/>
            <w:vAlign w:val="center"/>
          </w:tcPr>
          <w:p w14:paraId="2B441BA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w:t>
            </w:r>
          </w:p>
        </w:tc>
        <w:tc>
          <w:tcPr>
            <w:tcW w:w="2503" w:type="dxa"/>
            <w:tcBorders>
              <w:top w:val="nil"/>
              <w:left w:val="nil"/>
              <w:bottom w:val="nil"/>
              <w:right w:val="nil"/>
            </w:tcBorders>
            <w:shd w:val="clear" w:color="auto" w:fill="FFFFFF"/>
            <w:vAlign w:val="center"/>
          </w:tcPr>
          <w:p w14:paraId="5EAEB51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271.00 (38.00–920.25)</w:t>
            </w:r>
          </w:p>
        </w:tc>
      </w:tr>
      <w:tr w14:paraId="27441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54E5D4A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2876" w:type="dxa"/>
            <w:tcBorders>
              <w:top w:val="nil"/>
              <w:left w:val="nil"/>
              <w:bottom w:val="nil"/>
              <w:right w:val="nil"/>
            </w:tcBorders>
            <w:shd w:val="clear" w:color="auto" w:fill="FFFFFF"/>
            <w:vAlign w:val="center"/>
          </w:tcPr>
          <w:p w14:paraId="49858E6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983" w:type="dxa"/>
            <w:tcBorders>
              <w:top w:val="nil"/>
              <w:left w:val="nil"/>
              <w:bottom w:val="nil"/>
              <w:right w:val="nil"/>
            </w:tcBorders>
            <w:shd w:val="clear" w:color="auto" w:fill="FFFFFF"/>
            <w:vAlign w:val="center"/>
          </w:tcPr>
          <w:p w14:paraId="08408DD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w:t>
            </w:r>
          </w:p>
        </w:tc>
        <w:tc>
          <w:tcPr>
            <w:tcW w:w="1210" w:type="dxa"/>
            <w:tcBorders>
              <w:top w:val="nil"/>
              <w:left w:val="nil"/>
              <w:bottom w:val="nil"/>
              <w:right w:val="nil"/>
            </w:tcBorders>
            <w:shd w:val="clear" w:color="auto" w:fill="FFFFFF"/>
            <w:vAlign w:val="center"/>
          </w:tcPr>
          <w:p w14:paraId="52AC195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32</w:t>
            </w:r>
          </w:p>
        </w:tc>
        <w:tc>
          <w:tcPr>
            <w:tcW w:w="1210" w:type="dxa"/>
            <w:tcBorders>
              <w:top w:val="nil"/>
              <w:left w:val="nil"/>
              <w:bottom w:val="nil"/>
              <w:right w:val="nil"/>
            </w:tcBorders>
            <w:shd w:val="clear" w:color="auto" w:fill="FFFFFF"/>
            <w:vAlign w:val="center"/>
          </w:tcPr>
          <w:p w14:paraId="1E5C617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4BF3855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32</w:t>
            </w:r>
          </w:p>
        </w:tc>
        <w:tc>
          <w:tcPr>
            <w:tcW w:w="1135" w:type="dxa"/>
            <w:tcBorders>
              <w:top w:val="nil"/>
              <w:left w:val="nil"/>
              <w:bottom w:val="nil"/>
              <w:right w:val="nil"/>
            </w:tcBorders>
            <w:shd w:val="clear" w:color="auto" w:fill="FFFFFF"/>
            <w:vAlign w:val="center"/>
          </w:tcPr>
          <w:p w14:paraId="77BE4F4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983" w:type="dxa"/>
            <w:tcBorders>
              <w:top w:val="nil"/>
              <w:left w:val="nil"/>
              <w:bottom w:val="nil"/>
              <w:right w:val="nil"/>
            </w:tcBorders>
            <w:shd w:val="clear" w:color="auto" w:fill="FFFFFF"/>
            <w:vAlign w:val="center"/>
          </w:tcPr>
          <w:p w14:paraId="1474C3F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w:t>
            </w:r>
          </w:p>
        </w:tc>
        <w:tc>
          <w:tcPr>
            <w:tcW w:w="983" w:type="dxa"/>
            <w:tcBorders>
              <w:top w:val="nil"/>
              <w:left w:val="nil"/>
              <w:bottom w:val="nil"/>
              <w:right w:val="nil"/>
            </w:tcBorders>
            <w:shd w:val="clear" w:color="auto" w:fill="FFFFFF"/>
            <w:vAlign w:val="center"/>
          </w:tcPr>
          <w:p w14:paraId="2AE3E84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503" w:type="dxa"/>
            <w:tcBorders>
              <w:top w:val="nil"/>
              <w:left w:val="nil"/>
              <w:bottom w:val="nil"/>
              <w:right w:val="nil"/>
            </w:tcBorders>
            <w:shd w:val="clear" w:color="auto" w:fill="FFFFFF"/>
            <w:vAlign w:val="center"/>
          </w:tcPr>
          <w:p w14:paraId="225CD56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421.00 (198.00–929.00)</w:t>
            </w:r>
          </w:p>
        </w:tc>
      </w:tr>
      <w:tr w14:paraId="6F4D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5B8B07F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2876" w:type="dxa"/>
            <w:tcBorders>
              <w:top w:val="nil"/>
              <w:left w:val="nil"/>
              <w:bottom w:val="nil"/>
              <w:right w:val="nil"/>
            </w:tcBorders>
            <w:shd w:val="clear" w:color="auto" w:fill="FFFFFF"/>
            <w:vAlign w:val="center"/>
          </w:tcPr>
          <w:p w14:paraId="0D93961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983" w:type="dxa"/>
            <w:tcBorders>
              <w:top w:val="nil"/>
              <w:left w:val="nil"/>
              <w:bottom w:val="nil"/>
              <w:right w:val="nil"/>
            </w:tcBorders>
            <w:shd w:val="clear" w:color="auto" w:fill="FFFFFF"/>
            <w:vAlign w:val="center"/>
          </w:tcPr>
          <w:p w14:paraId="0A42AD2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w:t>
            </w:r>
          </w:p>
        </w:tc>
        <w:tc>
          <w:tcPr>
            <w:tcW w:w="1210" w:type="dxa"/>
            <w:tcBorders>
              <w:top w:val="nil"/>
              <w:left w:val="nil"/>
              <w:bottom w:val="nil"/>
              <w:right w:val="nil"/>
            </w:tcBorders>
            <w:shd w:val="clear" w:color="auto" w:fill="FFFFFF"/>
            <w:vAlign w:val="center"/>
          </w:tcPr>
          <w:p w14:paraId="374F330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w:t>
            </w:r>
          </w:p>
        </w:tc>
        <w:tc>
          <w:tcPr>
            <w:tcW w:w="1210" w:type="dxa"/>
            <w:tcBorders>
              <w:top w:val="nil"/>
              <w:left w:val="nil"/>
              <w:bottom w:val="nil"/>
              <w:right w:val="nil"/>
            </w:tcBorders>
            <w:shd w:val="clear" w:color="auto" w:fill="FFFFFF"/>
            <w:vAlign w:val="center"/>
          </w:tcPr>
          <w:p w14:paraId="135C35E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6BDF09A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w:t>
            </w:r>
          </w:p>
        </w:tc>
        <w:tc>
          <w:tcPr>
            <w:tcW w:w="1135" w:type="dxa"/>
            <w:tcBorders>
              <w:top w:val="nil"/>
              <w:left w:val="nil"/>
              <w:bottom w:val="nil"/>
              <w:right w:val="nil"/>
            </w:tcBorders>
            <w:shd w:val="clear" w:color="auto" w:fill="FFFFFF"/>
            <w:vAlign w:val="center"/>
          </w:tcPr>
          <w:p w14:paraId="7833DBE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nil"/>
              <w:right w:val="nil"/>
            </w:tcBorders>
            <w:shd w:val="clear" w:color="auto" w:fill="FFFFFF"/>
            <w:vAlign w:val="center"/>
          </w:tcPr>
          <w:p w14:paraId="6DAA8C6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983" w:type="dxa"/>
            <w:tcBorders>
              <w:top w:val="nil"/>
              <w:left w:val="nil"/>
              <w:bottom w:val="nil"/>
              <w:right w:val="nil"/>
            </w:tcBorders>
            <w:shd w:val="clear" w:color="auto" w:fill="FFFFFF"/>
            <w:vAlign w:val="center"/>
          </w:tcPr>
          <w:p w14:paraId="05ACE1F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503" w:type="dxa"/>
            <w:tcBorders>
              <w:top w:val="nil"/>
              <w:left w:val="nil"/>
              <w:bottom w:val="nil"/>
              <w:right w:val="nil"/>
            </w:tcBorders>
            <w:shd w:val="clear" w:color="auto" w:fill="FFFFFF"/>
            <w:vAlign w:val="center"/>
          </w:tcPr>
          <w:p w14:paraId="69BDB39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summarized (n&lt;3)</w:t>
            </w:r>
          </w:p>
        </w:tc>
      </w:tr>
      <w:tr w14:paraId="4AB3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57FAFFD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2876" w:type="dxa"/>
            <w:tcBorders>
              <w:top w:val="nil"/>
              <w:left w:val="nil"/>
              <w:bottom w:val="nil"/>
              <w:right w:val="nil"/>
            </w:tcBorders>
            <w:shd w:val="clear" w:color="auto" w:fill="FFFFFF"/>
            <w:vAlign w:val="center"/>
          </w:tcPr>
          <w:p w14:paraId="4A82E9D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All eligible reports</w:t>
            </w:r>
          </w:p>
        </w:tc>
        <w:tc>
          <w:tcPr>
            <w:tcW w:w="983" w:type="dxa"/>
            <w:tcBorders>
              <w:top w:val="nil"/>
              <w:left w:val="nil"/>
              <w:bottom w:val="nil"/>
              <w:right w:val="nil"/>
            </w:tcBorders>
            <w:shd w:val="clear" w:color="auto" w:fill="FFFFFF"/>
            <w:vAlign w:val="center"/>
          </w:tcPr>
          <w:p w14:paraId="1FE2601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129</w:t>
            </w:r>
          </w:p>
        </w:tc>
        <w:tc>
          <w:tcPr>
            <w:tcW w:w="1210" w:type="dxa"/>
            <w:tcBorders>
              <w:top w:val="nil"/>
              <w:left w:val="nil"/>
              <w:bottom w:val="nil"/>
              <w:right w:val="nil"/>
            </w:tcBorders>
            <w:shd w:val="clear" w:color="auto" w:fill="FFFFFF"/>
            <w:vAlign w:val="center"/>
          </w:tcPr>
          <w:p w14:paraId="1BE86B0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71</w:t>
            </w:r>
          </w:p>
        </w:tc>
        <w:tc>
          <w:tcPr>
            <w:tcW w:w="1210" w:type="dxa"/>
            <w:tcBorders>
              <w:top w:val="nil"/>
              <w:left w:val="nil"/>
              <w:bottom w:val="nil"/>
              <w:right w:val="nil"/>
            </w:tcBorders>
            <w:shd w:val="clear" w:color="auto" w:fill="FFFFFF"/>
            <w:vAlign w:val="center"/>
          </w:tcPr>
          <w:p w14:paraId="3CAA77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1438" w:type="dxa"/>
            <w:tcBorders>
              <w:top w:val="nil"/>
              <w:left w:val="nil"/>
              <w:bottom w:val="nil"/>
              <w:right w:val="nil"/>
            </w:tcBorders>
            <w:shd w:val="clear" w:color="auto" w:fill="FFFFFF"/>
            <w:vAlign w:val="center"/>
          </w:tcPr>
          <w:p w14:paraId="4E1529F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71</w:t>
            </w:r>
          </w:p>
        </w:tc>
        <w:tc>
          <w:tcPr>
            <w:tcW w:w="1135" w:type="dxa"/>
            <w:tcBorders>
              <w:top w:val="nil"/>
              <w:left w:val="nil"/>
              <w:bottom w:val="nil"/>
              <w:right w:val="nil"/>
            </w:tcBorders>
            <w:shd w:val="clear" w:color="auto" w:fill="FFFFFF"/>
            <w:vAlign w:val="center"/>
          </w:tcPr>
          <w:p w14:paraId="691B965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983" w:type="dxa"/>
            <w:tcBorders>
              <w:top w:val="nil"/>
              <w:left w:val="nil"/>
              <w:bottom w:val="nil"/>
              <w:right w:val="nil"/>
            </w:tcBorders>
            <w:shd w:val="clear" w:color="auto" w:fill="FFFFFF"/>
            <w:vAlign w:val="center"/>
          </w:tcPr>
          <w:p w14:paraId="2314147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w:t>
            </w:r>
          </w:p>
        </w:tc>
        <w:tc>
          <w:tcPr>
            <w:tcW w:w="983" w:type="dxa"/>
            <w:tcBorders>
              <w:top w:val="nil"/>
              <w:left w:val="nil"/>
              <w:bottom w:val="nil"/>
              <w:right w:val="nil"/>
            </w:tcBorders>
            <w:shd w:val="clear" w:color="auto" w:fill="FFFFFF"/>
            <w:vAlign w:val="center"/>
          </w:tcPr>
          <w:p w14:paraId="499EB6B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2503" w:type="dxa"/>
            <w:tcBorders>
              <w:top w:val="nil"/>
              <w:left w:val="nil"/>
              <w:bottom w:val="nil"/>
              <w:right w:val="nil"/>
            </w:tcBorders>
            <w:shd w:val="clear" w:color="auto" w:fill="FFFFFF"/>
            <w:vAlign w:val="center"/>
          </w:tcPr>
          <w:p w14:paraId="3710D8C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55.00 (10.50–176.00)</w:t>
            </w:r>
          </w:p>
        </w:tc>
      </w:tr>
      <w:tr w14:paraId="1FEE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6EF1CEB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2876" w:type="dxa"/>
            <w:tcBorders>
              <w:top w:val="nil"/>
              <w:left w:val="nil"/>
              <w:bottom w:val="nil"/>
              <w:right w:val="nil"/>
            </w:tcBorders>
            <w:shd w:val="clear" w:color="auto" w:fill="FFFFFF"/>
            <w:vAlign w:val="center"/>
          </w:tcPr>
          <w:p w14:paraId="0256ABF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983" w:type="dxa"/>
            <w:tcBorders>
              <w:top w:val="nil"/>
              <w:left w:val="nil"/>
              <w:bottom w:val="nil"/>
              <w:right w:val="nil"/>
            </w:tcBorders>
            <w:shd w:val="clear" w:color="auto" w:fill="FFFFFF"/>
            <w:vAlign w:val="center"/>
          </w:tcPr>
          <w:p w14:paraId="586C321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1210" w:type="dxa"/>
            <w:tcBorders>
              <w:top w:val="nil"/>
              <w:left w:val="nil"/>
              <w:bottom w:val="nil"/>
              <w:right w:val="nil"/>
            </w:tcBorders>
            <w:shd w:val="clear" w:color="auto" w:fill="FFFFFF"/>
            <w:vAlign w:val="center"/>
          </w:tcPr>
          <w:p w14:paraId="12925A7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210" w:type="dxa"/>
            <w:tcBorders>
              <w:top w:val="nil"/>
              <w:left w:val="nil"/>
              <w:bottom w:val="nil"/>
              <w:right w:val="nil"/>
            </w:tcBorders>
            <w:shd w:val="clear" w:color="auto" w:fill="FFFFFF"/>
            <w:vAlign w:val="center"/>
          </w:tcPr>
          <w:p w14:paraId="6581B5F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0256883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w:t>
            </w:r>
          </w:p>
        </w:tc>
        <w:tc>
          <w:tcPr>
            <w:tcW w:w="1135" w:type="dxa"/>
            <w:tcBorders>
              <w:top w:val="nil"/>
              <w:left w:val="nil"/>
              <w:bottom w:val="nil"/>
              <w:right w:val="nil"/>
            </w:tcBorders>
            <w:shd w:val="clear" w:color="auto" w:fill="FFFFFF"/>
            <w:vAlign w:val="center"/>
          </w:tcPr>
          <w:p w14:paraId="61BFAAD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983" w:type="dxa"/>
            <w:tcBorders>
              <w:top w:val="nil"/>
              <w:left w:val="nil"/>
              <w:bottom w:val="nil"/>
              <w:right w:val="nil"/>
            </w:tcBorders>
            <w:shd w:val="clear" w:color="auto" w:fill="FFFFFF"/>
            <w:vAlign w:val="center"/>
          </w:tcPr>
          <w:p w14:paraId="5B59C6D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983" w:type="dxa"/>
            <w:tcBorders>
              <w:top w:val="nil"/>
              <w:left w:val="nil"/>
              <w:bottom w:val="nil"/>
              <w:right w:val="nil"/>
            </w:tcBorders>
            <w:shd w:val="clear" w:color="auto" w:fill="FFFFFF"/>
            <w:vAlign w:val="center"/>
          </w:tcPr>
          <w:p w14:paraId="3EFF70B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503" w:type="dxa"/>
            <w:tcBorders>
              <w:top w:val="nil"/>
              <w:left w:val="nil"/>
              <w:bottom w:val="nil"/>
              <w:right w:val="nil"/>
            </w:tcBorders>
            <w:shd w:val="clear" w:color="auto" w:fill="FFFFFF"/>
            <w:vAlign w:val="center"/>
          </w:tcPr>
          <w:p w14:paraId="248311A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summarized (n&lt;3)</w:t>
            </w:r>
          </w:p>
        </w:tc>
      </w:tr>
      <w:tr w14:paraId="61C3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379E853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2876" w:type="dxa"/>
            <w:tcBorders>
              <w:top w:val="nil"/>
              <w:left w:val="nil"/>
              <w:bottom w:val="nil"/>
              <w:right w:val="nil"/>
            </w:tcBorders>
            <w:shd w:val="clear" w:color="auto" w:fill="FFFFFF"/>
            <w:vAlign w:val="center"/>
          </w:tcPr>
          <w:p w14:paraId="28CDFBA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983" w:type="dxa"/>
            <w:tcBorders>
              <w:top w:val="nil"/>
              <w:left w:val="nil"/>
              <w:bottom w:val="nil"/>
              <w:right w:val="nil"/>
            </w:tcBorders>
            <w:shd w:val="clear" w:color="auto" w:fill="FFFFFF"/>
            <w:vAlign w:val="center"/>
          </w:tcPr>
          <w:p w14:paraId="4D7216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210" w:type="dxa"/>
            <w:tcBorders>
              <w:top w:val="nil"/>
              <w:left w:val="nil"/>
              <w:bottom w:val="nil"/>
              <w:right w:val="nil"/>
            </w:tcBorders>
            <w:shd w:val="clear" w:color="auto" w:fill="FFFFFF"/>
            <w:vAlign w:val="center"/>
          </w:tcPr>
          <w:p w14:paraId="075A43C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210" w:type="dxa"/>
            <w:tcBorders>
              <w:top w:val="nil"/>
              <w:left w:val="nil"/>
              <w:bottom w:val="nil"/>
              <w:right w:val="nil"/>
            </w:tcBorders>
            <w:shd w:val="clear" w:color="auto" w:fill="FFFFFF"/>
            <w:vAlign w:val="center"/>
          </w:tcPr>
          <w:p w14:paraId="68F809D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0AD550E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135" w:type="dxa"/>
            <w:tcBorders>
              <w:top w:val="nil"/>
              <w:left w:val="nil"/>
              <w:bottom w:val="nil"/>
              <w:right w:val="nil"/>
            </w:tcBorders>
            <w:shd w:val="clear" w:color="auto" w:fill="FFFFFF"/>
            <w:vAlign w:val="center"/>
          </w:tcPr>
          <w:p w14:paraId="3D51007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nil"/>
              <w:right w:val="nil"/>
            </w:tcBorders>
            <w:shd w:val="clear" w:color="auto" w:fill="FFFFFF"/>
            <w:vAlign w:val="center"/>
          </w:tcPr>
          <w:p w14:paraId="177FD48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983" w:type="dxa"/>
            <w:tcBorders>
              <w:top w:val="nil"/>
              <w:left w:val="nil"/>
              <w:bottom w:val="nil"/>
              <w:right w:val="nil"/>
            </w:tcBorders>
            <w:shd w:val="clear" w:color="auto" w:fill="FFFFFF"/>
            <w:vAlign w:val="center"/>
          </w:tcPr>
          <w:p w14:paraId="619D969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503" w:type="dxa"/>
            <w:tcBorders>
              <w:top w:val="nil"/>
              <w:left w:val="nil"/>
              <w:bottom w:val="nil"/>
              <w:right w:val="nil"/>
            </w:tcBorders>
            <w:shd w:val="clear" w:color="auto" w:fill="FFFFFF"/>
            <w:vAlign w:val="center"/>
          </w:tcPr>
          <w:p w14:paraId="1D57BCE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summarized (n&lt;3)</w:t>
            </w:r>
          </w:p>
        </w:tc>
      </w:tr>
      <w:tr w14:paraId="4119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4B446A1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2876" w:type="dxa"/>
            <w:tcBorders>
              <w:top w:val="nil"/>
              <w:left w:val="nil"/>
              <w:bottom w:val="nil"/>
              <w:right w:val="nil"/>
            </w:tcBorders>
            <w:shd w:val="clear" w:color="auto" w:fill="FFFFFF"/>
            <w:vAlign w:val="center"/>
          </w:tcPr>
          <w:p w14:paraId="01795C5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All eligible reports</w:t>
            </w:r>
          </w:p>
        </w:tc>
        <w:tc>
          <w:tcPr>
            <w:tcW w:w="983" w:type="dxa"/>
            <w:tcBorders>
              <w:top w:val="nil"/>
              <w:left w:val="nil"/>
              <w:bottom w:val="nil"/>
              <w:right w:val="nil"/>
            </w:tcBorders>
            <w:shd w:val="clear" w:color="auto" w:fill="FFFFFF"/>
            <w:vAlign w:val="center"/>
          </w:tcPr>
          <w:p w14:paraId="5C23BC4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983</w:t>
            </w:r>
          </w:p>
        </w:tc>
        <w:tc>
          <w:tcPr>
            <w:tcW w:w="1210" w:type="dxa"/>
            <w:tcBorders>
              <w:top w:val="nil"/>
              <w:left w:val="nil"/>
              <w:bottom w:val="nil"/>
              <w:right w:val="nil"/>
            </w:tcBorders>
            <w:shd w:val="clear" w:color="auto" w:fill="FFFFFF"/>
            <w:vAlign w:val="center"/>
          </w:tcPr>
          <w:p w14:paraId="3BAEE55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328</w:t>
            </w:r>
          </w:p>
        </w:tc>
        <w:tc>
          <w:tcPr>
            <w:tcW w:w="1210" w:type="dxa"/>
            <w:tcBorders>
              <w:top w:val="nil"/>
              <w:left w:val="nil"/>
              <w:bottom w:val="nil"/>
              <w:right w:val="nil"/>
            </w:tcBorders>
            <w:shd w:val="clear" w:color="auto" w:fill="FFFFFF"/>
            <w:vAlign w:val="center"/>
          </w:tcPr>
          <w:p w14:paraId="59A521D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438" w:type="dxa"/>
            <w:tcBorders>
              <w:top w:val="nil"/>
              <w:left w:val="nil"/>
              <w:bottom w:val="nil"/>
              <w:right w:val="nil"/>
            </w:tcBorders>
            <w:shd w:val="clear" w:color="auto" w:fill="FFFFFF"/>
            <w:vAlign w:val="center"/>
          </w:tcPr>
          <w:p w14:paraId="2E76097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663</w:t>
            </w:r>
          </w:p>
        </w:tc>
        <w:tc>
          <w:tcPr>
            <w:tcW w:w="1135" w:type="dxa"/>
            <w:tcBorders>
              <w:top w:val="nil"/>
              <w:left w:val="nil"/>
              <w:bottom w:val="nil"/>
              <w:right w:val="nil"/>
            </w:tcBorders>
            <w:shd w:val="clear" w:color="auto" w:fill="FFFFFF"/>
            <w:vAlign w:val="center"/>
          </w:tcPr>
          <w:p w14:paraId="46D8607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983" w:type="dxa"/>
            <w:tcBorders>
              <w:top w:val="nil"/>
              <w:left w:val="nil"/>
              <w:bottom w:val="nil"/>
              <w:right w:val="nil"/>
            </w:tcBorders>
            <w:shd w:val="clear" w:color="auto" w:fill="FFFFFF"/>
            <w:vAlign w:val="center"/>
          </w:tcPr>
          <w:p w14:paraId="26859A0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231</w:t>
            </w:r>
          </w:p>
        </w:tc>
        <w:tc>
          <w:tcPr>
            <w:tcW w:w="983" w:type="dxa"/>
            <w:tcBorders>
              <w:top w:val="nil"/>
              <w:left w:val="nil"/>
              <w:bottom w:val="nil"/>
              <w:right w:val="nil"/>
            </w:tcBorders>
            <w:shd w:val="clear" w:color="auto" w:fill="FFFFFF"/>
            <w:vAlign w:val="center"/>
          </w:tcPr>
          <w:p w14:paraId="0383F68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102</w:t>
            </w:r>
          </w:p>
        </w:tc>
        <w:tc>
          <w:tcPr>
            <w:tcW w:w="2503" w:type="dxa"/>
            <w:tcBorders>
              <w:top w:val="nil"/>
              <w:left w:val="nil"/>
              <w:bottom w:val="nil"/>
              <w:right w:val="nil"/>
            </w:tcBorders>
            <w:shd w:val="clear" w:color="auto" w:fill="FFFFFF"/>
            <w:vAlign w:val="center"/>
          </w:tcPr>
          <w:p w14:paraId="5A3F17A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3.00 (0.00–116.00)</w:t>
            </w:r>
          </w:p>
        </w:tc>
      </w:tr>
      <w:tr w14:paraId="3434B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nil"/>
              <w:right w:val="nil"/>
            </w:tcBorders>
            <w:shd w:val="clear" w:color="auto" w:fill="FFFFFF"/>
            <w:vAlign w:val="center"/>
          </w:tcPr>
          <w:p w14:paraId="3CDED152">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2876" w:type="dxa"/>
            <w:tcBorders>
              <w:top w:val="nil"/>
              <w:left w:val="nil"/>
              <w:bottom w:val="nil"/>
              <w:right w:val="nil"/>
            </w:tcBorders>
            <w:shd w:val="clear" w:color="auto" w:fill="FFFFFF"/>
            <w:vAlign w:val="center"/>
          </w:tcPr>
          <w:p w14:paraId="6AF7DAD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983" w:type="dxa"/>
            <w:tcBorders>
              <w:top w:val="nil"/>
              <w:left w:val="nil"/>
              <w:bottom w:val="nil"/>
              <w:right w:val="nil"/>
            </w:tcBorders>
            <w:shd w:val="clear" w:color="auto" w:fill="FFFFFF"/>
            <w:vAlign w:val="center"/>
          </w:tcPr>
          <w:p w14:paraId="6F55189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w:t>
            </w:r>
          </w:p>
        </w:tc>
        <w:tc>
          <w:tcPr>
            <w:tcW w:w="1210" w:type="dxa"/>
            <w:tcBorders>
              <w:top w:val="nil"/>
              <w:left w:val="nil"/>
              <w:bottom w:val="nil"/>
              <w:right w:val="nil"/>
            </w:tcBorders>
            <w:shd w:val="clear" w:color="auto" w:fill="FFFFFF"/>
            <w:vAlign w:val="center"/>
          </w:tcPr>
          <w:p w14:paraId="231907E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w:t>
            </w:r>
          </w:p>
        </w:tc>
        <w:tc>
          <w:tcPr>
            <w:tcW w:w="1210" w:type="dxa"/>
            <w:tcBorders>
              <w:top w:val="nil"/>
              <w:left w:val="nil"/>
              <w:bottom w:val="nil"/>
              <w:right w:val="nil"/>
            </w:tcBorders>
            <w:shd w:val="clear" w:color="auto" w:fill="FFFFFF"/>
            <w:vAlign w:val="center"/>
          </w:tcPr>
          <w:p w14:paraId="53DCD0C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67FFAEE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w:t>
            </w:r>
          </w:p>
        </w:tc>
        <w:tc>
          <w:tcPr>
            <w:tcW w:w="1135" w:type="dxa"/>
            <w:tcBorders>
              <w:top w:val="nil"/>
              <w:left w:val="nil"/>
              <w:bottom w:val="nil"/>
              <w:right w:val="nil"/>
            </w:tcBorders>
            <w:shd w:val="clear" w:color="auto" w:fill="FFFFFF"/>
            <w:vAlign w:val="center"/>
          </w:tcPr>
          <w:p w14:paraId="0B59690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nil"/>
              <w:right w:val="nil"/>
            </w:tcBorders>
            <w:shd w:val="clear" w:color="auto" w:fill="FFFFFF"/>
            <w:vAlign w:val="center"/>
          </w:tcPr>
          <w:p w14:paraId="3170B6E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983" w:type="dxa"/>
            <w:tcBorders>
              <w:top w:val="nil"/>
              <w:left w:val="nil"/>
              <w:bottom w:val="nil"/>
              <w:right w:val="nil"/>
            </w:tcBorders>
            <w:shd w:val="clear" w:color="auto" w:fill="FFFFFF"/>
            <w:vAlign w:val="center"/>
          </w:tcPr>
          <w:p w14:paraId="41B013F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503" w:type="dxa"/>
            <w:tcBorders>
              <w:top w:val="nil"/>
              <w:left w:val="nil"/>
              <w:bottom w:val="nil"/>
              <w:right w:val="nil"/>
            </w:tcBorders>
            <w:shd w:val="clear" w:color="auto" w:fill="FFFFFF"/>
            <w:vAlign w:val="center"/>
          </w:tcPr>
          <w:p w14:paraId="49C7600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Not summarized (n&lt;3)</w:t>
            </w:r>
          </w:p>
        </w:tc>
      </w:tr>
      <w:tr w14:paraId="270C6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816" w:type="dxa"/>
            <w:tcBorders>
              <w:top w:val="nil"/>
              <w:left w:val="nil"/>
              <w:bottom w:val="single" w:color="000000" w:sz="8" w:space="0"/>
              <w:right w:val="nil"/>
            </w:tcBorders>
            <w:shd w:val="clear" w:color="auto" w:fill="FFFFFF"/>
            <w:vAlign w:val="center"/>
          </w:tcPr>
          <w:p w14:paraId="22D7222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2876" w:type="dxa"/>
            <w:tcBorders>
              <w:top w:val="nil"/>
              <w:left w:val="nil"/>
              <w:bottom w:val="single" w:color="000000" w:sz="8" w:space="0"/>
              <w:right w:val="nil"/>
            </w:tcBorders>
            <w:shd w:val="clear" w:color="auto" w:fill="FFFFFF"/>
            <w:vAlign w:val="center"/>
          </w:tcPr>
          <w:p w14:paraId="057947B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983" w:type="dxa"/>
            <w:tcBorders>
              <w:top w:val="nil"/>
              <w:left w:val="nil"/>
              <w:bottom w:val="single" w:color="000000" w:sz="8" w:space="0"/>
              <w:right w:val="nil"/>
            </w:tcBorders>
            <w:shd w:val="clear" w:color="auto" w:fill="FFFFFF"/>
            <w:vAlign w:val="center"/>
          </w:tcPr>
          <w:p w14:paraId="517A4C0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w:t>
            </w:r>
          </w:p>
        </w:tc>
        <w:tc>
          <w:tcPr>
            <w:tcW w:w="1210" w:type="dxa"/>
            <w:tcBorders>
              <w:top w:val="nil"/>
              <w:left w:val="nil"/>
              <w:bottom w:val="single" w:color="000000" w:sz="8" w:space="0"/>
              <w:right w:val="nil"/>
            </w:tcBorders>
            <w:shd w:val="clear" w:color="auto" w:fill="FFFFFF"/>
            <w:vAlign w:val="center"/>
          </w:tcPr>
          <w:p w14:paraId="183AADE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1210" w:type="dxa"/>
            <w:tcBorders>
              <w:top w:val="nil"/>
              <w:left w:val="nil"/>
              <w:bottom w:val="single" w:color="000000" w:sz="8" w:space="0"/>
              <w:right w:val="nil"/>
            </w:tcBorders>
            <w:shd w:val="clear" w:color="auto" w:fill="FFFFFF"/>
            <w:vAlign w:val="center"/>
          </w:tcPr>
          <w:p w14:paraId="736E9DE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single" w:color="000000" w:sz="8" w:space="0"/>
              <w:right w:val="nil"/>
            </w:tcBorders>
            <w:shd w:val="clear" w:color="auto" w:fill="FFFFFF"/>
            <w:vAlign w:val="center"/>
          </w:tcPr>
          <w:p w14:paraId="72D4939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w:t>
            </w:r>
          </w:p>
        </w:tc>
        <w:tc>
          <w:tcPr>
            <w:tcW w:w="1135" w:type="dxa"/>
            <w:tcBorders>
              <w:top w:val="nil"/>
              <w:left w:val="nil"/>
              <w:bottom w:val="single" w:color="000000" w:sz="8" w:space="0"/>
              <w:right w:val="nil"/>
            </w:tcBorders>
            <w:shd w:val="clear" w:color="auto" w:fill="FFFFFF"/>
            <w:vAlign w:val="center"/>
          </w:tcPr>
          <w:p w14:paraId="6A16038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983" w:type="dxa"/>
            <w:tcBorders>
              <w:top w:val="nil"/>
              <w:left w:val="nil"/>
              <w:bottom w:val="single" w:color="000000" w:sz="8" w:space="0"/>
              <w:right w:val="nil"/>
            </w:tcBorders>
            <w:shd w:val="clear" w:color="auto" w:fill="FFFFFF"/>
            <w:vAlign w:val="center"/>
          </w:tcPr>
          <w:p w14:paraId="6A63FCD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983" w:type="dxa"/>
            <w:tcBorders>
              <w:top w:val="nil"/>
              <w:left w:val="nil"/>
              <w:bottom w:val="single" w:color="000000" w:sz="8" w:space="0"/>
              <w:right w:val="nil"/>
            </w:tcBorders>
            <w:shd w:val="clear" w:color="auto" w:fill="FFFFFF"/>
            <w:vAlign w:val="center"/>
          </w:tcPr>
          <w:p w14:paraId="78BEE02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w:t>
            </w:r>
          </w:p>
        </w:tc>
        <w:tc>
          <w:tcPr>
            <w:tcW w:w="2503" w:type="dxa"/>
            <w:tcBorders>
              <w:top w:val="nil"/>
              <w:left w:val="nil"/>
              <w:bottom w:val="single" w:color="000000" w:sz="8" w:space="0"/>
              <w:right w:val="nil"/>
            </w:tcBorders>
            <w:shd w:val="clear" w:color="auto" w:fill="FFFFFF"/>
            <w:vAlign w:val="center"/>
          </w:tcPr>
          <w:p w14:paraId="1E66B12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0.00 (0.00–46.50)</w:t>
            </w:r>
          </w:p>
        </w:tc>
      </w:tr>
    </w:tbl>
    <w:p w14:paraId="0946A7C4">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Missing-start, multiple-start and missing-event categories may overlap and should not be added to derive usable n. Negative intervals require otherwise linkable dates. Usable n requires one complete valid start, one complete report-level event date and a nonnegative interval. The interval is not necessarily onset of the endpoint PT. Very small groups are not summarized as distributions; the single momelotinib neuropathy interval was zero days. IQR uses R type-7 quantiles.</w:t>
      </w:r>
    </w:p>
    <w:p w14:paraId="6543A68F">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S9. Characteristics of reports containing a primary endpoint</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1967"/>
        <w:gridCol w:w="3632"/>
        <w:gridCol w:w="1362"/>
        <w:gridCol w:w="1362"/>
        <w:gridCol w:w="1135"/>
        <w:gridCol w:w="1589"/>
        <w:gridCol w:w="1589"/>
        <w:gridCol w:w="1438"/>
        <w:gridCol w:w="1063"/>
      </w:tblGrid>
      <w:tr w14:paraId="7FDCE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1967" w:type="dxa"/>
            <w:tcBorders>
              <w:top w:val="single" w:color="000000" w:sz="8" w:space="0"/>
              <w:left w:val="nil"/>
              <w:bottom w:val="single" w:color="000000" w:sz="6" w:space="0"/>
              <w:right w:val="nil"/>
            </w:tcBorders>
            <w:shd w:val="clear" w:color="auto" w:fill="FFFFFF"/>
            <w:vAlign w:val="center"/>
          </w:tcPr>
          <w:p w14:paraId="525249B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Drug</w:t>
            </w:r>
          </w:p>
        </w:tc>
        <w:tc>
          <w:tcPr>
            <w:tcW w:w="3632" w:type="dxa"/>
            <w:tcBorders>
              <w:top w:val="single" w:color="000000" w:sz="8" w:space="0"/>
              <w:left w:val="nil"/>
              <w:bottom w:val="single" w:color="000000" w:sz="6" w:space="0"/>
              <w:right w:val="nil"/>
            </w:tcBorders>
            <w:shd w:val="clear" w:color="auto" w:fill="FFFFFF"/>
            <w:vAlign w:val="center"/>
          </w:tcPr>
          <w:p w14:paraId="52E6893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Endpoint</w:t>
            </w:r>
          </w:p>
        </w:tc>
        <w:tc>
          <w:tcPr>
            <w:tcW w:w="1362" w:type="dxa"/>
            <w:tcBorders>
              <w:top w:val="single" w:color="000000" w:sz="8" w:space="0"/>
              <w:left w:val="nil"/>
              <w:bottom w:val="single" w:color="000000" w:sz="6" w:space="0"/>
              <w:right w:val="nil"/>
            </w:tcBorders>
            <w:shd w:val="clear" w:color="auto" w:fill="FFFFFF"/>
            <w:vAlign w:val="center"/>
          </w:tcPr>
          <w:p w14:paraId="5E0F77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Reports</w:t>
            </w:r>
          </w:p>
        </w:tc>
        <w:tc>
          <w:tcPr>
            <w:tcW w:w="1362" w:type="dxa"/>
            <w:tcBorders>
              <w:top w:val="single" w:color="000000" w:sz="8" w:space="0"/>
              <w:left w:val="nil"/>
              <w:bottom w:val="single" w:color="000000" w:sz="6" w:space="0"/>
              <w:right w:val="nil"/>
            </w:tcBorders>
            <w:shd w:val="clear" w:color="auto" w:fill="FFFFFF"/>
            <w:vAlign w:val="center"/>
          </w:tcPr>
          <w:p w14:paraId="73C3C80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Serious</w:t>
            </w:r>
          </w:p>
        </w:tc>
        <w:tc>
          <w:tcPr>
            <w:tcW w:w="1135" w:type="dxa"/>
            <w:tcBorders>
              <w:top w:val="single" w:color="000000" w:sz="8" w:space="0"/>
              <w:left w:val="nil"/>
              <w:bottom w:val="single" w:color="000000" w:sz="6" w:space="0"/>
              <w:right w:val="nil"/>
            </w:tcBorders>
            <w:shd w:val="clear" w:color="auto" w:fill="FFFFFF"/>
            <w:vAlign w:val="center"/>
          </w:tcPr>
          <w:p w14:paraId="034AA22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Death</w:t>
            </w:r>
          </w:p>
        </w:tc>
        <w:tc>
          <w:tcPr>
            <w:tcW w:w="1589" w:type="dxa"/>
            <w:tcBorders>
              <w:top w:val="single" w:color="000000" w:sz="8" w:space="0"/>
              <w:left w:val="nil"/>
              <w:bottom w:val="single" w:color="000000" w:sz="6" w:space="0"/>
              <w:right w:val="nil"/>
            </w:tcBorders>
            <w:shd w:val="clear" w:color="auto" w:fill="FFFFFF"/>
            <w:vAlign w:val="center"/>
          </w:tcPr>
          <w:p w14:paraId="3151AD8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Hospitalization</w:t>
            </w:r>
          </w:p>
        </w:tc>
        <w:tc>
          <w:tcPr>
            <w:tcW w:w="1589" w:type="dxa"/>
            <w:tcBorders>
              <w:top w:val="single" w:color="000000" w:sz="8" w:space="0"/>
              <w:left w:val="nil"/>
              <w:bottom w:val="single" w:color="000000" w:sz="6" w:space="0"/>
              <w:right w:val="nil"/>
            </w:tcBorders>
            <w:shd w:val="clear" w:color="auto" w:fill="FFFFFF"/>
            <w:vAlign w:val="center"/>
          </w:tcPr>
          <w:p w14:paraId="3AE0BB5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Life threatening</w:t>
            </w:r>
          </w:p>
        </w:tc>
        <w:tc>
          <w:tcPr>
            <w:tcW w:w="1438" w:type="dxa"/>
            <w:tcBorders>
              <w:top w:val="single" w:color="000000" w:sz="8" w:space="0"/>
              <w:left w:val="nil"/>
              <w:bottom w:val="single" w:color="000000" w:sz="6" w:space="0"/>
              <w:right w:val="nil"/>
            </w:tcBorders>
            <w:shd w:val="clear" w:color="auto" w:fill="FFFFFF"/>
            <w:vAlign w:val="center"/>
          </w:tcPr>
          <w:p w14:paraId="2A85E86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Age available</w:t>
            </w:r>
          </w:p>
        </w:tc>
        <w:tc>
          <w:tcPr>
            <w:tcW w:w="1063" w:type="dxa"/>
            <w:tcBorders>
              <w:top w:val="single" w:color="000000" w:sz="8" w:space="0"/>
              <w:left w:val="nil"/>
              <w:bottom w:val="single" w:color="000000" w:sz="6" w:space="0"/>
              <w:right w:val="nil"/>
            </w:tcBorders>
            <w:shd w:val="clear" w:color="auto" w:fill="FFFFFF"/>
            <w:vAlign w:val="center"/>
          </w:tcPr>
          <w:p w14:paraId="5CDA411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HCP</w:t>
            </w:r>
          </w:p>
        </w:tc>
      </w:tr>
      <w:tr w14:paraId="47C2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07C4E8A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3632" w:type="dxa"/>
            <w:tcBorders>
              <w:top w:val="nil"/>
              <w:left w:val="nil"/>
              <w:bottom w:val="nil"/>
              <w:right w:val="nil"/>
            </w:tcBorders>
            <w:shd w:val="clear" w:color="auto" w:fill="FFFFFF"/>
            <w:vAlign w:val="center"/>
          </w:tcPr>
          <w:p w14:paraId="525246F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1362" w:type="dxa"/>
            <w:tcBorders>
              <w:top w:val="nil"/>
              <w:left w:val="nil"/>
              <w:bottom w:val="nil"/>
              <w:right w:val="nil"/>
            </w:tcBorders>
            <w:shd w:val="clear" w:color="auto" w:fill="FFFFFF"/>
            <w:vAlign w:val="center"/>
          </w:tcPr>
          <w:p w14:paraId="512CE02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67</w:t>
            </w:r>
          </w:p>
        </w:tc>
        <w:tc>
          <w:tcPr>
            <w:tcW w:w="1362" w:type="dxa"/>
            <w:tcBorders>
              <w:top w:val="nil"/>
              <w:left w:val="nil"/>
              <w:bottom w:val="nil"/>
              <w:right w:val="nil"/>
            </w:tcBorders>
            <w:shd w:val="clear" w:color="auto" w:fill="FFFFFF"/>
            <w:vAlign w:val="center"/>
          </w:tcPr>
          <w:p w14:paraId="46EB4FD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66</w:t>
            </w:r>
          </w:p>
        </w:tc>
        <w:tc>
          <w:tcPr>
            <w:tcW w:w="1135" w:type="dxa"/>
            <w:tcBorders>
              <w:top w:val="nil"/>
              <w:left w:val="nil"/>
              <w:bottom w:val="nil"/>
              <w:right w:val="nil"/>
            </w:tcBorders>
            <w:shd w:val="clear" w:color="auto" w:fill="FFFFFF"/>
            <w:vAlign w:val="center"/>
          </w:tcPr>
          <w:p w14:paraId="1F47D43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w:t>
            </w:r>
          </w:p>
        </w:tc>
        <w:tc>
          <w:tcPr>
            <w:tcW w:w="1589" w:type="dxa"/>
            <w:tcBorders>
              <w:top w:val="nil"/>
              <w:left w:val="nil"/>
              <w:bottom w:val="nil"/>
              <w:right w:val="nil"/>
            </w:tcBorders>
            <w:shd w:val="clear" w:color="auto" w:fill="FFFFFF"/>
            <w:vAlign w:val="center"/>
          </w:tcPr>
          <w:p w14:paraId="630477F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24</w:t>
            </w:r>
          </w:p>
        </w:tc>
        <w:tc>
          <w:tcPr>
            <w:tcW w:w="1589" w:type="dxa"/>
            <w:tcBorders>
              <w:top w:val="nil"/>
              <w:left w:val="nil"/>
              <w:bottom w:val="nil"/>
              <w:right w:val="nil"/>
            </w:tcBorders>
            <w:shd w:val="clear" w:color="auto" w:fill="FFFFFF"/>
            <w:vAlign w:val="center"/>
          </w:tcPr>
          <w:p w14:paraId="06FA9E4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438" w:type="dxa"/>
            <w:tcBorders>
              <w:top w:val="nil"/>
              <w:left w:val="nil"/>
              <w:bottom w:val="nil"/>
              <w:right w:val="nil"/>
            </w:tcBorders>
            <w:shd w:val="clear" w:color="auto" w:fill="FFFFFF"/>
            <w:vAlign w:val="center"/>
          </w:tcPr>
          <w:p w14:paraId="202B58E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15</w:t>
            </w:r>
          </w:p>
        </w:tc>
        <w:tc>
          <w:tcPr>
            <w:tcW w:w="1063" w:type="dxa"/>
            <w:tcBorders>
              <w:top w:val="nil"/>
              <w:left w:val="nil"/>
              <w:bottom w:val="nil"/>
              <w:right w:val="nil"/>
            </w:tcBorders>
            <w:shd w:val="clear" w:color="auto" w:fill="FFFFFF"/>
            <w:vAlign w:val="center"/>
          </w:tcPr>
          <w:p w14:paraId="78398C8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63</w:t>
            </w:r>
          </w:p>
        </w:tc>
      </w:tr>
      <w:tr w14:paraId="4484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1DF3FDCE">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3632" w:type="dxa"/>
            <w:tcBorders>
              <w:top w:val="nil"/>
              <w:left w:val="nil"/>
              <w:bottom w:val="nil"/>
              <w:right w:val="nil"/>
            </w:tcBorders>
            <w:shd w:val="clear" w:color="auto" w:fill="FFFFFF"/>
            <w:vAlign w:val="center"/>
          </w:tcPr>
          <w:p w14:paraId="4D01747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1362" w:type="dxa"/>
            <w:tcBorders>
              <w:top w:val="nil"/>
              <w:left w:val="nil"/>
              <w:bottom w:val="nil"/>
              <w:right w:val="nil"/>
            </w:tcBorders>
            <w:shd w:val="clear" w:color="auto" w:fill="FFFFFF"/>
            <w:vAlign w:val="center"/>
          </w:tcPr>
          <w:p w14:paraId="58CCB76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43</w:t>
            </w:r>
          </w:p>
        </w:tc>
        <w:tc>
          <w:tcPr>
            <w:tcW w:w="1362" w:type="dxa"/>
            <w:tcBorders>
              <w:top w:val="nil"/>
              <w:left w:val="nil"/>
              <w:bottom w:val="nil"/>
              <w:right w:val="nil"/>
            </w:tcBorders>
            <w:shd w:val="clear" w:color="auto" w:fill="FFFFFF"/>
            <w:vAlign w:val="center"/>
          </w:tcPr>
          <w:p w14:paraId="31D2854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40</w:t>
            </w:r>
          </w:p>
        </w:tc>
        <w:tc>
          <w:tcPr>
            <w:tcW w:w="1135" w:type="dxa"/>
            <w:tcBorders>
              <w:top w:val="nil"/>
              <w:left w:val="nil"/>
              <w:bottom w:val="nil"/>
              <w:right w:val="nil"/>
            </w:tcBorders>
            <w:shd w:val="clear" w:color="auto" w:fill="FFFFFF"/>
            <w:vAlign w:val="center"/>
          </w:tcPr>
          <w:p w14:paraId="3780647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nil"/>
              <w:right w:val="nil"/>
            </w:tcBorders>
            <w:shd w:val="clear" w:color="auto" w:fill="FFFFFF"/>
            <w:vAlign w:val="center"/>
          </w:tcPr>
          <w:p w14:paraId="5F6291E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nil"/>
              <w:right w:val="nil"/>
            </w:tcBorders>
            <w:shd w:val="clear" w:color="auto" w:fill="FFFFFF"/>
            <w:vAlign w:val="center"/>
          </w:tcPr>
          <w:p w14:paraId="25567AB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70D0AA3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18</w:t>
            </w:r>
          </w:p>
        </w:tc>
        <w:tc>
          <w:tcPr>
            <w:tcW w:w="1063" w:type="dxa"/>
            <w:tcBorders>
              <w:top w:val="nil"/>
              <w:left w:val="nil"/>
              <w:bottom w:val="nil"/>
              <w:right w:val="nil"/>
            </w:tcBorders>
            <w:shd w:val="clear" w:color="auto" w:fill="FFFFFF"/>
            <w:vAlign w:val="center"/>
          </w:tcPr>
          <w:p w14:paraId="023F354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33</w:t>
            </w:r>
          </w:p>
        </w:tc>
      </w:tr>
      <w:tr w14:paraId="4874C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6D88152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3632" w:type="dxa"/>
            <w:tcBorders>
              <w:top w:val="nil"/>
              <w:left w:val="nil"/>
              <w:bottom w:val="nil"/>
              <w:right w:val="nil"/>
            </w:tcBorders>
            <w:shd w:val="clear" w:color="auto" w:fill="FFFFFF"/>
            <w:vAlign w:val="center"/>
          </w:tcPr>
          <w:p w14:paraId="15FF5E0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1362" w:type="dxa"/>
            <w:tcBorders>
              <w:top w:val="nil"/>
              <w:left w:val="nil"/>
              <w:bottom w:val="nil"/>
              <w:right w:val="nil"/>
            </w:tcBorders>
            <w:shd w:val="clear" w:color="auto" w:fill="FFFFFF"/>
            <w:vAlign w:val="center"/>
          </w:tcPr>
          <w:p w14:paraId="6F18C27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w:t>
            </w:r>
          </w:p>
        </w:tc>
        <w:tc>
          <w:tcPr>
            <w:tcW w:w="1362" w:type="dxa"/>
            <w:tcBorders>
              <w:top w:val="nil"/>
              <w:left w:val="nil"/>
              <w:bottom w:val="nil"/>
              <w:right w:val="nil"/>
            </w:tcBorders>
            <w:shd w:val="clear" w:color="auto" w:fill="FFFFFF"/>
            <w:vAlign w:val="center"/>
          </w:tcPr>
          <w:p w14:paraId="66F2093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41</w:t>
            </w:r>
          </w:p>
        </w:tc>
        <w:tc>
          <w:tcPr>
            <w:tcW w:w="1135" w:type="dxa"/>
            <w:tcBorders>
              <w:top w:val="nil"/>
              <w:left w:val="nil"/>
              <w:bottom w:val="nil"/>
              <w:right w:val="nil"/>
            </w:tcBorders>
            <w:shd w:val="clear" w:color="auto" w:fill="FFFFFF"/>
            <w:vAlign w:val="center"/>
          </w:tcPr>
          <w:p w14:paraId="08725A1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w:t>
            </w:r>
          </w:p>
        </w:tc>
        <w:tc>
          <w:tcPr>
            <w:tcW w:w="1589" w:type="dxa"/>
            <w:tcBorders>
              <w:top w:val="nil"/>
              <w:left w:val="nil"/>
              <w:bottom w:val="nil"/>
              <w:right w:val="nil"/>
            </w:tcBorders>
            <w:shd w:val="clear" w:color="auto" w:fill="FFFFFF"/>
            <w:vAlign w:val="center"/>
          </w:tcPr>
          <w:p w14:paraId="55375C0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w:t>
            </w:r>
          </w:p>
        </w:tc>
        <w:tc>
          <w:tcPr>
            <w:tcW w:w="1589" w:type="dxa"/>
            <w:tcBorders>
              <w:top w:val="nil"/>
              <w:left w:val="nil"/>
              <w:bottom w:val="nil"/>
              <w:right w:val="nil"/>
            </w:tcBorders>
            <w:shd w:val="clear" w:color="auto" w:fill="FFFFFF"/>
            <w:vAlign w:val="center"/>
          </w:tcPr>
          <w:p w14:paraId="0579A43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438" w:type="dxa"/>
            <w:tcBorders>
              <w:top w:val="nil"/>
              <w:left w:val="nil"/>
              <w:bottom w:val="nil"/>
              <w:right w:val="nil"/>
            </w:tcBorders>
            <w:shd w:val="clear" w:color="auto" w:fill="FFFFFF"/>
            <w:vAlign w:val="center"/>
          </w:tcPr>
          <w:p w14:paraId="79469C6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14</w:t>
            </w:r>
          </w:p>
        </w:tc>
        <w:tc>
          <w:tcPr>
            <w:tcW w:w="1063" w:type="dxa"/>
            <w:tcBorders>
              <w:top w:val="nil"/>
              <w:left w:val="nil"/>
              <w:bottom w:val="nil"/>
              <w:right w:val="nil"/>
            </w:tcBorders>
            <w:shd w:val="clear" w:color="auto" w:fill="FFFFFF"/>
            <w:vAlign w:val="center"/>
          </w:tcPr>
          <w:p w14:paraId="7373812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w:t>
            </w:r>
          </w:p>
        </w:tc>
      </w:tr>
      <w:tr w14:paraId="309B9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2881746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3632" w:type="dxa"/>
            <w:tcBorders>
              <w:top w:val="nil"/>
              <w:left w:val="nil"/>
              <w:bottom w:val="nil"/>
              <w:right w:val="nil"/>
            </w:tcBorders>
            <w:shd w:val="clear" w:color="auto" w:fill="FFFFFF"/>
            <w:vAlign w:val="center"/>
          </w:tcPr>
          <w:p w14:paraId="44C28B2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1362" w:type="dxa"/>
            <w:tcBorders>
              <w:top w:val="nil"/>
              <w:left w:val="nil"/>
              <w:bottom w:val="nil"/>
              <w:right w:val="nil"/>
            </w:tcBorders>
            <w:shd w:val="clear" w:color="auto" w:fill="FFFFFF"/>
            <w:vAlign w:val="center"/>
          </w:tcPr>
          <w:p w14:paraId="75A554D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w:t>
            </w:r>
          </w:p>
        </w:tc>
        <w:tc>
          <w:tcPr>
            <w:tcW w:w="1362" w:type="dxa"/>
            <w:tcBorders>
              <w:top w:val="nil"/>
              <w:left w:val="nil"/>
              <w:bottom w:val="nil"/>
              <w:right w:val="nil"/>
            </w:tcBorders>
            <w:shd w:val="clear" w:color="auto" w:fill="FFFFFF"/>
            <w:vAlign w:val="center"/>
          </w:tcPr>
          <w:p w14:paraId="03F3A8B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w:t>
            </w:r>
          </w:p>
        </w:tc>
        <w:tc>
          <w:tcPr>
            <w:tcW w:w="1135" w:type="dxa"/>
            <w:tcBorders>
              <w:top w:val="nil"/>
              <w:left w:val="nil"/>
              <w:bottom w:val="nil"/>
              <w:right w:val="nil"/>
            </w:tcBorders>
            <w:shd w:val="clear" w:color="auto" w:fill="FFFFFF"/>
            <w:vAlign w:val="center"/>
          </w:tcPr>
          <w:p w14:paraId="733C23D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nil"/>
              <w:right w:val="nil"/>
            </w:tcBorders>
            <w:shd w:val="clear" w:color="auto" w:fill="FFFFFF"/>
            <w:vAlign w:val="center"/>
          </w:tcPr>
          <w:p w14:paraId="1D9C17D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589" w:type="dxa"/>
            <w:tcBorders>
              <w:top w:val="nil"/>
              <w:left w:val="nil"/>
              <w:bottom w:val="nil"/>
              <w:right w:val="nil"/>
            </w:tcBorders>
            <w:shd w:val="clear" w:color="auto" w:fill="FFFFFF"/>
            <w:vAlign w:val="center"/>
          </w:tcPr>
          <w:p w14:paraId="76E9E9D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438" w:type="dxa"/>
            <w:tcBorders>
              <w:top w:val="nil"/>
              <w:left w:val="nil"/>
              <w:bottom w:val="nil"/>
              <w:right w:val="nil"/>
            </w:tcBorders>
            <w:shd w:val="clear" w:color="auto" w:fill="FFFFFF"/>
            <w:vAlign w:val="center"/>
          </w:tcPr>
          <w:p w14:paraId="32A3D7A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w:t>
            </w:r>
          </w:p>
        </w:tc>
        <w:tc>
          <w:tcPr>
            <w:tcW w:w="1063" w:type="dxa"/>
            <w:tcBorders>
              <w:top w:val="nil"/>
              <w:left w:val="nil"/>
              <w:bottom w:val="nil"/>
              <w:right w:val="nil"/>
            </w:tcBorders>
            <w:shd w:val="clear" w:color="auto" w:fill="FFFFFF"/>
            <w:vAlign w:val="center"/>
          </w:tcPr>
          <w:p w14:paraId="7BBEC1F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w:t>
            </w:r>
          </w:p>
        </w:tc>
      </w:tr>
      <w:tr w14:paraId="0E91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46686AE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3632" w:type="dxa"/>
            <w:tcBorders>
              <w:top w:val="nil"/>
              <w:left w:val="nil"/>
              <w:bottom w:val="nil"/>
              <w:right w:val="nil"/>
            </w:tcBorders>
            <w:shd w:val="clear" w:color="auto" w:fill="FFFFFF"/>
            <w:vAlign w:val="center"/>
          </w:tcPr>
          <w:p w14:paraId="6F97B05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1362" w:type="dxa"/>
            <w:tcBorders>
              <w:top w:val="nil"/>
              <w:left w:val="nil"/>
              <w:bottom w:val="nil"/>
              <w:right w:val="nil"/>
            </w:tcBorders>
            <w:shd w:val="clear" w:color="auto" w:fill="FFFFFF"/>
            <w:vAlign w:val="center"/>
          </w:tcPr>
          <w:p w14:paraId="27FBC44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1362" w:type="dxa"/>
            <w:tcBorders>
              <w:top w:val="nil"/>
              <w:left w:val="nil"/>
              <w:bottom w:val="nil"/>
              <w:right w:val="nil"/>
            </w:tcBorders>
            <w:shd w:val="clear" w:color="auto" w:fill="FFFFFF"/>
            <w:vAlign w:val="center"/>
          </w:tcPr>
          <w:p w14:paraId="1F6CC5E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1135" w:type="dxa"/>
            <w:tcBorders>
              <w:top w:val="nil"/>
              <w:left w:val="nil"/>
              <w:bottom w:val="nil"/>
              <w:right w:val="nil"/>
            </w:tcBorders>
            <w:shd w:val="clear" w:color="auto" w:fill="FFFFFF"/>
            <w:vAlign w:val="center"/>
          </w:tcPr>
          <w:p w14:paraId="1BDB2F5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1589" w:type="dxa"/>
            <w:tcBorders>
              <w:top w:val="nil"/>
              <w:left w:val="nil"/>
              <w:bottom w:val="nil"/>
              <w:right w:val="nil"/>
            </w:tcBorders>
            <w:shd w:val="clear" w:color="auto" w:fill="FFFFFF"/>
            <w:vAlign w:val="center"/>
          </w:tcPr>
          <w:p w14:paraId="6B5B323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w:t>
            </w:r>
          </w:p>
        </w:tc>
        <w:tc>
          <w:tcPr>
            <w:tcW w:w="1589" w:type="dxa"/>
            <w:tcBorders>
              <w:top w:val="nil"/>
              <w:left w:val="nil"/>
              <w:bottom w:val="nil"/>
              <w:right w:val="nil"/>
            </w:tcBorders>
            <w:shd w:val="clear" w:color="auto" w:fill="FFFFFF"/>
            <w:vAlign w:val="center"/>
          </w:tcPr>
          <w:p w14:paraId="530DEB2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5392436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w:t>
            </w:r>
          </w:p>
        </w:tc>
        <w:tc>
          <w:tcPr>
            <w:tcW w:w="1063" w:type="dxa"/>
            <w:tcBorders>
              <w:top w:val="nil"/>
              <w:left w:val="nil"/>
              <w:bottom w:val="nil"/>
              <w:right w:val="nil"/>
            </w:tcBorders>
            <w:shd w:val="clear" w:color="auto" w:fill="FFFFFF"/>
            <w:vAlign w:val="center"/>
          </w:tcPr>
          <w:p w14:paraId="0CD93A4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w:t>
            </w:r>
          </w:p>
        </w:tc>
      </w:tr>
      <w:tr w14:paraId="43D9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21D5615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3632" w:type="dxa"/>
            <w:tcBorders>
              <w:top w:val="nil"/>
              <w:left w:val="nil"/>
              <w:bottom w:val="nil"/>
              <w:right w:val="nil"/>
            </w:tcBorders>
            <w:shd w:val="clear" w:color="auto" w:fill="FFFFFF"/>
            <w:vAlign w:val="center"/>
          </w:tcPr>
          <w:p w14:paraId="7106F32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1362" w:type="dxa"/>
            <w:tcBorders>
              <w:top w:val="nil"/>
              <w:left w:val="nil"/>
              <w:bottom w:val="nil"/>
              <w:right w:val="nil"/>
            </w:tcBorders>
            <w:shd w:val="clear" w:color="auto" w:fill="FFFFFF"/>
            <w:vAlign w:val="center"/>
          </w:tcPr>
          <w:p w14:paraId="53AD6F3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362" w:type="dxa"/>
            <w:tcBorders>
              <w:top w:val="nil"/>
              <w:left w:val="nil"/>
              <w:bottom w:val="nil"/>
              <w:right w:val="nil"/>
            </w:tcBorders>
            <w:shd w:val="clear" w:color="auto" w:fill="FFFFFF"/>
            <w:vAlign w:val="center"/>
          </w:tcPr>
          <w:p w14:paraId="1290135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135" w:type="dxa"/>
            <w:tcBorders>
              <w:top w:val="nil"/>
              <w:left w:val="nil"/>
              <w:bottom w:val="nil"/>
              <w:right w:val="nil"/>
            </w:tcBorders>
            <w:shd w:val="clear" w:color="auto" w:fill="FFFFFF"/>
            <w:vAlign w:val="center"/>
          </w:tcPr>
          <w:p w14:paraId="2923A0F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nil"/>
              <w:right w:val="nil"/>
            </w:tcBorders>
            <w:shd w:val="clear" w:color="auto" w:fill="FFFFFF"/>
            <w:vAlign w:val="center"/>
          </w:tcPr>
          <w:p w14:paraId="49EAE4D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nil"/>
              <w:right w:val="nil"/>
            </w:tcBorders>
            <w:shd w:val="clear" w:color="auto" w:fill="FFFFFF"/>
            <w:vAlign w:val="center"/>
          </w:tcPr>
          <w:p w14:paraId="43B9026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4CF5453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1063" w:type="dxa"/>
            <w:tcBorders>
              <w:top w:val="nil"/>
              <w:left w:val="nil"/>
              <w:bottom w:val="nil"/>
              <w:right w:val="nil"/>
            </w:tcBorders>
            <w:shd w:val="clear" w:color="auto" w:fill="FFFFFF"/>
            <w:vAlign w:val="center"/>
          </w:tcPr>
          <w:p w14:paraId="2E7A27F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r>
      <w:tr w14:paraId="7C2EC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nil"/>
              <w:right w:val="nil"/>
            </w:tcBorders>
            <w:shd w:val="clear" w:color="auto" w:fill="FFFFFF"/>
            <w:vAlign w:val="center"/>
          </w:tcPr>
          <w:p w14:paraId="0027389C">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3632" w:type="dxa"/>
            <w:tcBorders>
              <w:top w:val="nil"/>
              <w:left w:val="nil"/>
              <w:bottom w:val="nil"/>
              <w:right w:val="nil"/>
            </w:tcBorders>
            <w:shd w:val="clear" w:color="auto" w:fill="FFFFFF"/>
            <w:vAlign w:val="center"/>
          </w:tcPr>
          <w:p w14:paraId="7B7561B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Acute renal failure (narrow)</w:t>
            </w:r>
          </w:p>
        </w:tc>
        <w:tc>
          <w:tcPr>
            <w:tcW w:w="1362" w:type="dxa"/>
            <w:tcBorders>
              <w:top w:val="nil"/>
              <w:left w:val="nil"/>
              <w:bottom w:val="nil"/>
              <w:right w:val="nil"/>
            </w:tcBorders>
            <w:shd w:val="clear" w:color="auto" w:fill="FFFFFF"/>
            <w:vAlign w:val="center"/>
          </w:tcPr>
          <w:p w14:paraId="03DCFA4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w:t>
            </w:r>
          </w:p>
        </w:tc>
        <w:tc>
          <w:tcPr>
            <w:tcW w:w="1362" w:type="dxa"/>
            <w:tcBorders>
              <w:top w:val="nil"/>
              <w:left w:val="nil"/>
              <w:bottom w:val="nil"/>
              <w:right w:val="nil"/>
            </w:tcBorders>
            <w:shd w:val="clear" w:color="auto" w:fill="FFFFFF"/>
            <w:vAlign w:val="center"/>
          </w:tcPr>
          <w:p w14:paraId="21DFA3F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w:t>
            </w:r>
          </w:p>
        </w:tc>
        <w:tc>
          <w:tcPr>
            <w:tcW w:w="1135" w:type="dxa"/>
            <w:tcBorders>
              <w:top w:val="nil"/>
              <w:left w:val="nil"/>
              <w:bottom w:val="nil"/>
              <w:right w:val="nil"/>
            </w:tcBorders>
            <w:shd w:val="clear" w:color="auto" w:fill="FFFFFF"/>
            <w:vAlign w:val="center"/>
          </w:tcPr>
          <w:p w14:paraId="1CB9916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589" w:type="dxa"/>
            <w:tcBorders>
              <w:top w:val="nil"/>
              <w:left w:val="nil"/>
              <w:bottom w:val="nil"/>
              <w:right w:val="nil"/>
            </w:tcBorders>
            <w:shd w:val="clear" w:color="auto" w:fill="FFFFFF"/>
            <w:vAlign w:val="center"/>
          </w:tcPr>
          <w:p w14:paraId="73275AF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w:t>
            </w:r>
          </w:p>
        </w:tc>
        <w:tc>
          <w:tcPr>
            <w:tcW w:w="1589" w:type="dxa"/>
            <w:tcBorders>
              <w:top w:val="nil"/>
              <w:left w:val="nil"/>
              <w:bottom w:val="nil"/>
              <w:right w:val="nil"/>
            </w:tcBorders>
            <w:shd w:val="clear" w:color="auto" w:fill="FFFFFF"/>
            <w:vAlign w:val="center"/>
          </w:tcPr>
          <w:p w14:paraId="7AD3941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nil"/>
              <w:right w:val="nil"/>
            </w:tcBorders>
            <w:shd w:val="clear" w:color="auto" w:fill="FFFFFF"/>
            <w:vAlign w:val="center"/>
          </w:tcPr>
          <w:p w14:paraId="345C40C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1063" w:type="dxa"/>
            <w:tcBorders>
              <w:top w:val="nil"/>
              <w:left w:val="nil"/>
              <w:bottom w:val="nil"/>
              <w:right w:val="nil"/>
            </w:tcBorders>
            <w:shd w:val="clear" w:color="auto" w:fill="FFFFFF"/>
            <w:vAlign w:val="center"/>
          </w:tcPr>
          <w:p w14:paraId="368A994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w:t>
            </w:r>
          </w:p>
        </w:tc>
      </w:tr>
      <w:tr w14:paraId="7379A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1967" w:type="dxa"/>
            <w:tcBorders>
              <w:top w:val="nil"/>
              <w:left w:val="nil"/>
              <w:bottom w:val="single" w:color="000000" w:sz="8" w:space="0"/>
              <w:right w:val="nil"/>
            </w:tcBorders>
            <w:shd w:val="clear" w:color="auto" w:fill="FFFFFF"/>
            <w:vAlign w:val="center"/>
          </w:tcPr>
          <w:p w14:paraId="0B82D612">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3632" w:type="dxa"/>
            <w:tcBorders>
              <w:top w:val="nil"/>
              <w:left w:val="nil"/>
              <w:bottom w:val="single" w:color="000000" w:sz="8" w:space="0"/>
              <w:right w:val="nil"/>
            </w:tcBorders>
            <w:shd w:val="clear" w:color="auto" w:fill="FFFFFF"/>
            <w:vAlign w:val="center"/>
          </w:tcPr>
          <w:p w14:paraId="45C2397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Peripheral neuropathy (narrow)</w:t>
            </w:r>
          </w:p>
        </w:tc>
        <w:tc>
          <w:tcPr>
            <w:tcW w:w="1362" w:type="dxa"/>
            <w:tcBorders>
              <w:top w:val="nil"/>
              <w:left w:val="nil"/>
              <w:bottom w:val="single" w:color="000000" w:sz="8" w:space="0"/>
              <w:right w:val="nil"/>
            </w:tcBorders>
            <w:shd w:val="clear" w:color="auto" w:fill="FFFFFF"/>
            <w:vAlign w:val="center"/>
          </w:tcPr>
          <w:p w14:paraId="2AF5BEA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w:t>
            </w:r>
          </w:p>
        </w:tc>
        <w:tc>
          <w:tcPr>
            <w:tcW w:w="1362" w:type="dxa"/>
            <w:tcBorders>
              <w:top w:val="nil"/>
              <w:left w:val="nil"/>
              <w:bottom w:val="single" w:color="000000" w:sz="8" w:space="0"/>
              <w:right w:val="nil"/>
            </w:tcBorders>
            <w:shd w:val="clear" w:color="auto" w:fill="FFFFFF"/>
            <w:vAlign w:val="center"/>
          </w:tcPr>
          <w:p w14:paraId="16FE4FD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w:t>
            </w:r>
          </w:p>
        </w:tc>
        <w:tc>
          <w:tcPr>
            <w:tcW w:w="1135" w:type="dxa"/>
            <w:tcBorders>
              <w:top w:val="nil"/>
              <w:left w:val="nil"/>
              <w:bottom w:val="single" w:color="000000" w:sz="8" w:space="0"/>
              <w:right w:val="nil"/>
            </w:tcBorders>
            <w:shd w:val="clear" w:color="auto" w:fill="FFFFFF"/>
            <w:vAlign w:val="center"/>
          </w:tcPr>
          <w:p w14:paraId="40FB4DE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589" w:type="dxa"/>
            <w:tcBorders>
              <w:top w:val="nil"/>
              <w:left w:val="nil"/>
              <w:bottom w:val="single" w:color="000000" w:sz="8" w:space="0"/>
              <w:right w:val="nil"/>
            </w:tcBorders>
            <w:shd w:val="clear" w:color="auto" w:fill="FFFFFF"/>
            <w:vAlign w:val="center"/>
          </w:tcPr>
          <w:p w14:paraId="20CF34E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1589" w:type="dxa"/>
            <w:tcBorders>
              <w:top w:val="nil"/>
              <w:left w:val="nil"/>
              <w:bottom w:val="single" w:color="000000" w:sz="8" w:space="0"/>
              <w:right w:val="nil"/>
            </w:tcBorders>
            <w:shd w:val="clear" w:color="auto" w:fill="FFFFFF"/>
            <w:vAlign w:val="center"/>
          </w:tcPr>
          <w:p w14:paraId="0B7363C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1438" w:type="dxa"/>
            <w:tcBorders>
              <w:top w:val="nil"/>
              <w:left w:val="nil"/>
              <w:bottom w:val="single" w:color="000000" w:sz="8" w:space="0"/>
              <w:right w:val="nil"/>
            </w:tcBorders>
            <w:shd w:val="clear" w:color="auto" w:fill="FFFFFF"/>
            <w:vAlign w:val="center"/>
          </w:tcPr>
          <w:p w14:paraId="2EF9A9D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w:t>
            </w:r>
          </w:p>
        </w:tc>
        <w:tc>
          <w:tcPr>
            <w:tcW w:w="1063" w:type="dxa"/>
            <w:tcBorders>
              <w:top w:val="nil"/>
              <w:left w:val="nil"/>
              <w:bottom w:val="single" w:color="000000" w:sz="8" w:space="0"/>
              <w:right w:val="nil"/>
            </w:tcBorders>
            <w:shd w:val="clear" w:color="auto" w:fill="FFFFFF"/>
            <w:vAlign w:val="center"/>
          </w:tcPr>
          <w:p w14:paraId="4F98700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r>
    </w:tbl>
    <w:p w14:paraId="48B51029">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Counts are reports, not adjudicated event-specific outcomes. Seriousness categories overlap. Death and hospitalization cannot be attributed to the endpoint or study drug; absence of a code is not proof of absence of the outcome.</w:t>
      </w:r>
    </w:p>
    <w:p w14:paraId="2D8F6B9B">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S10. Overlap of the two primary endpoints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632"/>
        <w:gridCol w:w="2876"/>
        <w:gridCol w:w="3178"/>
        <w:gridCol w:w="2573"/>
        <w:gridCol w:w="2878"/>
      </w:tblGrid>
      <w:tr w14:paraId="3E2B6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632" w:type="dxa"/>
            <w:tcBorders>
              <w:top w:val="single" w:color="000000" w:sz="8" w:space="0"/>
              <w:left w:val="nil"/>
              <w:bottom w:val="single" w:color="000000" w:sz="6" w:space="0"/>
              <w:right w:val="nil"/>
            </w:tcBorders>
            <w:shd w:val="clear" w:color="auto" w:fill="FFFFFF"/>
            <w:vAlign w:val="center"/>
          </w:tcPr>
          <w:p w14:paraId="7DD8EC2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Drug</w:t>
            </w:r>
          </w:p>
        </w:tc>
        <w:tc>
          <w:tcPr>
            <w:tcW w:w="2876" w:type="dxa"/>
            <w:tcBorders>
              <w:top w:val="single" w:color="000000" w:sz="8" w:space="0"/>
              <w:left w:val="nil"/>
              <w:bottom w:val="single" w:color="000000" w:sz="6" w:space="0"/>
              <w:right w:val="nil"/>
            </w:tcBorders>
            <w:shd w:val="clear" w:color="auto" w:fill="FFFFFF"/>
            <w:vAlign w:val="center"/>
          </w:tcPr>
          <w:p w14:paraId="0FB6A0D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Renal only</w:t>
            </w:r>
          </w:p>
        </w:tc>
        <w:tc>
          <w:tcPr>
            <w:tcW w:w="3178" w:type="dxa"/>
            <w:tcBorders>
              <w:top w:val="single" w:color="000000" w:sz="8" w:space="0"/>
              <w:left w:val="nil"/>
              <w:bottom w:val="single" w:color="000000" w:sz="6" w:space="0"/>
              <w:right w:val="nil"/>
            </w:tcBorders>
            <w:shd w:val="clear" w:color="auto" w:fill="FFFFFF"/>
            <w:vAlign w:val="center"/>
          </w:tcPr>
          <w:p w14:paraId="61419EA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Neuropathy only</w:t>
            </w:r>
          </w:p>
        </w:tc>
        <w:tc>
          <w:tcPr>
            <w:tcW w:w="2573" w:type="dxa"/>
            <w:tcBorders>
              <w:top w:val="single" w:color="000000" w:sz="8" w:space="0"/>
              <w:left w:val="nil"/>
              <w:bottom w:val="single" w:color="000000" w:sz="6" w:space="0"/>
              <w:right w:val="nil"/>
            </w:tcBorders>
            <w:shd w:val="clear" w:color="auto" w:fill="FFFFFF"/>
            <w:vAlign w:val="center"/>
          </w:tcPr>
          <w:p w14:paraId="244E79D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Both</w:t>
            </w:r>
          </w:p>
        </w:tc>
        <w:tc>
          <w:tcPr>
            <w:tcW w:w="2878" w:type="dxa"/>
            <w:tcBorders>
              <w:top w:val="single" w:color="000000" w:sz="8" w:space="0"/>
              <w:left w:val="nil"/>
              <w:bottom w:val="single" w:color="000000" w:sz="6" w:space="0"/>
              <w:right w:val="nil"/>
            </w:tcBorders>
            <w:shd w:val="clear" w:color="auto" w:fill="FFFFFF"/>
            <w:vAlign w:val="center"/>
          </w:tcPr>
          <w:p w14:paraId="55138F2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Neither</w:t>
            </w:r>
          </w:p>
        </w:tc>
      </w:tr>
      <w:tr w14:paraId="6D02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632" w:type="dxa"/>
            <w:tcBorders>
              <w:top w:val="nil"/>
              <w:left w:val="nil"/>
              <w:bottom w:val="nil"/>
              <w:right w:val="nil"/>
            </w:tcBorders>
            <w:shd w:val="clear" w:color="auto" w:fill="FFFFFF"/>
            <w:vAlign w:val="center"/>
          </w:tcPr>
          <w:p w14:paraId="12E60D4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Momelotinib</w:t>
            </w:r>
          </w:p>
        </w:tc>
        <w:tc>
          <w:tcPr>
            <w:tcW w:w="2876" w:type="dxa"/>
            <w:tcBorders>
              <w:top w:val="nil"/>
              <w:left w:val="nil"/>
              <w:bottom w:val="nil"/>
              <w:right w:val="nil"/>
            </w:tcBorders>
            <w:shd w:val="clear" w:color="auto" w:fill="FFFFFF"/>
            <w:vAlign w:val="center"/>
          </w:tcPr>
          <w:p w14:paraId="3DE5E2C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66</w:t>
            </w:r>
          </w:p>
        </w:tc>
        <w:tc>
          <w:tcPr>
            <w:tcW w:w="3178" w:type="dxa"/>
            <w:tcBorders>
              <w:top w:val="nil"/>
              <w:left w:val="nil"/>
              <w:bottom w:val="nil"/>
              <w:right w:val="nil"/>
            </w:tcBorders>
            <w:shd w:val="clear" w:color="auto" w:fill="FFFFFF"/>
            <w:vAlign w:val="center"/>
          </w:tcPr>
          <w:p w14:paraId="2F2BD4E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42</w:t>
            </w:r>
          </w:p>
        </w:tc>
        <w:tc>
          <w:tcPr>
            <w:tcW w:w="2573" w:type="dxa"/>
            <w:tcBorders>
              <w:top w:val="nil"/>
              <w:left w:val="nil"/>
              <w:bottom w:val="nil"/>
              <w:right w:val="nil"/>
            </w:tcBorders>
            <w:shd w:val="clear" w:color="auto" w:fill="FFFFFF"/>
            <w:vAlign w:val="center"/>
          </w:tcPr>
          <w:p w14:paraId="1ACC8E5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w:t>
            </w:r>
          </w:p>
        </w:tc>
        <w:tc>
          <w:tcPr>
            <w:tcW w:w="2878" w:type="dxa"/>
            <w:tcBorders>
              <w:top w:val="nil"/>
              <w:left w:val="nil"/>
              <w:bottom w:val="nil"/>
              <w:right w:val="nil"/>
            </w:tcBorders>
            <w:shd w:val="clear" w:color="auto" w:fill="FFFFFF"/>
            <w:vAlign w:val="center"/>
          </w:tcPr>
          <w:p w14:paraId="73BC220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763</w:t>
            </w:r>
          </w:p>
        </w:tc>
      </w:tr>
      <w:tr w14:paraId="6584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632" w:type="dxa"/>
            <w:tcBorders>
              <w:top w:val="nil"/>
              <w:left w:val="nil"/>
              <w:bottom w:val="nil"/>
              <w:right w:val="nil"/>
            </w:tcBorders>
            <w:shd w:val="clear" w:color="auto" w:fill="FFFFFF"/>
            <w:vAlign w:val="center"/>
          </w:tcPr>
          <w:p w14:paraId="6B8AFA29">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Ruxolitinib</w:t>
            </w:r>
          </w:p>
        </w:tc>
        <w:tc>
          <w:tcPr>
            <w:tcW w:w="2876" w:type="dxa"/>
            <w:tcBorders>
              <w:top w:val="nil"/>
              <w:left w:val="nil"/>
              <w:bottom w:val="nil"/>
              <w:right w:val="nil"/>
            </w:tcBorders>
            <w:shd w:val="clear" w:color="auto" w:fill="FFFFFF"/>
            <w:vAlign w:val="center"/>
          </w:tcPr>
          <w:p w14:paraId="41C9FEE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39</w:t>
            </w:r>
          </w:p>
        </w:tc>
        <w:tc>
          <w:tcPr>
            <w:tcW w:w="3178" w:type="dxa"/>
            <w:tcBorders>
              <w:top w:val="nil"/>
              <w:left w:val="nil"/>
              <w:bottom w:val="nil"/>
              <w:right w:val="nil"/>
            </w:tcBorders>
            <w:shd w:val="clear" w:color="auto" w:fill="FFFFFF"/>
            <w:vAlign w:val="center"/>
          </w:tcPr>
          <w:p w14:paraId="35328A6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25</w:t>
            </w:r>
          </w:p>
        </w:tc>
        <w:tc>
          <w:tcPr>
            <w:tcW w:w="2573" w:type="dxa"/>
            <w:tcBorders>
              <w:top w:val="nil"/>
              <w:left w:val="nil"/>
              <w:bottom w:val="nil"/>
              <w:right w:val="nil"/>
            </w:tcBorders>
            <w:shd w:val="clear" w:color="auto" w:fill="FFFFFF"/>
            <w:vAlign w:val="center"/>
          </w:tcPr>
          <w:p w14:paraId="0EF5B63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w:t>
            </w:r>
          </w:p>
        </w:tc>
        <w:tc>
          <w:tcPr>
            <w:tcW w:w="2878" w:type="dxa"/>
            <w:tcBorders>
              <w:top w:val="nil"/>
              <w:left w:val="nil"/>
              <w:bottom w:val="nil"/>
              <w:right w:val="nil"/>
            </w:tcBorders>
            <w:shd w:val="clear" w:color="auto" w:fill="FFFFFF"/>
            <w:vAlign w:val="center"/>
          </w:tcPr>
          <w:p w14:paraId="548DB00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2682</w:t>
            </w:r>
          </w:p>
        </w:tc>
      </w:tr>
      <w:tr w14:paraId="1482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632" w:type="dxa"/>
            <w:tcBorders>
              <w:top w:val="nil"/>
              <w:left w:val="nil"/>
              <w:bottom w:val="nil"/>
              <w:right w:val="nil"/>
            </w:tcBorders>
            <w:shd w:val="clear" w:color="auto" w:fill="FFFFFF"/>
            <w:vAlign w:val="center"/>
          </w:tcPr>
          <w:p w14:paraId="19F99FA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Fedratinib</w:t>
            </w:r>
          </w:p>
        </w:tc>
        <w:tc>
          <w:tcPr>
            <w:tcW w:w="2876" w:type="dxa"/>
            <w:tcBorders>
              <w:top w:val="nil"/>
              <w:left w:val="nil"/>
              <w:bottom w:val="nil"/>
              <w:right w:val="nil"/>
            </w:tcBorders>
            <w:shd w:val="clear" w:color="auto" w:fill="FFFFFF"/>
            <w:vAlign w:val="center"/>
          </w:tcPr>
          <w:p w14:paraId="22F319D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3178" w:type="dxa"/>
            <w:tcBorders>
              <w:top w:val="nil"/>
              <w:left w:val="nil"/>
              <w:bottom w:val="nil"/>
              <w:right w:val="nil"/>
            </w:tcBorders>
            <w:shd w:val="clear" w:color="auto" w:fill="FFFFFF"/>
            <w:vAlign w:val="center"/>
          </w:tcPr>
          <w:p w14:paraId="3C61EF1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4</w:t>
            </w:r>
          </w:p>
        </w:tc>
        <w:tc>
          <w:tcPr>
            <w:tcW w:w="2573" w:type="dxa"/>
            <w:tcBorders>
              <w:top w:val="nil"/>
              <w:left w:val="nil"/>
              <w:bottom w:val="nil"/>
              <w:right w:val="nil"/>
            </w:tcBorders>
            <w:shd w:val="clear" w:color="auto" w:fill="FFFFFF"/>
            <w:vAlign w:val="center"/>
          </w:tcPr>
          <w:p w14:paraId="0BC2217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878" w:type="dxa"/>
            <w:tcBorders>
              <w:top w:val="nil"/>
              <w:left w:val="nil"/>
              <w:bottom w:val="nil"/>
              <w:right w:val="nil"/>
            </w:tcBorders>
            <w:shd w:val="clear" w:color="auto" w:fill="FFFFFF"/>
            <w:vAlign w:val="center"/>
          </w:tcPr>
          <w:p w14:paraId="6C0BDD6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116</w:t>
            </w:r>
          </w:p>
        </w:tc>
      </w:tr>
      <w:tr w14:paraId="2DF2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632" w:type="dxa"/>
            <w:tcBorders>
              <w:top w:val="nil"/>
              <w:left w:val="nil"/>
              <w:bottom w:val="single" w:color="000000" w:sz="8" w:space="0"/>
              <w:right w:val="nil"/>
            </w:tcBorders>
            <w:shd w:val="clear" w:color="auto" w:fill="FFFFFF"/>
            <w:vAlign w:val="center"/>
          </w:tcPr>
          <w:p w14:paraId="66ECA2C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Pacritinib</w:t>
            </w:r>
          </w:p>
        </w:tc>
        <w:tc>
          <w:tcPr>
            <w:tcW w:w="2876" w:type="dxa"/>
            <w:tcBorders>
              <w:top w:val="nil"/>
              <w:left w:val="nil"/>
              <w:bottom w:val="single" w:color="000000" w:sz="8" w:space="0"/>
              <w:right w:val="nil"/>
            </w:tcBorders>
            <w:shd w:val="clear" w:color="auto" w:fill="FFFFFF"/>
            <w:vAlign w:val="center"/>
          </w:tcPr>
          <w:p w14:paraId="143EB30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w:t>
            </w:r>
          </w:p>
        </w:tc>
        <w:tc>
          <w:tcPr>
            <w:tcW w:w="3178" w:type="dxa"/>
            <w:tcBorders>
              <w:top w:val="nil"/>
              <w:left w:val="nil"/>
              <w:bottom w:val="single" w:color="000000" w:sz="8" w:space="0"/>
              <w:right w:val="nil"/>
            </w:tcBorders>
            <w:shd w:val="clear" w:color="auto" w:fill="FFFFFF"/>
            <w:vAlign w:val="center"/>
          </w:tcPr>
          <w:p w14:paraId="2DA76C8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w:t>
            </w:r>
          </w:p>
        </w:tc>
        <w:tc>
          <w:tcPr>
            <w:tcW w:w="2573" w:type="dxa"/>
            <w:tcBorders>
              <w:top w:val="nil"/>
              <w:left w:val="nil"/>
              <w:bottom w:val="single" w:color="000000" w:sz="8" w:space="0"/>
              <w:right w:val="nil"/>
            </w:tcBorders>
            <w:shd w:val="clear" w:color="auto" w:fill="FFFFFF"/>
            <w:vAlign w:val="center"/>
          </w:tcPr>
          <w:p w14:paraId="6CF450C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0</w:t>
            </w:r>
          </w:p>
        </w:tc>
        <w:tc>
          <w:tcPr>
            <w:tcW w:w="2878" w:type="dxa"/>
            <w:tcBorders>
              <w:top w:val="nil"/>
              <w:left w:val="nil"/>
              <w:bottom w:val="single" w:color="000000" w:sz="8" w:space="0"/>
              <w:right w:val="nil"/>
            </w:tcBorders>
            <w:shd w:val="clear" w:color="auto" w:fill="FFFFFF"/>
            <w:vAlign w:val="center"/>
          </w:tcPr>
          <w:p w14:paraId="6B9795E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962</w:t>
            </w:r>
          </w:p>
        </w:tc>
      </w:tr>
    </w:tbl>
    <w:p w14:paraId="267FCD0A">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Counts partition each drug-specific primary cohort. Co-reporting neither proves a shared mechanism nor establishes temporal concurrence. The endpoints were never combined for the primary analysis.</w:t>
      </w:r>
    </w:p>
    <w:p w14:paraId="208CB567">
      <w:pPr>
        <w:keepNext/>
        <w:keepLines w:val="0"/>
        <w:pageBreakBefore w:val="0"/>
        <w:widowControl/>
        <w:suppressLineNumbers/>
        <w:spacing w:before="140" w:after="100" w:line="276" w:lineRule="auto"/>
        <w:ind w:left="0" w:right="0" w:firstLine="0"/>
        <w:jc w:val="left"/>
      </w:pPr>
      <w:r>
        <w:rPr>
          <w:rFonts w:ascii="Times New Roman" w:hAnsi="Times New Roman" w:eastAsia="Times New Roman" w:cs="Times New Roman"/>
          <w:b/>
          <w:i w:val="0"/>
          <w:color w:val="000000"/>
          <w:sz w:val="22"/>
        </w:rPr>
        <w:t>Supplementary Table S11. Initial FDA receipt quarter of eligible reports</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027"/>
        <w:gridCol w:w="3027"/>
        <w:gridCol w:w="3027"/>
        <w:gridCol w:w="3027"/>
        <w:gridCol w:w="3029"/>
      </w:tblGrid>
      <w:tr w14:paraId="25E4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027" w:type="dxa"/>
            <w:tcBorders>
              <w:top w:val="single" w:color="000000" w:sz="8" w:space="0"/>
              <w:left w:val="nil"/>
              <w:bottom w:val="single" w:color="000000" w:sz="6" w:space="0"/>
              <w:right w:val="nil"/>
            </w:tcBorders>
            <w:shd w:val="clear" w:color="auto" w:fill="FFFFFF"/>
            <w:vAlign w:val="center"/>
          </w:tcPr>
          <w:p w14:paraId="51FFB3C2">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Quarter</w:t>
            </w:r>
          </w:p>
        </w:tc>
        <w:tc>
          <w:tcPr>
            <w:tcW w:w="3027" w:type="dxa"/>
            <w:tcBorders>
              <w:top w:val="single" w:color="000000" w:sz="8" w:space="0"/>
              <w:left w:val="nil"/>
              <w:bottom w:val="single" w:color="000000" w:sz="6" w:space="0"/>
              <w:right w:val="nil"/>
            </w:tcBorders>
            <w:shd w:val="clear" w:color="auto" w:fill="FFFFFF"/>
            <w:vAlign w:val="center"/>
          </w:tcPr>
          <w:p w14:paraId="3FEC3DE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Momelotinib</w:t>
            </w:r>
          </w:p>
        </w:tc>
        <w:tc>
          <w:tcPr>
            <w:tcW w:w="3027" w:type="dxa"/>
            <w:tcBorders>
              <w:top w:val="single" w:color="000000" w:sz="8" w:space="0"/>
              <w:left w:val="nil"/>
              <w:bottom w:val="single" w:color="000000" w:sz="6" w:space="0"/>
              <w:right w:val="nil"/>
            </w:tcBorders>
            <w:shd w:val="clear" w:color="auto" w:fill="FFFFFF"/>
            <w:vAlign w:val="center"/>
          </w:tcPr>
          <w:p w14:paraId="77F527D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Ruxolitinib</w:t>
            </w:r>
          </w:p>
        </w:tc>
        <w:tc>
          <w:tcPr>
            <w:tcW w:w="3027" w:type="dxa"/>
            <w:tcBorders>
              <w:top w:val="single" w:color="000000" w:sz="8" w:space="0"/>
              <w:left w:val="nil"/>
              <w:bottom w:val="single" w:color="000000" w:sz="6" w:space="0"/>
              <w:right w:val="nil"/>
            </w:tcBorders>
            <w:shd w:val="clear" w:color="auto" w:fill="FFFFFF"/>
            <w:vAlign w:val="center"/>
          </w:tcPr>
          <w:p w14:paraId="0ED59753">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Fedratinib</w:t>
            </w:r>
          </w:p>
        </w:tc>
        <w:tc>
          <w:tcPr>
            <w:tcW w:w="3029" w:type="dxa"/>
            <w:tcBorders>
              <w:top w:val="single" w:color="000000" w:sz="8" w:space="0"/>
              <w:left w:val="nil"/>
              <w:bottom w:val="single" w:color="000000" w:sz="6" w:space="0"/>
              <w:right w:val="nil"/>
            </w:tcBorders>
            <w:shd w:val="clear" w:color="auto" w:fill="FFFFFF"/>
            <w:vAlign w:val="center"/>
          </w:tcPr>
          <w:p w14:paraId="0C1E1FD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i w:val="0"/>
                <w:color w:val="000000"/>
                <w:sz w:val="19"/>
              </w:rPr>
              <w:t>Pacritinib</w:t>
            </w:r>
          </w:p>
        </w:tc>
      </w:tr>
      <w:tr w14:paraId="596E3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27438EF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2023Q4</w:t>
            </w:r>
          </w:p>
        </w:tc>
        <w:tc>
          <w:tcPr>
            <w:tcW w:w="3027" w:type="dxa"/>
            <w:tcBorders>
              <w:top w:val="nil"/>
              <w:left w:val="nil"/>
              <w:bottom w:val="nil"/>
              <w:right w:val="nil"/>
            </w:tcBorders>
            <w:shd w:val="clear" w:color="auto" w:fill="FFFFFF"/>
            <w:vAlign w:val="center"/>
          </w:tcPr>
          <w:p w14:paraId="14E41D4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26</w:t>
            </w:r>
          </w:p>
        </w:tc>
        <w:tc>
          <w:tcPr>
            <w:tcW w:w="3027" w:type="dxa"/>
            <w:tcBorders>
              <w:top w:val="nil"/>
              <w:left w:val="nil"/>
              <w:bottom w:val="nil"/>
              <w:right w:val="nil"/>
            </w:tcBorders>
            <w:shd w:val="clear" w:color="auto" w:fill="FFFFFF"/>
            <w:vAlign w:val="center"/>
          </w:tcPr>
          <w:p w14:paraId="29A84D2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283</w:t>
            </w:r>
          </w:p>
        </w:tc>
        <w:tc>
          <w:tcPr>
            <w:tcW w:w="3027" w:type="dxa"/>
            <w:tcBorders>
              <w:top w:val="nil"/>
              <w:left w:val="nil"/>
              <w:bottom w:val="nil"/>
              <w:right w:val="nil"/>
            </w:tcBorders>
            <w:shd w:val="clear" w:color="auto" w:fill="FFFFFF"/>
            <w:vAlign w:val="center"/>
          </w:tcPr>
          <w:p w14:paraId="29E4DC0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19</w:t>
            </w:r>
          </w:p>
        </w:tc>
        <w:tc>
          <w:tcPr>
            <w:tcW w:w="3029" w:type="dxa"/>
            <w:tcBorders>
              <w:top w:val="nil"/>
              <w:left w:val="nil"/>
              <w:bottom w:val="nil"/>
              <w:right w:val="nil"/>
            </w:tcBorders>
            <w:shd w:val="clear" w:color="auto" w:fill="FFFFFF"/>
            <w:vAlign w:val="center"/>
          </w:tcPr>
          <w:p w14:paraId="3AAA1BB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188</w:t>
            </w:r>
          </w:p>
        </w:tc>
      </w:tr>
      <w:tr w14:paraId="59CF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29AE5C94">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2024Q1</w:t>
            </w:r>
          </w:p>
        </w:tc>
        <w:tc>
          <w:tcPr>
            <w:tcW w:w="3027" w:type="dxa"/>
            <w:tcBorders>
              <w:top w:val="nil"/>
              <w:left w:val="nil"/>
              <w:bottom w:val="nil"/>
              <w:right w:val="nil"/>
            </w:tcBorders>
            <w:shd w:val="clear" w:color="auto" w:fill="FFFFFF"/>
            <w:vAlign w:val="center"/>
          </w:tcPr>
          <w:p w14:paraId="634E8A1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62</w:t>
            </w:r>
          </w:p>
        </w:tc>
        <w:tc>
          <w:tcPr>
            <w:tcW w:w="3027" w:type="dxa"/>
            <w:tcBorders>
              <w:top w:val="nil"/>
              <w:left w:val="nil"/>
              <w:bottom w:val="nil"/>
              <w:right w:val="nil"/>
            </w:tcBorders>
            <w:shd w:val="clear" w:color="auto" w:fill="FFFFFF"/>
            <w:vAlign w:val="center"/>
          </w:tcPr>
          <w:p w14:paraId="0EDA69A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259</w:t>
            </w:r>
          </w:p>
        </w:tc>
        <w:tc>
          <w:tcPr>
            <w:tcW w:w="3027" w:type="dxa"/>
            <w:tcBorders>
              <w:top w:val="nil"/>
              <w:left w:val="nil"/>
              <w:bottom w:val="nil"/>
              <w:right w:val="nil"/>
            </w:tcBorders>
            <w:shd w:val="clear" w:color="auto" w:fill="FFFFFF"/>
            <w:vAlign w:val="center"/>
          </w:tcPr>
          <w:p w14:paraId="32443A0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3029" w:type="dxa"/>
            <w:tcBorders>
              <w:top w:val="nil"/>
              <w:left w:val="nil"/>
              <w:bottom w:val="nil"/>
              <w:right w:val="nil"/>
            </w:tcBorders>
            <w:shd w:val="clear" w:color="auto" w:fill="FFFFFF"/>
            <w:vAlign w:val="center"/>
          </w:tcPr>
          <w:p w14:paraId="5C5B753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170</w:t>
            </w:r>
          </w:p>
        </w:tc>
      </w:tr>
      <w:tr w14:paraId="5F24B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DE55EF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2024Q2</w:t>
            </w:r>
          </w:p>
        </w:tc>
        <w:tc>
          <w:tcPr>
            <w:tcW w:w="3027" w:type="dxa"/>
            <w:tcBorders>
              <w:top w:val="nil"/>
              <w:left w:val="nil"/>
              <w:bottom w:val="nil"/>
              <w:right w:val="nil"/>
            </w:tcBorders>
            <w:shd w:val="clear" w:color="auto" w:fill="FFFFFF"/>
            <w:vAlign w:val="center"/>
          </w:tcPr>
          <w:p w14:paraId="17292F2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60</w:t>
            </w:r>
          </w:p>
        </w:tc>
        <w:tc>
          <w:tcPr>
            <w:tcW w:w="3027" w:type="dxa"/>
            <w:tcBorders>
              <w:top w:val="nil"/>
              <w:left w:val="nil"/>
              <w:bottom w:val="nil"/>
              <w:right w:val="nil"/>
            </w:tcBorders>
            <w:shd w:val="clear" w:color="auto" w:fill="FFFFFF"/>
            <w:vAlign w:val="center"/>
          </w:tcPr>
          <w:p w14:paraId="6C8D4DA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298</w:t>
            </w:r>
          </w:p>
        </w:tc>
        <w:tc>
          <w:tcPr>
            <w:tcW w:w="3027" w:type="dxa"/>
            <w:tcBorders>
              <w:top w:val="nil"/>
              <w:left w:val="nil"/>
              <w:bottom w:val="nil"/>
              <w:right w:val="nil"/>
            </w:tcBorders>
            <w:shd w:val="clear" w:color="auto" w:fill="FFFFFF"/>
            <w:vAlign w:val="center"/>
          </w:tcPr>
          <w:p w14:paraId="4FC9B99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18</w:t>
            </w:r>
          </w:p>
        </w:tc>
        <w:tc>
          <w:tcPr>
            <w:tcW w:w="3029" w:type="dxa"/>
            <w:tcBorders>
              <w:top w:val="nil"/>
              <w:left w:val="nil"/>
              <w:bottom w:val="nil"/>
              <w:right w:val="nil"/>
            </w:tcBorders>
            <w:shd w:val="clear" w:color="auto" w:fill="FFFFFF"/>
            <w:vAlign w:val="center"/>
          </w:tcPr>
          <w:p w14:paraId="30CF60E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108</w:t>
            </w:r>
          </w:p>
        </w:tc>
      </w:tr>
      <w:tr w14:paraId="0021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504378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2024Q3</w:t>
            </w:r>
          </w:p>
        </w:tc>
        <w:tc>
          <w:tcPr>
            <w:tcW w:w="3027" w:type="dxa"/>
            <w:tcBorders>
              <w:top w:val="nil"/>
              <w:left w:val="nil"/>
              <w:bottom w:val="nil"/>
              <w:right w:val="nil"/>
            </w:tcBorders>
            <w:shd w:val="clear" w:color="auto" w:fill="FFFFFF"/>
            <w:vAlign w:val="center"/>
          </w:tcPr>
          <w:p w14:paraId="75D2D86A">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36</w:t>
            </w:r>
          </w:p>
        </w:tc>
        <w:tc>
          <w:tcPr>
            <w:tcW w:w="3027" w:type="dxa"/>
            <w:tcBorders>
              <w:top w:val="nil"/>
              <w:left w:val="nil"/>
              <w:bottom w:val="nil"/>
              <w:right w:val="nil"/>
            </w:tcBorders>
            <w:shd w:val="clear" w:color="auto" w:fill="FFFFFF"/>
            <w:vAlign w:val="center"/>
          </w:tcPr>
          <w:p w14:paraId="5A9955E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271</w:t>
            </w:r>
          </w:p>
        </w:tc>
        <w:tc>
          <w:tcPr>
            <w:tcW w:w="3027" w:type="dxa"/>
            <w:tcBorders>
              <w:top w:val="nil"/>
              <w:left w:val="nil"/>
              <w:bottom w:val="nil"/>
              <w:right w:val="nil"/>
            </w:tcBorders>
            <w:shd w:val="clear" w:color="auto" w:fill="FFFFFF"/>
            <w:vAlign w:val="center"/>
          </w:tcPr>
          <w:p w14:paraId="18C7159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w:t>
            </w:r>
          </w:p>
        </w:tc>
        <w:tc>
          <w:tcPr>
            <w:tcW w:w="3029" w:type="dxa"/>
            <w:tcBorders>
              <w:top w:val="nil"/>
              <w:left w:val="nil"/>
              <w:bottom w:val="nil"/>
              <w:right w:val="nil"/>
            </w:tcBorders>
            <w:shd w:val="clear" w:color="auto" w:fill="FFFFFF"/>
            <w:vAlign w:val="center"/>
          </w:tcPr>
          <w:p w14:paraId="12647BB0">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74</w:t>
            </w:r>
          </w:p>
        </w:tc>
      </w:tr>
      <w:tr w14:paraId="1886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6507ED79">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2024Q4</w:t>
            </w:r>
          </w:p>
        </w:tc>
        <w:tc>
          <w:tcPr>
            <w:tcW w:w="3027" w:type="dxa"/>
            <w:tcBorders>
              <w:top w:val="nil"/>
              <w:left w:val="nil"/>
              <w:bottom w:val="nil"/>
              <w:right w:val="nil"/>
            </w:tcBorders>
            <w:shd w:val="clear" w:color="auto" w:fill="FFFFFF"/>
            <w:vAlign w:val="center"/>
          </w:tcPr>
          <w:p w14:paraId="54CD41F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68</w:t>
            </w:r>
          </w:p>
        </w:tc>
        <w:tc>
          <w:tcPr>
            <w:tcW w:w="3027" w:type="dxa"/>
            <w:tcBorders>
              <w:top w:val="nil"/>
              <w:left w:val="nil"/>
              <w:bottom w:val="nil"/>
              <w:right w:val="nil"/>
            </w:tcBorders>
            <w:shd w:val="clear" w:color="auto" w:fill="FFFFFF"/>
            <w:vAlign w:val="center"/>
          </w:tcPr>
          <w:p w14:paraId="19CE67E2">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263</w:t>
            </w:r>
          </w:p>
        </w:tc>
        <w:tc>
          <w:tcPr>
            <w:tcW w:w="3027" w:type="dxa"/>
            <w:tcBorders>
              <w:top w:val="nil"/>
              <w:left w:val="nil"/>
              <w:bottom w:val="nil"/>
              <w:right w:val="nil"/>
            </w:tcBorders>
            <w:shd w:val="clear" w:color="auto" w:fill="FFFFFF"/>
            <w:vAlign w:val="center"/>
          </w:tcPr>
          <w:p w14:paraId="45A7362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16</w:t>
            </w:r>
          </w:p>
        </w:tc>
        <w:tc>
          <w:tcPr>
            <w:tcW w:w="3029" w:type="dxa"/>
            <w:tcBorders>
              <w:top w:val="nil"/>
              <w:left w:val="nil"/>
              <w:bottom w:val="nil"/>
              <w:right w:val="nil"/>
            </w:tcBorders>
            <w:shd w:val="clear" w:color="auto" w:fill="FFFFFF"/>
            <w:vAlign w:val="center"/>
          </w:tcPr>
          <w:p w14:paraId="7422D60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84</w:t>
            </w:r>
          </w:p>
        </w:tc>
      </w:tr>
      <w:tr w14:paraId="5902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29C3879">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2025Q1</w:t>
            </w:r>
          </w:p>
        </w:tc>
        <w:tc>
          <w:tcPr>
            <w:tcW w:w="3027" w:type="dxa"/>
            <w:tcBorders>
              <w:top w:val="nil"/>
              <w:left w:val="nil"/>
              <w:bottom w:val="nil"/>
              <w:right w:val="nil"/>
            </w:tcBorders>
            <w:shd w:val="clear" w:color="auto" w:fill="FFFFFF"/>
            <w:vAlign w:val="center"/>
          </w:tcPr>
          <w:p w14:paraId="1C3003C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59</w:t>
            </w:r>
          </w:p>
        </w:tc>
        <w:tc>
          <w:tcPr>
            <w:tcW w:w="3027" w:type="dxa"/>
            <w:tcBorders>
              <w:top w:val="nil"/>
              <w:left w:val="nil"/>
              <w:bottom w:val="nil"/>
              <w:right w:val="nil"/>
            </w:tcBorders>
            <w:shd w:val="clear" w:color="auto" w:fill="FFFFFF"/>
            <w:vAlign w:val="center"/>
          </w:tcPr>
          <w:p w14:paraId="2A4225BF">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228</w:t>
            </w:r>
          </w:p>
        </w:tc>
        <w:tc>
          <w:tcPr>
            <w:tcW w:w="3027" w:type="dxa"/>
            <w:tcBorders>
              <w:top w:val="nil"/>
              <w:left w:val="nil"/>
              <w:bottom w:val="nil"/>
              <w:right w:val="nil"/>
            </w:tcBorders>
            <w:shd w:val="clear" w:color="auto" w:fill="FFFFFF"/>
            <w:vAlign w:val="center"/>
          </w:tcPr>
          <w:p w14:paraId="4E990D9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3029" w:type="dxa"/>
            <w:tcBorders>
              <w:top w:val="nil"/>
              <w:left w:val="nil"/>
              <w:bottom w:val="nil"/>
              <w:right w:val="nil"/>
            </w:tcBorders>
            <w:shd w:val="clear" w:color="auto" w:fill="FFFFFF"/>
            <w:vAlign w:val="center"/>
          </w:tcPr>
          <w:p w14:paraId="71F23D2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73</w:t>
            </w:r>
          </w:p>
        </w:tc>
      </w:tr>
      <w:tr w14:paraId="7D309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3F9E07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2025Q2</w:t>
            </w:r>
          </w:p>
        </w:tc>
        <w:tc>
          <w:tcPr>
            <w:tcW w:w="3027" w:type="dxa"/>
            <w:tcBorders>
              <w:top w:val="nil"/>
              <w:left w:val="nil"/>
              <w:bottom w:val="nil"/>
              <w:right w:val="nil"/>
            </w:tcBorders>
            <w:shd w:val="clear" w:color="auto" w:fill="FFFFFF"/>
            <w:vAlign w:val="center"/>
          </w:tcPr>
          <w:p w14:paraId="0F215FD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125</w:t>
            </w:r>
          </w:p>
        </w:tc>
        <w:tc>
          <w:tcPr>
            <w:tcW w:w="3027" w:type="dxa"/>
            <w:tcBorders>
              <w:top w:val="nil"/>
              <w:left w:val="nil"/>
              <w:bottom w:val="nil"/>
              <w:right w:val="nil"/>
            </w:tcBorders>
            <w:shd w:val="clear" w:color="auto" w:fill="FFFFFF"/>
            <w:vAlign w:val="center"/>
          </w:tcPr>
          <w:p w14:paraId="56EE9415">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239</w:t>
            </w:r>
          </w:p>
        </w:tc>
        <w:tc>
          <w:tcPr>
            <w:tcW w:w="3027" w:type="dxa"/>
            <w:tcBorders>
              <w:top w:val="nil"/>
              <w:left w:val="nil"/>
              <w:bottom w:val="nil"/>
              <w:right w:val="nil"/>
            </w:tcBorders>
            <w:shd w:val="clear" w:color="auto" w:fill="FFFFFF"/>
            <w:vAlign w:val="center"/>
          </w:tcPr>
          <w:p w14:paraId="2EAAB56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w:t>
            </w:r>
          </w:p>
        </w:tc>
        <w:tc>
          <w:tcPr>
            <w:tcW w:w="3029" w:type="dxa"/>
            <w:tcBorders>
              <w:top w:val="nil"/>
              <w:left w:val="nil"/>
              <w:bottom w:val="nil"/>
              <w:right w:val="nil"/>
            </w:tcBorders>
            <w:shd w:val="clear" w:color="auto" w:fill="FFFFFF"/>
            <w:vAlign w:val="center"/>
          </w:tcPr>
          <w:p w14:paraId="14849F3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68</w:t>
            </w:r>
          </w:p>
        </w:tc>
      </w:tr>
      <w:tr w14:paraId="3750B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32190E4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2025Q3</w:t>
            </w:r>
          </w:p>
        </w:tc>
        <w:tc>
          <w:tcPr>
            <w:tcW w:w="3027" w:type="dxa"/>
            <w:tcBorders>
              <w:top w:val="nil"/>
              <w:left w:val="nil"/>
              <w:bottom w:val="nil"/>
              <w:right w:val="nil"/>
            </w:tcBorders>
            <w:shd w:val="clear" w:color="auto" w:fill="FFFFFF"/>
            <w:vAlign w:val="center"/>
          </w:tcPr>
          <w:p w14:paraId="031E1A9E">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133</w:t>
            </w:r>
          </w:p>
        </w:tc>
        <w:tc>
          <w:tcPr>
            <w:tcW w:w="3027" w:type="dxa"/>
            <w:tcBorders>
              <w:top w:val="nil"/>
              <w:left w:val="nil"/>
              <w:bottom w:val="nil"/>
              <w:right w:val="nil"/>
            </w:tcBorders>
            <w:shd w:val="clear" w:color="auto" w:fill="FFFFFF"/>
            <w:vAlign w:val="center"/>
          </w:tcPr>
          <w:p w14:paraId="0DF97EC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242</w:t>
            </w:r>
          </w:p>
        </w:tc>
        <w:tc>
          <w:tcPr>
            <w:tcW w:w="3027" w:type="dxa"/>
            <w:tcBorders>
              <w:top w:val="nil"/>
              <w:left w:val="nil"/>
              <w:bottom w:val="nil"/>
              <w:right w:val="nil"/>
            </w:tcBorders>
            <w:shd w:val="clear" w:color="auto" w:fill="FFFFFF"/>
            <w:vAlign w:val="center"/>
          </w:tcPr>
          <w:p w14:paraId="33B6C14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11</w:t>
            </w:r>
          </w:p>
        </w:tc>
        <w:tc>
          <w:tcPr>
            <w:tcW w:w="3029" w:type="dxa"/>
            <w:tcBorders>
              <w:top w:val="nil"/>
              <w:left w:val="nil"/>
              <w:bottom w:val="nil"/>
              <w:right w:val="nil"/>
            </w:tcBorders>
            <w:shd w:val="clear" w:color="auto" w:fill="FFFFFF"/>
            <w:vAlign w:val="center"/>
          </w:tcPr>
          <w:p w14:paraId="4515F517">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50</w:t>
            </w:r>
          </w:p>
        </w:tc>
      </w:tr>
      <w:tr w14:paraId="1CBF2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8A5738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2025Q4</w:t>
            </w:r>
          </w:p>
        </w:tc>
        <w:tc>
          <w:tcPr>
            <w:tcW w:w="3027" w:type="dxa"/>
            <w:tcBorders>
              <w:top w:val="nil"/>
              <w:left w:val="nil"/>
              <w:bottom w:val="nil"/>
              <w:right w:val="nil"/>
            </w:tcBorders>
            <w:shd w:val="clear" w:color="auto" w:fill="FFFFFF"/>
            <w:vAlign w:val="center"/>
          </w:tcPr>
          <w:p w14:paraId="259BF9E9">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124</w:t>
            </w:r>
          </w:p>
        </w:tc>
        <w:tc>
          <w:tcPr>
            <w:tcW w:w="3027" w:type="dxa"/>
            <w:tcBorders>
              <w:top w:val="nil"/>
              <w:left w:val="nil"/>
              <w:bottom w:val="nil"/>
              <w:right w:val="nil"/>
            </w:tcBorders>
            <w:shd w:val="clear" w:color="auto" w:fill="FFFFFF"/>
            <w:vAlign w:val="center"/>
          </w:tcPr>
          <w:p w14:paraId="22D555E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206</w:t>
            </w:r>
          </w:p>
        </w:tc>
        <w:tc>
          <w:tcPr>
            <w:tcW w:w="3027" w:type="dxa"/>
            <w:tcBorders>
              <w:top w:val="nil"/>
              <w:left w:val="nil"/>
              <w:bottom w:val="nil"/>
              <w:right w:val="nil"/>
            </w:tcBorders>
            <w:shd w:val="clear" w:color="auto" w:fill="FFFFFF"/>
            <w:vAlign w:val="center"/>
          </w:tcPr>
          <w:p w14:paraId="40D6902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w:t>
            </w:r>
          </w:p>
        </w:tc>
        <w:tc>
          <w:tcPr>
            <w:tcW w:w="3029" w:type="dxa"/>
            <w:tcBorders>
              <w:top w:val="nil"/>
              <w:left w:val="nil"/>
              <w:bottom w:val="nil"/>
              <w:right w:val="nil"/>
            </w:tcBorders>
            <w:shd w:val="clear" w:color="auto" w:fill="FFFFFF"/>
            <w:vAlign w:val="center"/>
          </w:tcPr>
          <w:p w14:paraId="17E5727B">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75</w:t>
            </w:r>
          </w:p>
        </w:tc>
      </w:tr>
      <w:tr w14:paraId="1F3AC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D2E3A2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2026Q1</w:t>
            </w:r>
          </w:p>
        </w:tc>
        <w:tc>
          <w:tcPr>
            <w:tcW w:w="3027" w:type="dxa"/>
            <w:tcBorders>
              <w:top w:val="nil"/>
              <w:left w:val="nil"/>
              <w:bottom w:val="nil"/>
              <w:right w:val="nil"/>
            </w:tcBorders>
            <w:shd w:val="clear" w:color="auto" w:fill="FFFFFF"/>
            <w:vAlign w:val="center"/>
          </w:tcPr>
          <w:p w14:paraId="1A0B3B9D">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88</w:t>
            </w:r>
          </w:p>
        </w:tc>
        <w:tc>
          <w:tcPr>
            <w:tcW w:w="3027" w:type="dxa"/>
            <w:tcBorders>
              <w:top w:val="nil"/>
              <w:left w:val="nil"/>
              <w:bottom w:val="nil"/>
              <w:right w:val="nil"/>
            </w:tcBorders>
            <w:shd w:val="clear" w:color="auto" w:fill="FFFFFF"/>
            <w:vAlign w:val="center"/>
          </w:tcPr>
          <w:p w14:paraId="6C2A68A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256</w:t>
            </w:r>
          </w:p>
        </w:tc>
        <w:tc>
          <w:tcPr>
            <w:tcW w:w="3027" w:type="dxa"/>
            <w:tcBorders>
              <w:top w:val="nil"/>
              <w:left w:val="nil"/>
              <w:bottom w:val="nil"/>
              <w:right w:val="nil"/>
            </w:tcBorders>
            <w:shd w:val="clear" w:color="auto" w:fill="FFFFFF"/>
            <w:vAlign w:val="center"/>
          </w:tcPr>
          <w:p w14:paraId="6994DB84">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6</w:t>
            </w:r>
          </w:p>
        </w:tc>
        <w:tc>
          <w:tcPr>
            <w:tcW w:w="3029" w:type="dxa"/>
            <w:tcBorders>
              <w:top w:val="nil"/>
              <w:left w:val="nil"/>
              <w:bottom w:val="nil"/>
              <w:right w:val="nil"/>
            </w:tcBorders>
            <w:shd w:val="clear" w:color="auto" w:fill="FFFFFF"/>
            <w:vAlign w:val="center"/>
          </w:tcPr>
          <w:p w14:paraId="4FA934E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39</w:t>
            </w:r>
          </w:p>
        </w:tc>
      </w:tr>
      <w:tr w14:paraId="7F90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single" w:color="000000" w:sz="8" w:space="0"/>
              <w:right w:val="nil"/>
            </w:tcBorders>
            <w:shd w:val="clear" w:color="auto" w:fill="FFFFFF"/>
            <w:vAlign w:val="center"/>
          </w:tcPr>
          <w:p w14:paraId="63E3411B">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2026Q2</w:t>
            </w:r>
          </w:p>
        </w:tc>
        <w:tc>
          <w:tcPr>
            <w:tcW w:w="3027" w:type="dxa"/>
            <w:tcBorders>
              <w:top w:val="nil"/>
              <w:left w:val="nil"/>
              <w:bottom w:val="single" w:color="000000" w:sz="8" w:space="0"/>
              <w:right w:val="nil"/>
            </w:tcBorders>
            <w:shd w:val="clear" w:color="auto" w:fill="FFFFFF"/>
            <w:vAlign w:val="center"/>
          </w:tcPr>
          <w:p w14:paraId="09C620AC">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91</w:t>
            </w:r>
          </w:p>
        </w:tc>
        <w:tc>
          <w:tcPr>
            <w:tcW w:w="3027" w:type="dxa"/>
            <w:tcBorders>
              <w:top w:val="nil"/>
              <w:left w:val="nil"/>
              <w:bottom w:val="single" w:color="000000" w:sz="8" w:space="0"/>
              <w:right w:val="nil"/>
            </w:tcBorders>
            <w:shd w:val="clear" w:color="auto" w:fill="FFFFFF"/>
            <w:vAlign w:val="center"/>
          </w:tcPr>
          <w:p w14:paraId="7BF9AD66">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203</w:t>
            </w:r>
          </w:p>
        </w:tc>
        <w:tc>
          <w:tcPr>
            <w:tcW w:w="3027" w:type="dxa"/>
            <w:tcBorders>
              <w:top w:val="nil"/>
              <w:left w:val="nil"/>
              <w:bottom w:val="single" w:color="000000" w:sz="8" w:space="0"/>
              <w:right w:val="nil"/>
            </w:tcBorders>
            <w:shd w:val="clear" w:color="auto" w:fill="FFFFFF"/>
            <w:vAlign w:val="center"/>
          </w:tcPr>
          <w:p w14:paraId="243004C1">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8</w:t>
            </w:r>
          </w:p>
        </w:tc>
        <w:tc>
          <w:tcPr>
            <w:tcW w:w="3029" w:type="dxa"/>
            <w:tcBorders>
              <w:top w:val="nil"/>
              <w:left w:val="nil"/>
              <w:bottom w:val="single" w:color="000000" w:sz="8" w:space="0"/>
              <w:right w:val="nil"/>
            </w:tcBorders>
            <w:shd w:val="clear" w:color="auto" w:fill="FFFFFF"/>
            <w:vAlign w:val="center"/>
          </w:tcPr>
          <w:p w14:paraId="204CCEF8">
            <w:pPr>
              <w:keepNext/>
              <w:keepLines w:val="0"/>
              <w:pageBreakBefore w:val="0"/>
              <w:widowControl/>
              <w:suppressLineNumbers/>
              <w:spacing w:before="0" w:after="0" w:line="240" w:lineRule="auto"/>
              <w:ind w:left="0" w:right="0" w:firstLine="0"/>
              <w:jc w:val="center"/>
            </w:pPr>
            <w:r>
              <w:rPr>
                <w:rFonts w:ascii="Times New Roman" w:hAnsi="Times New Roman" w:eastAsia="Times New Roman" w:cs="Times New Roman"/>
                <w:b w:val="0"/>
                <w:i w:val="0"/>
                <w:color w:val="000000"/>
                <w:sz w:val="19"/>
              </w:rPr>
              <w:t>54</w:t>
            </w:r>
          </w:p>
        </w:tc>
      </w:tr>
    </w:tbl>
    <w:p w14:paraId="415AB56B">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Quarter refers to the initial receipt date, not the source quarter of the retained follow-up version. Counts are not prescribing volume or exposure time and cannot be used as denominators for clinical incidence.</w:t>
      </w:r>
    </w:p>
    <w:p w14:paraId="2B3E4F60">
      <w:pPr>
        <w:keepNext/>
        <w:keepLines w:val="0"/>
        <w:pageBreakBefore/>
        <w:widowControl/>
        <w:suppressLineNumbers/>
        <w:spacing w:before="0" w:after="100" w:line="276" w:lineRule="auto"/>
        <w:ind w:left="0" w:right="0" w:firstLine="0"/>
        <w:jc w:val="left"/>
      </w:pPr>
      <w:r>
        <w:rPr>
          <w:rFonts w:ascii="Times New Roman" w:hAnsi="Times New Roman" w:eastAsia="Times New Roman" w:cs="Times New Roman"/>
          <w:b/>
          <w:i w:val="0"/>
          <w:color w:val="000000"/>
          <w:sz w:val="22"/>
        </w:rPr>
        <w:t>Supplementary Table S12. Reproducibility inventory and analysis availability</w:t>
      </w:r>
    </w:p>
    <w:tbl>
      <w:tblPr>
        <w:tblStyle w:val="32"/>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55" w:type="dxa"/>
          <w:bottom w:w="35" w:type="dxa"/>
          <w:right w:w="55" w:type="dxa"/>
        </w:tblCellMar>
      </w:tblPr>
      <w:tblGrid>
        <w:gridCol w:w="3027"/>
        <w:gridCol w:w="6054"/>
        <w:gridCol w:w="6056"/>
      </w:tblGrid>
      <w:tr w14:paraId="791F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tblHeader/>
          <w:jc w:val="center"/>
        </w:trPr>
        <w:tc>
          <w:tcPr>
            <w:tcW w:w="3027" w:type="dxa"/>
            <w:tcBorders>
              <w:top w:val="single" w:color="000000" w:sz="8" w:space="0"/>
              <w:left w:val="nil"/>
              <w:bottom w:val="single" w:color="000000" w:sz="6" w:space="0"/>
              <w:right w:val="nil"/>
            </w:tcBorders>
            <w:shd w:val="clear" w:color="auto" w:fill="FFFFFF"/>
            <w:vAlign w:val="center"/>
          </w:tcPr>
          <w:p w14:paraId="0E9C5FD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Item</w:t>
            </w:r>
          </w:p>
        </w:tc>
        <w:tc>
          <w:tcPr>
            <w:tcW w:w="6054" w:type="dxa"/>
            <w:tcBorders>
              <w:top w:val="single" w:color="000000" w:sz="8" w:space="0"/>
              <w:left w:val="nil"/>
              <w:bottom w:val="single" w:color="000000" w:sz="6" w:space="0"/>
              <w:right w:val="nil"/>
            </w:tcBorders>
            <w:shd w:val="clear" w:color="auto" w:fill="FFFFFF"/>
            <w:vAlign w:val="center"/>
          </w:tcPr>
          <w:p w14:paraId="1E60856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Location in Supplementary Code 1</w:t>
            </w:r>
          </w:p>
        </w:tc>
        <w:tc>
          <w:tcPr>
            <w:tcW w:w="6056" w:type="dxa"/>
            <w:tcBorders>
              <w:top w:val="single" w:color="000000" w:sz="8" w:space="0"/>
              <w:left w:val="nil"/>
              <w:bottom w:val="single" w:color="000000" w:sz="6" w:space="0"/>
              <w:right w:val="nil"/>
            </w:tcBorders>
            <w:shd w:val="clear" w:color="auto" w:fill="FFFFFF"/>
            <w:vAlign w:val="center"/>
          </w:tcPr>
          <w:p w14:paraId="73D73EA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i w:val="0"/>
                <w:color w:val="000000"/>
                <w:sz w:val="19"/>
              </w:rPr>
              <w:t>Scope / limitation</w:t>
            </w:r>
          </w:p>
        </w:tc>
      </w:tr>
      <w:tr w14:paraId="58BA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75C25D6B">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Retrospective specification</w:t>
            </w:r>
          </w:p>
        </w:tc>
        <w:tc>
          <w:tcPr>
            <w:tcW w:w="6054" w:type="dxa"/>
            <w:tcBorders>
              <w:top w:val="nil"/>
              <w:left w:val="nil"/>
              <w:bottom w:val="nil"/>
              <w:right w:val="nil"/>
            </w:tcBorders>
            <w:shd w:val="clear" w:color="auto" w:fill="FFFFFF"/>
            <w:vAlign w:val="center"/>
          </w:tcPr>
          <w:p w14:paraId="22F1DB8E">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00_protocol/analysis_plan_v1.md; 00_protocol/analysis_plan_implementation_log.md; 03_analysis/analysis_notes.md</w:t>
            </w:r>
          </w:p>
        </w:tc>
        <w:tc>
          <w:tcPr>
            <w:tcW w:w="6056" w:type="dxa"/>
            <w:tcBorders>
              <w:top w:val="nil"/>
              <w:left w:val="nil"/>
              <w:bottom w:val="nil"/>
              <w:right w:val="nil"/>
            </w:tcBorders>
            <w:shd w:val="clear" w:color="auto" w:fill="FFFFFF"/>
            <w:vAlign w:val="center"/>
          </w:tcPr>
          <w:p w14:paraId="29960EB5">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Specification after feasibility inspection; route correction and exploratory additions documented</w:t>
            </w:r>
          </w:p>
        </w:tc>
      </w:tr>
      <w:tr w14:paraId="159E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69FE3541">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Source and linkage</w:t>
            </w:r>
          </w:p>
        </w:tc>
        <w:tc>
          <w:tcPr>
            <w:tcW w:w="6054" w:type="dxa"/>
            <w:tcBorders>
              <w:top w:val="nil"/>
              <w:left w:val="nil"/>
              <w:bottom w:val="nil"/>
              <w:right w:val="nil"/>
            </w:tcBorders>
            <w:shd w:val="clear" w:color="auto" w:fill="FFFFFF"/>
            <w:vAlign w:val="center"/>
          </w:tcPr>
          <w:p w14:paraId="4E7E7D1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02_data/phase1_provenance.json; 02_data/source_artifact_hash_verification.csv; 02_data/extract_relation_qc.csv; 02_data/source_deleted_winner_check.csv; 02_data/source_demo_uniqueness.csv</w:t>
            </w:r>
          </w:p>
        </w:tc>
        <w:tc>
          <w:tcPr>
            <w:tcW w:w="6056" w:type="dxa"/>
            <w:tcBorders>
              <w:top w:val="nil"/>
              <w:left w:val="nil"/>
              <w:bottom w:val="nil"/>
              <w:right w:val="nil"/>
            </w:tcBorders>
            <w:shd w:val="clear" w:color="auto" w:fill="FFFFFF"/>
            <w:vAlign w:val="center"/>
          </w:tcPr>
          <w:p w14:paraId="3FCC3C0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Audited harmonized inputs; not an independent rebuild of all quarterly source files</w:t>
            </w:r>
          </w:p>
        </w:tc>
      </w:tr>
      <w:tr w14:paraId="4F0AC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09D3CF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Drug identification</w:t>
            </w:r>
          </w:p>
        </w:tc>
        <w:tc>
          <w:tcPr>
            <w:tcW w:w="6054" w:type="dxa"/>
            <w:tcBorders>
              <w:top w:val="nil"/>
              <w:left w:val="nil"/>
              <w:bottom w:val="nil"/>
              <w:right w:val="nil"/>
            </w:tcBorders>
            <w:shd w:val="clear" w:color="auto" w:fill="FFFFFF"/>
            <w:vAlign w:val="center"/>
          </w:tcPr>
          <w:p w14:paraId="3A5710F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03_analysis/01_extract_audit.py; 02_data/drug_name_mapping.csv; 04_results/route_formulation_audit.csv; 04_results/route_conflict_main_audit.csv</w:t>
            </w:r>
          </w:p>
        </w:tc>
        <w:tc>
          <w:tcPr>
            <w:tcW w:w="6056" w:type="dxa"/>
            <w:tcBorders>
              <w:top w:val="nil"/>
              <w:left w:val="nil"/>
              <w:bottom w:val="nil"/>
              <w:right w:val="nil"/>
            </w:tcBorders>
            <w:shd w:val="clear" w:color="auto" w:fill="FFFFFF"/>
            <w:vAlign w:val="center"/>
          </w:tcPr>
          <w:p w14:paraId="1E06D96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Observed names and formulation/route decisions</w:t>
            </w:r>
          </w:p>
        </w:tc>
      </w:tr>
      <w:tr w14:paraId="15EC6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495A9F3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Endpoint definitions</w:t>
            </w:r>
          </w:p>
        </w:tc>
        <w:tc>
          <w:tcPr>
            <w:tcW w:w="6054" w:type="dxa"/>
            <w:tcBorders>
              <w:top w:val="nil"/>
              <w:left w:val="nil"/>
              <w:bottom w:val="nil"/>
              <w:right w:val="nil"/>
            </w:tcBorders>
            <w:shd w:val="clear" w:color="auto" w:fill="FFFFFF"/>
            <w:vAlign w:val="center"/>
          </w:tcPr>
          <w:p w14:paraId="7EE290F3">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03_analysis/01c_endpoint_dictionary.py; 03_analysis/02_prepare_analysis.py; 02_data/endpoint_dictionary.json; 02_data/endpoint_dictionary.csv</w:t>
            </w:r>
          </w:p>
        </w:tc>
        <w:tc>
          <w:tcPr>
            <w:tcW w:w="6056" w:type="dxa"/>
            <w:tcBorders>
              <w:top w:val="nil"/>
              <w:left w:val="nil"/>
              <w:bottom w:val="nil"/>
              <w:right w:val="nil"/>
            </w:tcBorders>
            <w:shd w:val="clear" w:color="auto" w:fill="FFFFFF"/>
            <w:vAlign w:val="center"/>
          </w:tcPr>
          <w:p w14:paraId="1580A16B">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Query membership and mapping; licensed full dictionary excluded</w:t>
            </w:r>
          </w:p>
        </w:tc>
      </w:tr>
      <w:tr w14:paraId="277FE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5ABA66A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Estimation and independent checks</w:t>
            </w:r>
          </w:p>
        </w:tc>
        <w:tc>
          <w:tcPr>
            <w:tcW w:w="6054" w:type="dxa"/>
            <w:tcBorders>
              <w:top w:val="nil"/>
              <w:left w:val="nil"/>
              <w:bottom w:val="nil"/>
              <w:right w:val="nil"/>
            </w:tcBorders>
            <w:shd w:val="clear" w:color="auto" w:fill="FFFFFF"/>
            <w:vAlign w:val="center"/>
          </w:tcPr>
          <w:p w14:paraId="70CEF14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03_analysis/03_estimate.R; 03_analysis/05_validate_results.py; 03_analysis/06_independent_model_check.py; 06_manuscript/independent_model_QA.json</w:t>
            </w:r>
          </w:p>
        </w:tc>
        <w:tc>
          <w:tcPr>
            <w:tcW w:w="6056" w:type="dxa"/>
            <w:tcBorders>
              <w:top w:val="nil"/>
              <w:left w:val="nil"/>
              <w:bottom w:val="nil"/>
              <w:right w:val="nil"/>
            </w:tcBorders>
            <w:shd w:val="clear" w:color="auto" w:fill="FFFFFF"/>
            <w:vAlign w:val="center"/>
          </w:tcPr>
          <w:p w14:paraId="73DCEC3F">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Raw contingency counts, effect estimates, model checks and independent verification</w:t>
            </w:r>
          </w:p>
        </w:tc>
      </w:tr>
      <w:tr w14:paraId="5A83E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B646D7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Frozen aggregate results</w:t>
            </w:r>
          </w:p>
        </w:tc>
        <w:tc>
          <w:tcPr>
            <w:tcW w:w="6054" w:type="dxa"/>
            <w:tcBorders>
              <w:top w:val="nil"/>
              <w:left w:val="nil"/>
              <w:bottom w:val="nil"/>
              <w:right w:val="nil"/>
            </w:tcBorders>
            <w:shd w:val="clear" w:color="auto" w:fill="FFFFFF"/>
            <w:vAlign w:val="center"/>
          </w:tcPr>
          <w:p w14:paraId="3324248D">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04_results/FINAL_v2_validation.json; 04_results/result_file_hashes.json; 04_results/*.csv</w:t>
            </w:r>
          </w:p>
        </w:tc>
        <w:tc>
          <w:tcPr>
            <w:tcW w:w="6056" w:type="dxa"/>
            <w:tcBorders>
              <w:top w:val="nil"/>
              <w:left w:val="nil"/>
              <w:bottom w:val="nil"/>
              <w:right w:val="nil"/>
            </w:tcBorders>
            <w:shd w:val="clear" w:color="auto" w:fill="FFFFFF"/>
            <w:vAlign w:val="center"/>
          </w:tcPr>
          <w:p w14:paraId="70ECAD61">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Complete aggregate outputs, including zero and null findings</w:t>
            </w:r>
          </w:p>
        </w:tc>
      </w:tr>
      <w:tr w14:paraId="6FF38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689790FA">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Revised figures</w:t>
            </w:r>
          </w:p>
        </w:tc>
        <w:tc>
          <w:tcPr>
            <w:tcW w:w="6054" w:type="dxa"/>
            <w:tcBorders>
              <w:top w:val="nil"/>
              <w:left w:val="nil"/>
              <w:bottom w:val="nil"/>
              <w:right w:val="nil"/>
            </w:tcBorders>
            <w:shd w:val="clear" w:color="auto" w:fill="FFFFFF"/>
            <w:vAlign w:val="center"/>
          </w:tcPr>
          <w:p w14:paraId="7D66333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revision_v2_20260912/03_scripts/plot_figures_v2.R; revision_v2_20260912/04_figures/figure_legends.json; revision_v2_20260912/04_figures/source_data/</w:t>
            </w:r>
          </w:p>
        </w:tc>
        <w:tc>
          <w:tcPr>
            <w:tcW w:w="6056" w:type="dxa"/>
            <w:tcBorders>
              <w:top w:val="nil"/>
              <w:left w:val="nil"/>
              <w:bottom w:val="nil"/>
              <w:right w:val="nil"/>
            </w:tcBorders>
            <w:shd w:val="clear" w:color="auto" w:fill="FFFFFF"/>
            <w:vAlign w:val="center"/>
          </w:tcPr>
          <w:p w14:paraId="18A07138">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R/ggplot2 graphics and plotted source data; original endpoint identifiers retained</w:t>
            </w:r>
          </w:p>
        </w:tc>
      </w:tr>
      <w:tr w14:paraId="55D46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nil"/>
              <w:right w:val="nil"/>
            </w:tcBorders>
            <w:shd w:val="clear" w:color="auto" w:fill="FFFFFF"/>
            <w:vAlign w:val="center"/>
          </w:tcPr>
          <w:p w14:paraId="0735FA87">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Analysis availability</w:t>
            </w:r>
          </w:p>
        </w:tc>
        <w:tc>
          <w:tcPr>
            <w:tcW w:w="6054" w:type="dxa"/>
            <w:tcBorders>
              <w:top w:val="nil"/>
              <w:left w:val="nil"/>
              <w:bottom w:val="nil"/>
              <w:right w:val="nil"/>
            </w:tcBorders>
            <w:shd w:val="clear" w:color="auto" w:fill="FFFFFF"/>
            <w:vAlign w:val="center"/>
          </w:tcPr>
          <w:p w14:paraId="175B7B7C">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04_results/planned_analysis_availability.csv</w:t>
            </w:r>
          </w:p>
        </w:tc>
        <w:tc>
          <w:tcPr>
            <w:tcW w:w="6056" w:type="dxa"/>
            <w:tcBorders>
              <w:top w:val="nil"/>
              <w:left w:val="nil"/>
              <w:bottom w:val="nil"/>
              <w:right w:val="nil"/>
            </w:tcBorders>
            <w:shd w:val="clear" w:color="auto" w:fill="FFFFFF"/>
            <w:vAlign w:val="center"/>
          </w:tcPr>
          <w:p w14:paraId="63F095C6">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Unavailable spontaneous-only, age/sex-adjusted and all-drug-background analyses</w:t>
            </w:r>
          </w:p>
        </w:tc>
      </w:tr>
      <w:tr w14:paraId="61AC0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55" w:type="dxa"/>
            <w:bottom w:w="35" w:type="dxa"/>
            <w:right w:w="55" w:type="dxa"/>
          </w:tblCellMar>
        </w:tblPrEx>
        <w:trPr>
          <w:cantSplit/>
          <w:jc w:val="center"/>
        </w:trPr>
        <w:tc>
          <w:tcPr>
            <w:tcW w:w="3027" w:type="dxa"/>
            <w:tcBorders>
              <w:top w:val="nil"/>
              <w:left w:val="nil"/>
              <w:bottom w:val="single" w:color="000000" w:sz="8" w:space="0"/>
              <w:right w:val="nil"/>
            </w:tcBorders>
            <w:shd w:val="clear" w:color="auto" w:fill="FFFFFF"/>
            <w:vAlign w:val="center"/>
          </w:tcPr>
          <w:p w14:paraId="50128F30">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Clinical references</w:t>
            </w:r>
          </w:p>
        </w:tc>
        <w:tc>
          <w:tcPr>
            <w:tcW w:w="6054" w:type="dxa"/>
            <w:tcBorders>
              <w:top w:val="nil"/>
              <w:left w:val="nil"/>
              <w:bottom w:val="single" w:color="000000" w:sz="8" w:space="0"/>
              <w:right w:val="nil"/>
            </w:tcBorders>
            <w:shd w:val="clear" w:color="auto" w:fill="FFFFFF"/>
            <w:vAlign w:val="center"/>
          </w:tcPr>
          <w:p w14:paraId="6C0F1439">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01_literature/search_log.md; 01_literature/references.json; revision_v2_20260912/05_manuscript/reference_manifest.json</w:t>
            </w:r>
          </w:p>
        </w:tc>
        <w:tc>
          <w:tcPr>
            <w:tcW w:w="6056" w:type="dxa"/>
            <w:tcBorders>
              <w:top w:val="nil"/>
              <w:left w:val="nil"/>
              <w:bottom w:val="single" w:color="000000" w:sz="8" w:space="0"/>
              <w:right w:val="nil"/>
            </w:tcBorders>
            <w:shd w:val="clear" w:color="auto" w:fill="FFFFFF"/>
            <w:vAlign w:val="center"/>
          </w:tcPr>
          <w:p w14:paraId="3A6BE7C2">
            <w:pPr>
              <w:keepNext/>
              <w:keepLines w:val="0"/>
              <w:pageBreakBefore w:val="0"/>
              <w:widowControl/>
              <w:suppressLineNumbers/>
              <w:spacing w:before="0" w:after="0" w:line="240" w:lineRule="auto"/>
              <w:ind w:left="0" w:right="0" w:firstLine="0"/>
              <w:jc w:val="left"/>
            </w:pPr>
            <w:r>
              <w:rPr>
                <w:rFonts w:ascii="Times New Roman" w:hAnsi="Times New Roman" w:eastAsia="Times New Roman" w:cs="Times New Roman"/>
                <w:b w:val="0"/>
                <w:i w:val="0"/>
                <w:color w:val="000000"/>
                <w:sz w:val="19"/>
              </w:rPr>
              <w:t>Verified source metadata and author–year citation mapping</w:t>
            </w:r>
          </w:p>
        </w:tc>
      </w:tr>
    </w:tbl>
    <w:p w14:paraId="2289297D">
      <w:pPr>
        <w:keepNext w:val="0"/>
        <w:keepLines w:val="0"/>
        <w:pageBreakBefore w:val="0"/>
        <w:widowControl/>
        <w:suppressLineNumbers/>
        <w:spacing w:before="60" w:after="80" w:line="240" w:lineRule="auto"/>
        <w:ind w:left="0" w:right="0" w:firstLine="0"/>
        <w:jc w:val="left"/>
      </w:pPr>
      <w:r>
        <w:rPr>
          <w:rFonts w:ascii="Times New Roman" w:hAnsi="Times New Roman" w:eastAsia="Times New Roman" w:cs="Times New Roman"/>
          <w:b w:val="0"/>
          <w:i w:val="0"/>
          <w:color w:val="000000"/>
          <w:sz w:val="18"/>
        </w:rPr>
        <w:t>Paths are relative to Supplementary Code 1. Input paths must be configured for the receiving environment. Report-level caches and the licensed full MedDRA distribution are excluded. The FINAL_v2 marker identifies the corrected statistical freeze; the manuscript revision does not denote a new analysis.</w:t>
      </w:r>
    </w:p>
    <w:p w14:paraId="4EAB3453">
      <w:pPr>
        <w:sectPr>
          <w:pgSz w:w="16838" w:h="11906" w:orient="landscape"/>
          <w:pgMar w:top="964" w:right="850" w:bottom="964" w:left="850" w:header="567" w:footer="567" w:gutter="0"/>
          <w:cols w:space="720" w:num="1"/>
          <w:docGrid w:linePitch="360" w:charSpace="0"/>
        </w:sectPr>
      </w:pPr>
    </w:p>
    <w:p w14:paraId="25411660">
      <w:pPr>
        <w:keepNext/>
        <w:keepLines w:val="0"/>
        <w:pageBreakBefore w:val="0"/>
        <w:widowControl/>
        <w:suppressLineNumbers/>
        <w:spacing w:before="0" w:after="80" w:line="276" w:lineRule="auto"/>
        <w:ind w:left="0" w:right="0" w:firstLine="0"/>
        <w:jc w:val="left"/>
      </w:pPr>
      <w:r>
        <w:rPr>
          <w:rFonts w:ascii="Times New Roman" w:hAnsi="Times New Roman" w:eastAsia="Times New Roman" w:cs="Times New Roman"/>
          <w:b/>
          <w:i w:val="0"/>
          <w:color w:val="000000"/>
          <w:sz w:val="22"/>
        </w:rPr>
        <w:t>Supplementary Figure S1. Sensitivity and outcome-specificity analyses</w:t>
      </w:r>
    </w:p>
    <w:p w14:paraId="4D07034F">
      <w:pPr>
        <w:keepNext/>
        <w:keepLines w:val="0"/>
        <w:pageBreakBefore w:val="0"/>
        <w:widowControl/>
        <w:suppressLineNumbers/>
        <w:spacing w:before="0" w:after="100" w:line="264" w:lineRule="auto"/>
        <w:ind w:left="0" w:right="0" w:firstLine="0"/>
        <w:jc w:val="left"/>
      </w:pPr>
      <w:r>
        <w:rPr>
          <w:rFonts w:ascii="Times New Roman" w:hAnsi="Times New Roman" w:eastAsia="Times New Roman" w:cs="Times New Roman"/>
          <w:b w:val="0"/>
          <w:i w:val="0"/>
          <w:color w:val="000000"/>
          <w:sz w:val="20"/>
        </w:rPr>
        <w:t>(a) Renal outcomes. (b) Peripheral nerve outcomes. Points and horizontal lines show crude reporting odds ratios and 95% confidence intervals against pooled active-comparator reports. Counts are endpoint-positive reports divided by eligible reports under each specification. All 21 analysis rows are displayed. The narrow SMQ defines each endpoint unless the row explicitly names an alternative definition. The exact terms are Acute kidney injury and Neuropathy peripheral; broad-SMQ and renal-laboratory rows are exploratory specificity analyses. The PS-or-SS analysis reapplied mutually exclusive drug assignment and is not a nested expansion of the primary cohort. The dashed line denotes ROR = 1. Intervals are nominal; sensitivity comparisons were interpreted descriptively. PS, primary suspect; SS, secondary suspect; SMQ, Standardised MedDRA Query.</w:t>
      </w:r>
    </w:p>
    <w:p w14:paraId="03BFF373">
      <w:pPr>
        <w:keepNext w:val="0"/>
        <w:keepLines w:val="0"/>
        <w:pageBreakBefore w:val="0"/>
        <w:widowControl/>
        <w:suppressLineNumbers/>
        <w:spacing w:before="0" w:after="0" w:line="240" w:lineRule="auto"/>
        <w:ind w:left="0" w:right="0" w:firstLine="0"/>
        <w:jc w:val="center"/>
      </w:pPr>
      <w:r>
        <w:drawing>
          <wp:inline distT="0" distB="0" distL="114300" distR="114300">
            <wp:extent cx="5759450" cy="5002530"/>
            <wp:effectExtent l="0" t="0" r="12700" b="7620"/>
            <wp:docPr id="1" name="Picture 1" descr="Supplementary Figure S1. Sensitivity and outcome-specificity analyses" title="Supplementary Figure S1. Sensitivity and outcome-specificity analy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ementary Figure S1. Sensitivity and outcome-specificity analyses" title="Supplementary Figure S1. Sensitivity and outcome-specificity analyses"/>
                    <pic:cNvPicPr>
                      <a:picLocks noChangeAspect="1"/>
                    </pic:cNvPicPr>
                  </pic:nvPicPr>
                  <pic:blipFill>
                    <a:blip r:embed="rId7"/>
                    <a:stretch>
                      <a:fillRect/>
                    </a:stretch>
                  </pic:blipFill>
                  <pic:spPr>
                    <a:xfrm>
                      <a:off x="0" y="0"/>
                      <a:ext cx="5760000" cy="5003017"/>
                    </a:xfrm>
                    <a:prstGeom prst="rect">
                      <a:avLst/>
                    </a:prstGeom>
                  </pic:spPr>
                </pic:pic>
              </a:graphicData>
            </a:graphic>
          </wp:inline>
        </w:drawing>
      </w:r>
    </w:p>
    <w:p w14:paraId="060BC7E8">
      <w:pPr>
        <w:keepNext/>
        <w:keepLines w:val="0"/>
        <w:pageBreakBefore/>
        <w:widowControl/>
        <w:suppressLineNumbers/>
        <w:spacing w:before="0" w:after="80" w:line="276" w:lineRule="auto"/>
        <w:ind w:left="0" w:right="0" w:firstLine="0"/>
        <w:jc w:val="left"/>
      </w:pPr>
      <w:r>
        <w:rPr>
          <w:rFonts w:ascii="Times New Roman" w:hAnsi="Times New Roman" w:eastAsia="Times New Roman" w:cs="Times New Roman"/>
          <w:b/>
          <w:i w:val="0"/>
          <w:color w:val="000000"/>
          <w:sz w:val="22"/>
        </w:rPr>
        <w:t>Supplementary Figure S2. Availability and distribution of reported treatment-start-to-event intervals</w:t>
      </w:r>
    </w:p>
    <w:p w14:paraId="69520747">
      <w:pPr>
        <w:keepNext/>
        <w:keepLines w:val="0"/>
        <w:pageBreakBefore w:val="0"/>
        <w:widowControl/>
        <w:suppressLineNumbers/>
        <w:spacing w:before="0" w:after="100" w:line="264" w:lineRule="auto"/>
        <w:ind w:left="0" w:right="0" w:firstLine="0"/>
        <w:jc w:val="left"/>
      </w:pPr>
      <w:r>
        <w:rPr>
          <w:rFonts w:ascii="Times New Roman" w:hAnsi="Times New Roman" w:eastAsia="Times New Roman" w:cs="Times New Roman"/>
          <w:b w:val="0"/>
          <w:i w:val="0"/>
          <w:color w:val="000000"/>
          <w:sz w:val="20"/>
        </w:rPr>
        <w:t>(a) Proportion of momelotinib endpoint reports with one unique complete, valid treatment-start date linked to the eligible drug sequence and a complete event date, yielding a nonnegative interval. (b) All 19 evaluable renal intervals; each point represents one report. Horizontal positions retain exact reported intervals, and vertical staggering only separates overlapping points. Median, 18 days; interquartile range, 4–41 days. Three renal reports had a same-day interval. Only one neuropathy report had a usable interval, of zero days, so no neuropathy distribution or time-to-event model is shown. FAERS event dates are report-level and do not establish the onset date of a particular preferred term.</w:t>
      </w:r>
    </w:p>
    <w:p w14:paraId="0CA03C90">
      <w:pPr>
        <w:keepNext w:val="0"/>
        <w:keepLines w:val="0"/>
        <w:pageBreakBefore w:val="0"/>
        <w:widowControl/>
        <w:suppressLineNumbers/>
        <w:spacing w:before="0" w:after="0" w:line="240" w:lineRule="auto"/>
        <w:ind w:left="0" w:right="0" w:firstLine="0"/>
        <w:jc w:val="center"/>
      </w:pPr>
      <w:r>
        <w:drawing>
          <wp:inline distT="0" distB="0" distL="114300" distR="114300">
            <wp:extent cx="5759450" cy="1854835"/>
            <wp:effectExtent l="0" t="0" r="12700" b="12065"/>
            <wp:docPr id="2" name="Picture 2" descr="Supplementary Figure S2. Availability and distribution of reported treatment-start-to-event intervals" title="Supplementary Figure S2. Availability and distribution of reported treatment-start-to-event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pplementary Figure S2. Availability and distribution of reported treatment-start-to-event intervals" title="Supplementary Figure S2. Availability and distribution of reported treatment-start-to-event intervals"/>
                    <pic:cNvPicPr>
                      <a:picLocks noChangeAspect="1"/>
                    </pic:cNvPicPr>
                  </pic:nvPicPr>
                  <pic:blipFill>
                    <a:blip r:embed="rId8"/>
                    <a:stretch>
                      <a:fillRect/>
                    </a:stretch>
                  </pic:blipFill>
                  <pic:spPr>
                    <a:xfrm>
                      <a:off x="0" y="0"/>
                      <a:ext cx="5760000" cy="1855141"/>
                    </a:xfrm>
                    <a:prstGeom prst="rect">
                      <a:avLst/>
                    </a:prstGeom>
                  </pic:spPr>
                </pic:pic>
              </a:graphicData>
            </a:graphic>
          </wp:inline>
        </w:drawing>
      </w:r>
    </w:p>
    <w:p w14:paraId="6888B6DB">
      <w:pPr>
        <w:keepNext/>
        <w:keepLines w:val="0"/>
        <w:pageBreakBefore/>
        <w:widowControl/>
        <w:suppressLineNumbers/>
        <w:spacing w:before="0" w:after="80" w:line="276" w:lineRule="auto"/>
        <w:ind w:left="0" w:right="0" w:firstLine="0"/>
        <w:jc w:val="left"/>
      </w:pPr>
      <w:r>
        <w:rPr>
          <w:rFonts w:ascii="Times New Roman" w:hAnsi="Times New Roman" w:eastAsia="Times New Roman" w:cs="Times New Roman"/>
          <w:b/>
          <w:i w:val="0"/>
          <w:color w:val="000000"/>
          <w:sz w:val="22"/>
        </w:rPr>
        <w:t>Supplementary Figure S3. Reporting composition and demographic-field availability</w:t>
      </w:r>
    </w:p>
    <w:p w14:paraId="122092C7">
      <w:pPr>
        <w:keepNext/>
        <w:keepLines w:val="0"/>
        <w:pageBreakBefore w:val="0"/>
        <w:widowControl/>
        <w:suppressLineNumbers/>
        <w:spacing w:before="0" w:after="100" w:line="264" w:lineRule="auto"/>
        <w:ind w:left="0" w:right="0" w:firstLine="0"/>
        <w:jc w:val="left"/>
      </w:pPr>
      <w:r>
        <w:rPr>
          <w:rFonts w:ascii="Times New Roman" w:hAnsi="Times New Roman" w:eastAsia="Times New Roman" w:cs="Times New Roman"/>
          <w:b w:val="0"/>
          <w:i w:val="0"/>
          <w:color w:val="000000"/>
          <w:sz w:val="20"/>
        </w:rPr>
        <w:t>(a) Reporter-category composition and the proportion of US reports. HCP percentages are directly labelled above the stacked bars; the US column uses the same drug-specific denominator. (b) Availability of valid age and recorded sex (female or male). Percentages use all eligible reports for each drug: momelotinib, 872; ruxolitinib, 2,748; fedratinib, 129; pacritinib, 983. Reporter groups are healthcare professionals (HCP), non-healthcare professionals and unknown. These descriptive differences characterize the reporting populations; no between-drug significance test was performed.</w:t>
      </w:r>
    </w:p>
    <w:p w14:paraId="7689A38A">
      <w:pPr>
        <w:keepNext w:val="0"/>
        <w:keepLines w:val="0"/>
        <w:pageBreakBefore w:val="0"/>
        <w:widowControl/>
        <w:suppressLineNumbers/>
        <w:spacing w:before="0" w:after="0" w:line="240" w:lineRule="auto"/>
        <w:ind w:left="0" w:right="0" w:firstLine="0"/>
        <w:jc w:val="center"/>
      </w:pPr>
      <w:r>
        <w:drawing>
          <wp:inline distT="0" distB="0" distL="114300" distR="114300">
            <wp:extent cx="5759450" cy="2358390"/>
            <wp:effectExtent l="0" t="0" r="12700" b="3810"/>
            <wp:docPr id="3" name="Picture 3" descr="Supplementary Figure S3. Reporting composition and demographic-field availability" title="Supplementary Figure S3. Reporting composition and demographic-field avail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pplementary Figure S3. Reporting composition and demographic-field availability" title="Supplementary Figure S3. Reporting composition and demographic-field availability"/>
                    <pic:cNvPicPr>
                      <a:picLocks noChangeAspect="1"/>
                    </pic:cNvPicPr>
                  </pic:nvPicPr>
                  <pic:blipFill>
                    <a:blip r:embed="rId9"/>
                    <a:stretch>
                      <a:fillRect/>
                    </a:stretch>
                  </pic:blipFill>
                  <pic:spPr>
                    <a:xfrm>
                      <a:off x="0" y="0"/>
                      <a:ext cx="5760000" cy="2358908"/>
                    </a:xfrm>
                    <a:prstGeom prst="rect">
                      <a:avLst/>
                    </a:prstGeom>
                  </pic:spPr>
                </pic:pic>
              </a:graphicData>
            </a:graphic>
          </wp:inline>
        </w:drawing>
      </w:r>
    </w:p>
    <w:sectPr>
      <w:pgSz w:w="11906" w:h="16838"/>
      <w:pgMar w:top="1417" w:right="1417" w:bottom="1417" w:left="1417" w:header="567" w:footer="56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21B08">
    <w:pPr>
      <w:pStyle w:val="24"/>
      <w:keepNext w:val="0"/>
      <w:keepLines w:val="0"/>
      <w:pageBreakBefore w:val="0"/>
      <w:widowControl/>
      <w:suppressLineNumbers/>
      <w:spacing w:before="0" w:after="0" w:line="240" w:lineRule="auto"/>
      <w:ind w:left="0" w:right="0" w:firstLine="0"/>
      <w:jc w:val="right"/>
    </w:pPr>
    <w:r>
      <w:rPr>
        <w:rFonts w:ascii="Times New Roman" w:hAnsi="Times New Roman" w:eastAsia="Times New Roman" w:cs="Times New Roman"/>
        <w:b w:val="0"/>
        <w:i w:val="0"/>
        <w:color w:val="000000"/>
        <w:sz w:val="20"/>
      </w:rPr>
      <w:fldChar w:fldCharType="begin"/>
    </w:r>
    <w:r>
      <w:rPr>
        <w:rFonts w:ascii="Times New Roman" w:hAnsi="Times New Roman" w:eastAsia="Times New Roman" w:cs="Times New Roman"/>
        <w:b w:val="0"/>
        <w:i w:val="0"/>
        <w:color w:val="000000"/>
        <w:sz w:val="20"/>
      </w:rPr>
      <w:instrText xml:space="preserve"> PAGE </w:instrText>
    </w:r>
    <w:r>
      <w:rPr>
        <w:rFonts w:ascii="Times New Roman" w:hAnsi="Times New Roman" w:eastAsia="Times New Roman" w:cs="Times New Roman"/>
        <w:b w:val="0"/>
        <w:i w:val="0"/>
        <w:color w:val="000000"/>
        <w:sz w:val="20"/>
      </w:rPr>
      <w:fldChar w:fldCharType="separate"/>
    </w:r>
    <w:r>
      <w:rPr>
        <w:rFonts w:ascii="Times New Roman" w:hAnsi="Times New Roman" w:eastAsia="Times New Roman" w:cs="Times New Roman"/>
        <w:b w:val="0"/>
        <w:i w:val="0"/>
        <w:color w:val="000000"/>
        <w:sz w:val="20"/>
      </w:rPr>
      <w:t>1</w:t>
    </w:r>
    <w:r>
      <w:rPr>
        <w:rFonts w:ascii="Times New Roman" w:hAnsi="Times New Roman" w:eastAsia="Times New Roman" w:cs="Times New Roman"/>
        <w:b w:val="0"/>
        <w:i w:val="0"/>
        <w:color w:val="00000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7337E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nhideWhenUsed="0" w:uiPriority="0" w:semiHidden="0"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480" w:lineRule="auto"/>
      <w:jc w:val="left"/>
    </w:pPr>
    <w:rPr>
      <w:rFonts w:ascii="Times New Roman" w:hAnsi="Times New Roman" w:eastAsia="Times New Roman" w:cs="Times New Roman"/>
      <w:color w:val="000000"/>
      <w:sz w:val="24"/>
      <w:szCs w:val="24"/>
      <w:lang w:val="en-US" w:eastAsia="en-US" w:bidi="ar-SA"/>
    </w:rPr>
  </w:style>
  <w:style w:type="paragraph" w:styleId="3">
    <w:name w:val="heading 1"/>
    <w:basedOn w:val="1"/>
    <w:next w:val="1"/>
    <w:link w:val="139"/>
    <w:qFormat/>
    <w:uiPriority w:val="9"/>
    <w:pPr>
      <w:keepNext/>
      <w:keepLines/>
      <w:spacing w:before="120" w:after="0" w:line="480" w:lineRule="auto"/>
      <w:jc w:val="left"/>
      <w:outlineLvl w:val="0"/>
    </w:pPr>
    <w:rPr>
      <w:rFonts w:ascii="Times New Roman" w:hAnsi="Times New Roman" w:eastAsia="Times New Roman" w:cs="Times New Roman"/>
      <w:b/>
      <w:bCs/>
      <w:color w:val="000000"/>
      <w:sz w:val="24"/>
      <w:szCs w:val="24"/>
    </w:rPr>
  </w:style>
  <w:style w:type="paragraph" w:styleId="4">
    <w:name w:val="heading 2"/>
    <w:basedOn w:val="1"/>
    <w:next w:val="1"/>
    <w:link w:val="140"/>
    <w:unhideWhenUsed/>
    <w:qFormat/>
    <w:uiPriority w:val="9"/>
    <w:pPr>
      <w:keepNext/>
      <w:keepLines/>
      <w:spacing w:before="60" w:after="0" w:line="480" w:lineRule="auto"/>
      <w:jc w:val="left"/>
      <w:outlineLvl w:val="1"/>
    </w:pPr>
    <w:rPr>
      <w:rFonts w:ascii="Times New Roman" w:hAnsi="Times New Roman" w:eastAsia="Times New Roman" w:cs="Times New Roman"/>
      <w:b/>
      <w:bCs/>
      <w:color w:val="000000"/>
      <w:sz w:val="22"/>
      <w:szCs w:val="22"/>
    </w:rPr>
  </w:style>
  <w:style w:type="paragraph" w:styleId="5">
    <w:name w:val="heading 3"/>
    <w:basedOn w:val="1"/>
    <w:next w:val="1"/>
    <w:link w:val="141"/>
    <w:unhideWhenUsed/>
    <w:qFormat/>
    <w:uiPriority w:val="9"/>
    <w:pPr>
      <w:keepNext/>
      <w:keepLines/>
      <w:spacing w:before="60" w:after="0" w:line="480" w:lineRule="auto"/>
      <w:jc w:val="left"/>
      <w:outlineLvl w:val="2"/>
    </w:pPr>
    <w:rPr>
      <w:rFonts w:ascii="Times New Roman" w:hAnsi="Times New Roman" w:eastAsia="Times New Roman" w:cs="Times New Roman"/>
      <w:b/>
      <w:bCs/>
      <w:color w:val="000000"/>
      <w:sz w:val="22"/>
      <w:szCs w:val="22"/>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before="0" w:after="0" w:line="240" w:lineRule="auto"/>
      <w:jc w:val="left"/>
    </w:pPr>
    <w:rPr>
      <w:rFonts w:ascii="Times New Roman" w:hAnsi="Times New Roman" w:eastAsia="Times New Roman" w:cs="Times New Roman"/>
      <w:color w:val="000000"/>
      <w:sz w:val="20"/>
      <w:szCs w:val="20"/>
    </w:rPr>
  </w:style>
  <w:style w:type="paragraph" w:styleId="25">
    <w:name w:val="header"/>
    <w:basedOn w:val="1"/>
    <w:link w:val="136"/>
    <w:unhideWhenUsed/>
    <w:qFormat/>
    <w:uiPriority w:val="99"/>
    <w:pPr>
      <w:tabs>
        <w:tab w:val="center" w:pos="4680"/>
        <w:tab w:val="right" w:pos="9360"/>
      </w:tabs>
      <w:spacing w:before="0" w:after="0" w:line="240" w:lineRule="auto"/>
      <w:jc w:val="left"/>
    </w:pPr>
    <w:rPr>
      <w:rFonts w:ascii="Times New Roman" w:hAnsi="Times New Roman" w:eastAsia="Times New Roman" w:cs="Times New Roman"/>
      <w:color w:val="000000"/>
      <w:sz w:val="18"/>
      <w:szCs w:val="18"/>
    </w:rPr>
  </w:style>
  <w:style w:type="paragraph" w:styleId="26">
    <w:name w:val="Subtitle"/>
    <w:basedOn w:val="1"/>
    <w:next w:val="1"/>
    <w:link w:val="143"/>
    <w:qFormat/>
    <w:uiPriority w:val="11"/>
    <w:pPr>
      <w:spacing w:before="0" w:after="0" w:line="360" w:lineRule="auto"/>
      <w:jc w:val="left"/>
    </w:pPr>
    <w:rPr>
      <w:rFonts w:ascii="Times New Roman" w:hAnsi="Times New Roman" w:eastAsia="Times New Roman" w:cs="Times New Roman"/>
      <w:b/>
      <w:bCs/>
      <w:i/>
      <w:iCs/>
      <w:color w:val="000000"/>
      <w:spacing w:val="15"/>
      <w:sz w:val="24"/>
      <w:szCs w:val="24"/>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360" w:after="0" w:line="480" w:lineRule="auto"/>
      <w:jc w:val="center"/>
    </w:pPr>
    <w:rPr>
      <w:rFonts w:ascii="Times New Roman" w:hAnsi="Times New Roman" w:eastAsia="Times New Roman" w:cs="Times New Roman"/>
      <w:b/>
      <w:bCs/>
      <w:color w:val="000000"/>
      <w:spacing w:val="5"/>
      <w:kern w:val="28"/>
      <w:sz w:val="32"/>
      <w:szCs w:val="3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line number"/>
    <w:qFormat/>
    <w:uiPriority w:val="0"/>
    <w:rPr>
      <w:rFonts w:ascii="Times New Roman" w:hAnsi="Times New Roman" w:eastAsia="Times New Roman" w:cs="Times New Roman"/>
      <w:color w:val="000000"/>
      <w:sz w:val="20"/>
      <w:szCs w:val="20"/>
    </w:rPr>
  </w:style>
  <w:style w:type="character" w:customStyle="1" w:styleId="136">
    <w:name w:val="Header Char"/>
    <w:basedOn w:val="132"/>
    <w:link w:val="25"/>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 w:type="paragraph" w:customStyle="1" w:styleId="165">
    <w:name w:val="Manuscript Metadata"/>
    <w:qFormat/>
    <w:uiPriority w:val="0"/>
    <w:pPr>
      <w:spacing w:after="60" w:line="276" w:lineRule="auto"/>
    </w:pPr>
    <w:rPr>
      <w:rFonts w:ascii="Arial" w:hAnsi="Arial" w:eastAsia="Arial" w:cstheme="minorBidi"/>
      <w:color w:val="586473"/>
      <w:sz w:val="18"/>
      <w:szCs w:val="22"/>
      <w:lang w:val="en-US" w:eastAsia="en-US" w:bidi="ar-SA"/>
    </w:rPr>
  </w:style>
  <w:style w:type="paragraph" w:customStyle="1" w:styleId="166">
    <w:name w:val="Reference"/>
    <w:qFormat/>
    <w:uiPriority w:val="0"/>
    <w:pPr>
      <w:spacing w:before="0" w:after="0" w:line="240" w:lineRule="auto"/>
      <w:ind w:left="384" w:hanging="384"/>
      <w:jc w:val="left"/>
    </w:pPr>
    <w:rPr>
      <w:rFonts w:ascii="Times New Roman" w:hAnsi="Times New Roman" w:eastAsia="Times New Roman" w:cs="Times New Roman"/>
      <w:color w:val="000000"/>
      <w:sz w:val="24"/>
      <w:szCs w:val="24"/>
      <w:lang w:val="en-US" w:eastAsia="en-US" w:bidi="ar-SA"/>
    </w:rPr>
  </w:style>
  <w:style w:type="paragraph" w:customStyle="1" w:styleId="167">
    <w:name w:val="Table Footnote"/>
    <w:qFormat/>
    <w:uiPriority w:val="0"/>
    <w:pPr>
      <w:keepNext w:val="0"/>
      <w:spacing w:before="80" w:after="0" w:line="240" w:lineRule="auto"/>
      <w:jc w:val="left"/>
    </w:pPr>
    <w:rPr>
      <w:rFonts w:ascii="Times New Roman" w:hAnsi="Times New Roman" w:eastAsia="Times New Roman" w:cs="Times New Roman"/>
      <w:color w:val="000000"/>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2117</Words>
  <Characters>13592</Characters>
  <Lines>0</Lines>
  <Paragraphs>0</Paragraphs>
  <TotalTime>30</TotalTime>
  <ScaleCrop>false</ScaleCrop>
  <LinksUpToDate>false</LinksUpToDate>
  <CharactersWithSpaces>15578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Jia Luo; Yongjian Liu; Xiaoqing Chen</dc:creator>
  <cp:lastModifiedBy>Lawga</cp:lastModifiedBy>
  <dcterms:modified xsi:type="dcterms:W3CDTF">2026-10-10T09:39:19Z</dcterms:modified>
  <dc:subject>Momelotinib FAERS study</dc:subject>
  <dc:title>Supplementary material</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eyJoZGlkIjoiYTEzNjlmM2JiNjRiYWY3Mjc4NGZiZTgxZTAxNDg5ZmQiLCJ1c2VySWQiOiI0MDE1MzY5NzQifQ==</vt:lpwstr>
  </property>
  <property fmtid="{D5CDD505-2E9C-101B-9397-08002B2CF9AE}" pid="3" name="KSOProductBuildVer">
    <vt:lpwstr>2052-12.1.0.28505</vt:lpwstr>
  </property>
  <property fmtid="{D5CDD505-2E9C-101B-9397-08002B2CF9AE}" pid="4" name="ICV">
    <vt:lpwstr>6B401D23AAC04E4BA2B11A25B76FD29E_12</vt:lpwstr>
  </property>
</Properties>
</file>