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Additional file 1</w:t>
      </w:r>
    </w:p>
    <w:p>
      <w:pPr>
        <w:spacing w:after="240" w:line="360"/>
        <w:jc w:val="left"/>
      </w:pPr>
      <w:r>
        <w:rPr>
          <w:rFonts w:ascii="Times New Roman" w:cs="Times New Roman" w:eastAsia="Times New Roman" w:hAnsi="Times New Roman"/>
        </w:rPr>
        <w:t xml:space="preserve">Supplementary tables for: The impact of net foreign-asset deficits on private credit: banks versus central banks in IMF-programme economies</w:t>
      </w:r>
    </w:p>
    <w:p>
      <w:pPr>
        <w:keepNext/>
        <w:spacing w:after="120" w:before="360" w:line="240"/>
      </w:pPr>
      <w:r>
        <w:rPr>
          <w:rFonts w:ascii="Times New Roman" w:cs="Times New Roman" w:eastAsia="Times New Roman" w:hAnsi="Times New Roman"/>
          <w:b/>
          <w:bCs/>
        </w:rPr>
        <w:t xml:space="preserve">Table S1 </w:t>
      </w:r>
      <w:r>
        <w:rPr>
          <w:rFonts w:ascii="Times New Roman" w:cs="Times New Roman" w:eastAsia="Times New Roman" w:hAnsi="Times New Roman"/>
        </w:rPr>
        <w:t xml:space="preserve">Lag-order selection: total Schwarz criterion across countries</w:t>
      </w:r>
    </w:p>
    <w:tbl>
      <w:tblPr>
        <w:tblW w:type="dxa" w:w="6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3000"/>
      </w:tblGrid>
      <w:tr>
        <w:trPr>
          <w:tblHeader/>
        </w:trPr>
        <w:tc>
          <w:tcPr>
            <w:tcW w:type="dxa" w:w="3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ARDL(p, q)</w:t>
            </w:r>
          </w:p>
        </w:tc>
        <w:tc>
          <w:tcPr>
            <w:tcW w:type="dxa" w:w="3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Total SBC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1, 1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1638.7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2, 1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1657.8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3, 1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1681.0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4, 1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1694.6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1, 2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1714.5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2, 2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1729.1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3, 2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1750.4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4, 2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1765.1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2, 4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1789.7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4, 4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1792.1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1, 4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1798.1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3, 4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1800.9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1, 3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1807.4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2, 3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1820.8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3, 3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1843.3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4, 3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1861.6</w:t>
            </w:r>
          </w:p>
        </w:tc>
      </w:tr>
    </w:tbl>
    <w:p>
      <w:pPr>
        <w:spacing w:after="24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SBC summed over country ARDL regressions estimated on a common sample (first four quarters of each country dropped); lower is better. All specifications include the four NFA partial sums, depreciation, a country trend and quarterly dummies.</w:t>
      </w:r>
    </w:p>
    <w:p>
      <w:pPr>
        <w:keepNext/>
        <w:spacing w:after="120" w:before="360" w:line="240"/>
      </w:pPr>
      <w:r>
        <w:rPr>
          <w:rFonts w:ascii="Times New Roman" w:cs="Times New Roman" w:eastAsia="Times New Roman" w:hAnsi="Times New Roman"/>
          <w:b/>
          <w:bCs/>
        </w:rPr>
        <w:t xml:space="preserve">Table S2 </w:t>
      </w:r>
      <w:r>
        <w:rPr>
          <w:rFonts w:ascii="Times New Roman" w:cs="Times New Roman" w:eastAsia="Times New Roman" w:hAnsi="Times New Roman"/>
        </w:rPr>
        <w:t xml:space="preserve">Country error-correction coefficients from the baseline PMG model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2000"/>
        <w:gridCol w:w="2000"/>
        <w:gridCol w:w="2026"/>
      </w:tblGrid>
      <w:tr>
        <w:trPr>
          <w:tblHeader/>
        </w:trPr>
        <w:tc>
          <w:tcPr>
            <w:tcW w:type="dxa" w:w="3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Country</w:t>
            </w:r>
          </w:p>
        </w:tc>
        <w:tc>
          <w:tcPr>
            <w:tcW w:type="dxa" w:w="2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φᵢ</w:t>
            </w:r>
          </w:p>
        </w:tc>
        <w:tc>
          <w:tcPr>
            <w:tcW w:type="dxa" w:w="2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Standard error</w:t>
            </w:r>
          </w:p>
        </w:tc>
        <w:tc>
          <w:tcPr>
            <w:tcW w:type="dxa" w:w="2026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t-ratio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Argentina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0.039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(0.085)</w:t>
            </w:r>
          </w:p>
        </w:tc>
        <w:tc>
          <w:tcPr>
            <w:tcW w:type="dxa" w:w="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0.46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Bangladesh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−0.022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(0.007)</w:t>
            </w:r>
          </w:p>
        </w:tc>
        <w:tc>
          <w:tcPr>
            <w:tcW w:type="dxa" w:w="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−3.16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Egypt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−0.010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(0.014)</w:t>
            </w:r>
          </w:p>
        </w:tc>
        <w:tc>
          <w:tcPr>
            <w:tcW w:type="dxa" w:w="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−0.73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Ghana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−0.041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(0.017)</w:t>
            </w:r>
          </w:p>
        </w:tc>
        <w:tc>
          <w:tcPr>
            <w:tcW w:type="dxa" w:w="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−2.45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Kenya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−0.020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(0.011)</w:t>
            </w:r>
          </w:p>
        </w:tc>
        <w:tc>
          <w:tcPr>
            <w:tcW w:type="dxa" w:w="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−1.73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Sri Lanka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−0.021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(0.021)</w:t>
            </w:r>
          </w:p>
        </w:tc>
        <w:tc>
          <w:tcPr>
            <w:tcW w:type="dxa" w:w="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−1.00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Pakistan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−0.080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(0.017)</w:t>
            </w:r>
          </w:p>
        </w:tc>
        <w:tc>
          <w:tcPr>
            <w:tcW w:type="dxa" w:w="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−4.65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Zambia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−0.155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(0.024)</w:t>
            </w:r>
          </w:p>
        </w:tc>
        <w:tc>
          <w:tcPr>
            <w:tcW w:type="dxa" w:w="202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−6.56</w:t>
            </w:r>
          </w:p>
        </w:tc>
      </w:tr>
    </w:tbl>
    <w:p>
      <w:pPr>
        <w:spacing w:after="24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Error-correction coefficients conditional on the pooled long-run coefficients of Table 4. The ECM t-ratio does not follow a standard normal distribution under the null of no cointegration (Kremers et al. 1992), so the ratios are indicative.</w:t>
      </w:r>
    </w:p>
    <w:p>
      <w:pPr>
        <w:keepNext/>
        <w:spacing w:after="120" w:before="360" w:line="240"/>
      </w:pPr>
      <w:r>
        <w:rPr>
          <w:rFonts w:ascii="Times New Roman" w:cs="Times New Roman" w:eastAsia="Times New Roman" w:hAnsi="Times New Roman"/>
          <w:b/>
          <w:bCs/>
        </w:rPr>
        <w:t xml:space="preserve">Table S3 </w:t>
      </w:r>
      <w:r>
        <w:rPr>
          <w:rFonts w:ascii="Times New Roman" w:cs="Times New Roman" w:eastAsia="Times New Roman" w:hAnsi="Times New Roman"/>
        </w:rPr>
        <w:t xml:space="preserve">Asymmetric local projections: cumulative response of real credit (%)</w:t>
      </w:r>
    </w:p>
    <w:tbl>
      <w:tblPr>
        <w:tblW w:type="dxa" w:w="87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820"/>
        <w:gridCol w:w="720"/>
        <w:gridCol w:w="820"/>
        <w:gridCol w:w="720"/>
        <w:gridCol w:w="760"/>
        <w:gridCol w:w="820"/>
        <w:gridCol w:w="720"/>
        <w:gridCol w:w="820"/>
        <w:gridCol w:w="720"/>
        <w:gridCol w:w="760"/>
        <w:gridCol w:w="646"/>
      </w:tblGrid>
      <w:tr>
        <w:trPr>
          <w:tblHeader/>
        </w:trPr>
        <w:tc>
          <w:tcPr>
            <w:tcW w:type="dxa" w:w="4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3840"/>
            <w:gridSpan w:val="5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Banks' NFA</w:t>
            </w:r>
          </w:p>
        </w:tc>
        <w:tc>
          <w:tcPr>
            <w:tcW w:type="dxa" w:w="3840"/>
            <w:gridSpan w:val="5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Central bank NFA</w:t>
            </w:r>
          </w:p>
        </w:tc>
        <w:tc>
          <w:tcPr>
            <w:tcW w:type="dxa" w:w="646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</w:p>
        </w:tc>
      </w:tr>
      <w:tr>
        <w:trPr>
          <w:tblHeader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h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Rise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SE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Fall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SE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p(diff)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Rise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SE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Fall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SE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p(diff)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N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−0.373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(0.428)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0.620*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(0.338)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0.726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0.078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(0.077)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−0.092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(0.063)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0.911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597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−0.352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(0.860)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0.913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(0.652)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0.677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−0.057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(0.153)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−0.254*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(0.130)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0.224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589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−0.638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(1.147)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1.000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(0.684)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0.829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0.021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(0.216)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−0.405**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(0.177)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0.272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581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−0.221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(1.350)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0.869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(0.821)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0.746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0.109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(0.244)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−0.581***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(0.202)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0.218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573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−0.360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(1.636)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1.163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(0.933)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0.735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0.158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(0.287)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−0.730***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(0.265)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0.216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565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−0.304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(1.739)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1.613*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(0.917)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0.590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0.067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(0.331)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−0.885***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(0.294)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0.120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557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0.403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(1.772)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2.205**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(0.968)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0.291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0.144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(0.391)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−0.965***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(0.336)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0.185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549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0.555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(1.934)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2.436**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(1.126)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0.273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0.281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(0.425)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−0.984***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(0.352)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0.290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541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0.796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(1.902)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2.944***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(1.142)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0.156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0.284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(0.453)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−0.920**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(0.387)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0.381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533</w:t>
            </w:r>
          </w:p>
        </w:tc>
      </w:tr>
    </w:tbl>
    <w:p>
      <w:pPr>
        <w:spacing w:after="24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Response of 100 × ln real credit between t − 1 and t + h to a one-point rise or fall in each NFA ratio in quarter t (Eq. 3). The 'Fall' columns report the response to a one-point fall (the negative of the coefficient on the negative part). p(diff) tests equal absolute responses to rises and falls. Driscoll–Kraay standard errors. *, ** and *** denote significance at the 10%, 5% and 1% levels.</w:t>
      </w:r>
    </w:p>
    <w:p>
      <w:pPr>
        <w:keepNext/>
        <w:spacing w:after="120" w:before="360" w:line="240"/>
      </w:pPr>
      <w:r>
        <w:rPr>
          <w:rFonts w:ascii="Times New Roman" w:cs="Times New Roman" w:eastAsia="Times New Roman" w:hAnsi="Times New Roman"/>
          <w:b/>
          <w:bCs/>
        </w:rPr>
        <w:t xml:space="preserve">Table S4 </w:t>
      </w:r>
      <w:r>
        <w:rPr>
          <w:rFonts w:ascii="Times New Roman" w:cs="Times New Roman" w:eastAsia="Times New Roman" w:hAnsi="Times New Roman"/>
        </w:rPr>
        <w:t xml:space="preserve">Asymmetric local projections on cross-sectionally demeaned data</w:t>
      </w:r>
    </w:p>
    <w:tbl>
      <w:tblPr>
        <w:tblW w:type="dxa" w:w="87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820"/>
        <w:gridCol w:w="720"/>
        <w:gridCol w:w="820"/>
        <w:gridCol w:w="720"/>
        <w:gridCol w:w="760"/>
        <w:gridCol w:w="820"/>
        <w:gridCol w:w="720"/>
        <w:gridCol w:w="820"/>
        <w:gridCol w:w="720"/>
        <w:gridCol w:w="760"/>
        <w:gridCol w:w="646"/>
      </w:tblGrid>
      <w:tr>
        <w:trPr>
          <w:tblHeader/>
        </w:trPr>
        <w:tc>
          <w:tcPr>
            <w:tcW w:type="dxa" w:w="4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3840"/>
            <w:gridSpan w:val="5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Banks' NFA</w:t>
            </w:r>
          </w:p>
        </w:tc>
        <w:tc>
          <w:tcPr>
            <w:tcW w:type="dxa" w:w="3840"/>
            <w:gridSpan w:val="5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Central bank NFA</w:t>
            </w:r>
          </w:p>
        </w:tc>
        <w:tc>
          <w:tcPr>
            <w:tcW w:type="dxa" w:w="646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</w:p>
        </w:tc>
      </w:tr>
      <w:tr>
        <w:trPr>
          <w:tblHeader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h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Rise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SE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Fall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SE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p(diff)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Rise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SE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Fall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SE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p(diff)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N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−0.397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(0.469)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0.569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(0.354)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0.816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0.049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(0.086)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−0.005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(0.085)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0.757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597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−0.509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(0.876)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0.835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(0.695)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0.818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−0.090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(0.160)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−0.116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(0.177)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0.499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589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−0.736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(1.160)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0.967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(0.757)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0.896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0.008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(0.219)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−0.191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(0.221)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0.644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581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−0.272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(1.366)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0.928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(0.865)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0.749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0.071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(0.243)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−0.339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(0.260)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0.548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573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−0.366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(1.609)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1.439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(0.978)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0.653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0.017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(0.290)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−0.425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(0.297)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0.426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565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−0.231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(1.754)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2.078**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(0.958)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0.457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−0.122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(0.339)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−0.548*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(0.332)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0.261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557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0.363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(1.793)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2.499**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(0.989)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0.255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−0.060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(0.407)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−0.618*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(0.369)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0.330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549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0.396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(1.939)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2.586**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(1.115)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0.277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0.053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(0.420)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−0.653*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(0.373)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0.399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541</w:t>
            </w:r>
          </w:p>
        </w:tc>
      </w:tr>
      <w:tr>
        <w:trPr>
          <w:cantSplit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0.341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(1.811)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3.210***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(1.106)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0.162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0.060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(0.460)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−0.643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(0.397)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0.453</w:t>
            </w:r>
          </w:p>
        </w:tc>
        <w:tc>
          <w:tcPr>
            <w:tcW w:type="dxa" w:w="64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6"/>
                <w:szCs w:val="16"/>
              </w:rPr>
              <w:t xml:space="preserve">533</w:t>
            </w:r>
          </w:p>
        </w:tc>
      </w:tr>
    </w:tbl>
    <w:p>
      <w:pPr>
        <w:spacing w:after="24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As Table S3, with every variable demeaned by its cross-country average in each quarter to remove common shocks.</w:t>
      </w:r>
    </w:p>
    <w:p>
      <w:pPr>
        <w:keepNext/>
        <w:spacing w:after="120" w:before="360" w:line="240"/>
      </w:pPr>
      <w:r>
        <w:rPr>
          <w:rFonts w:ascii="Times New Roman" w:cs="Times New Roman" w:eastAsia="Times New Roman" w:hAnsi="Times New Roman"/>
          <w:b/>
          <w:bCs/>
        </w:rPr>
        <w:t xml:space="preserve">Table S5 </w:t>
      </w:r>
      <w:r>
        <w:rPr>
          <w:rFonts w:ascii="Times New Roman" w:cs="Times New Roman" w:eastAsia="Times New Roman" w:hAnsi="Times New Roman"/>
        </w:rPr>
        <w:t xml:space="preserve">Specifications in which the long-run relation is not identified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26"/>
        <w:gridCol w:w="1700"/>
        <w:gridCol w:w="1700"/>
        <w:gridCol w:w="1600"/>
      </w:tblGrid>
      <w:tr>
        <w:trPr>
          <w:tblHeader/>
        </w:trPr>
        <w:tc>
          <w:tcPr>
            <w:tcW w:type="dxa" w:w="4026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Specification</w:t>
            </w:r>
          </w:p>
        </w:tc>
        <w:tc>
          <w:tcPr>
            <w:tcW w:type="dxa" w:w="17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φ</w:t>
            </w:r>
          </w:p>
        </w:tc>
        <w:tc>
          <w:tcPr>
            <w:tcW w:type="dxa" w:w="17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Standard error</w:t>
            </w:r>
          </w:p>
        </w:tc>
        <w:tc>
          <w:tcPr>
            <w:tcW w:type="dxa" w:w="16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N/obs</w:t>
            </w:r>
          </w:p>
        </w:tc>
      </w:tr>
      <w:tr>
        <w:trPr>
          <w:cantSplit/>
        </w:trPr>
        <w:tc>
          <w:tcPr>
            <w:tcW w:type="dxa" w:w="4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Ending 2019Q4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0.0063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(0.0063)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8/426</w:t>
            </w:r>
          </w:p>
        </w:tc>
      </w:tr>
      <w:tr>
        <w:trPr>
          <w:cantSplit/>
        </w:trPr>
        <w:tc>
          <w:tcPr>
            <w:tcW w:type="dxa" w:w="402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Adding the real interest rate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0.0001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(0.0002)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8"/>
                <w:szCs w:val="18"/>
              </w:rPr>
              <w:t xml:space="preserve">8/562</w:t>
            </w:r>
          </w:p>
        </w:tc>
      </w:tr>
    </w:tbl>
    <w:p>
      <w:pPr>
        <w:spacing w:after="24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PMG estimates of the average error-correction coefficient. With φ indistinguishable from zero the long-run coefficients −β/φ are not identified and are not reported. Adding the real interest rate (short-term nominal rate minus year-on-year CPI inflation) ends the samples for Pakistan and Zambia in 2021 because the IMF interest-rate series stop there.</w:t>
      </w:r>
    </w:p>
    <w:p>
      <w:pPr>
        <w:keepNext/>
        <w:spacing w:after="120" w:before="360" w:line="240"/>
      </w:pPr>
      <w:r>
        <w:rPr>
          <w:rFonts w:ascii="Times New Roman" w:cs="Times New Roman" w:eastAsia="Times New Roman" w:hAnsi="Times New Roman"/>
          <w:b/>
          <w:bCs/>
        </w:rPr>
        <w:t xml:space="preserve">Table S6 </w:t>
      </w:r>
      <w:r>
        <w:rPr>
          <w:rFonts w:ascii="Times New Roman" w:cs="Times New Roman" w:eastAsia="Times New Roman" w:hAnsi="Times New Roman"/>
        </w:rPr>
        <w:t xml:space="preserve">Variable definitions and IMF series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4426"/>
        <w:gridCol w:w="2200"/>
      </w:tblGrid>
      <w:tr>
        <w:trPr>
          <w:tblHeader/>
        </w:trPr>
        <w:tc>
          <w:tcPr>
            <w:tcW w:type="dxa" w:w="24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Variable</w:t>
            </w:r>
          </w:p>
        </w:tc>
        <w:tc>
          <w:tcPr>
            <w:tcW w:type="dxa" w:w="4426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IMF dataset and indicator</w:t>
            </w:r>
          </w:p>
        </w:tc>
        <w:tc>
          <w:tcPr>
            <w:tcW w:type="dxa" w:w="22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Construction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Real private credit (C)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MFS_ODC: Assets, Claims on Private sector (ODCS); CPI: All Items index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100 × ln(claims / CPI)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Banks' NFA ratio (B)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MFS_ODC: Net foreign assets (ODCS); Assets, Total, All sectors (ODC2SR)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100 × NFA / total assets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Banks' foreign assets and liabilities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MFS_ODC: Claims on Nonresidents; Liabilities to Nonresidents (ODCS)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100 × level / total assets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Central bank NFA ratio (Z)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MFS_CBS: Net foreign assets (CBS); Total assets, All sectors (CB1SR)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100 × NFA / total assets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Depreciation (D)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ER: Domestic currency per US Dollar, end of period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100 × Δln(rate)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Real interest rate (robustness)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MFS_IR: Treasury bill yield; else monetary policy-related rate; else lending rate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7"/>
                <w:szCs w:val="17"/>
              </w:rPr>
              <w:t xml:space="preserve">Rate − year-on-year CPI inflation</w:t>
            </w:r>
          </w:p>
        </w:tc>
      </w:tr>
    </w:tbl>
    <w:p>
      <w:pPr>
        <w:spacing w:after="240" w:before="80" w:line="24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All series in domestic currency, quarterly; monthly series converted to end-of-quarter values for stocks and quarterly averages for rates. Data downloaded from the IMF Data portal on 16 October 2026.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240" w:line="480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120" w:line="480"/>
      <w:outlineLvl w:val="1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</dc:title>
  <dc:creator>Anonymous</dc:creator>
  <cp:lastModifiedBy>Un-named</cp:lastModifiedBy>
  <cp:revision>1</cp:revision>
  <dcterms:created xsi:type="dcterms:W3CDTF">2026-10-19T15:03:59.351Z</dcterms:created>
  <dcterms:modified xsi:type="dcterms:W3CDTF">2026-10-19T15:03:59.351Z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