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8C0A9" w14:textId="6E92C876" w:rsidR="002A678C" w:rsidRPr="0007346C" w:rsidRDefault="007D1571" w:rsidP="00D44774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bookmarkStart w:id="0" w:name="OLE_LINK161"/>
      <w:bookmarkStart w:id="1" w:name="_Hlk218354709"/>
      <w:r w:rsidRPr="0007346C">
        <w:rPr>
          <w:rFonts w:ascii="Arial" w:hAnsi="Arial" w:cs="Arial"/>
          <w:b/>
          <w:bCs/>
          <w:sz w:val="24"/>
          <w:szCs w:val="24"/>
        </w:rPr>
        <w:t>Supplementary</w:t>
      </w:r>
      <w:r w:rsidR="002268CA" w:rsidRPr="0007346C">
        <w:rPr>
          <w:rFonts w:ascii="Arial" w:hAnsi="Arial" w:cs="Arial" w:hint="eastAsia"/>
          <w:b/>
          <w:bCs/>
          <w:sz w:val="24"/>
          <w:szCs w:val="24"/>
        </w:rPr>
        <w:t xml:space="preserve"> </w:t>
      </w:r>
      <w:r w:rsidR="002268CA" w:rsidRPr="0007346C">
        <w:rPr>
          <w:rFonts w:ascii="Arial" w:hAnsi="Arial" w:cs="Arial"/>
          <w:b/>
          <w:bCs/>
          <w:sz w:val="24"/>
          <w:szCs w:val="24"/>
        </w:rPr>
        <w:t>Figure</w:t>
      </w:r>
      <w:bookmarkEnd w:id="0"/>
      <w:r w:rsidRPr="0007346C">
        <w:rPr>
          <w:rFonts w:ascii="Arial" w:hAnsi="Arial" w:cs="Arial" w:hint="eastAsia"/>
          <w:b/>
          <w:bCs/>
          <w:sz w:val="24"/>
          <w:szCs w:val="24"/>
        </w:rPr>
        <w:t>s</w:t>
      </w:r>
      <w:r w:rsidR="002268CA" w:rsidRPr="0007346C">
        <w:rPr>
          <w:rFonts w:ascii="Arial" w:hAnsi="Arial" w:cs="Arial"/>
          <w:b/>
          <w:bCs/>
          <w:sz w:val="24"/>
          <w:szCs w:val="24"/>
        </w:rPr>
        <w:t xml:space="preserve"> 1</w:t>
      </w:r>
      <w:r w:rsidR="002268CA" w:rsidRPr="0007346C">
        <w:rPr>
          <w:rFonts w:ascii="Arial" w:hAnsi="Arial" w:cs="Arial" w:hint="eastAsia"/>
          <w:b/>
          <w:bCs/>
          <w:sz w:val="24"/>
          <w:szCs w:val="24"/>
        </w:rPr>
        <w:t>-</w:t>
      </w:r>
      <w:r w:rsidR="00762790" w:rsidRPr="0007346C">
        <w:rPr>
          <w:rFonts w:ascii="Arial" w:hAnsi="Arial" w:cs="Arial" w:hint="eastAsia"/>
          <w:b/>
          <w:bCs/>
          <w:sz w:val="24"/>
          <w:szCs w:val="24"/>
        </w:rPr>
        <w:t>8</w:t>
      </w:r>
    </w:p>
    <w:p w14:paraId="20B01310" w14:textId="789B8B80" w:rsidR="00BD3D31" w:rsidRPr="0007346C" w:rsidRDefault="00853077" w:rsidP="00D44774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0243AFCE" wp14:editId="6551C15A">
            <wp:extent cx="5274310" cy="4323080"/>
            <wp:effectExtent l="0" t="0" r="2540" b="1270"/>
            <wp:docPr id="18772519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251924" name="图片 187725192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2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14:paraId="7899F2A0" w14:textId="77777777" w:rsidR="0089180A" w:rsidRDefault="0089180A" w:rsidP="0089180A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CF6A3F">
        <w:rPr>
          <w:rFonts w:ascii="Arial" w:hAnsi="Arial" w:cs="Arial"/>
          <w:b/>
          <w:bCs/>
          <w:kern w:val="0"/>
          <w:sz w:val="24"/>
          <w:szCs w:val="24"/>
          <w:lang w:val="en-GB"/>
        </w:rPr>
        <w:t>Fig. S1.</w:t>
      </w:r>
      <w:r w:rsidRPr="00CF6A3F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Basic information and subcellular distribution of RP4-694A7.2. </w:t>
      </w:r>
      <w:r w:rsidRPr="00CF6A3F">
        <w:rPr>
          <w:rFonts w:ascii="Arial" w:hAnsi="Arial" w:cs="Arial"/>
          <w:b/>
          <w:sz w:val="24"/>
          <w:szCs w:val="24"/>
          <w:lang w:val="en-GB"/>
        </w:rPr>
        <w:t>(A)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RP11-106E15.1 levels detected by RT</w:t>
      </w:r>
      <w:r w:rsidRPr="00CF6A3F">
        <w:rPr>
          <w:rFonts w:ascii="Cambria Math" w:hAnsi="Cambria Math" w:cs="Cambria Math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qPCR in primary </w:t>
      </w:r>
      <w:proofErr w:type="spellStart"/>
      <w:r w:rsidRPr="00CF6A3F">
        <w:rPr>
          <w:rFonts w:ascii="Arial" w:hAnsi="Arial" w:cs="Arial"/>
          <w:sz w:val="24"/>
          <w:szCs w:val="24"/>
          <w:lang w:val="en-GB"/>
        </w:rPr>
        <w:t>tumors</w:t>
      </w:r>
      <w:proofErr w:type="spellEnd"/>
      <w:r w:rsidRPr="00CF6A3F">
        <w:rPr>
          <w:rFonts w:ascii="Arial" w:hAnsi="Arial" w:cs="Arial"/>
          <w:sz w:val="24"/>
          <w:szCs w:val="24"/>
          <w:lang w:val="en-GB"/>
        </w:rPr>
        <w:t xml:space="preserve"> (X</w:t>
      </w:r>
      <w:r w:rsidRPr="00CF6A3F">
        <w:rPr>
          <w:rFonts w:ascii="Cambria Math" w:hAnsi="Cambria Math" w:cs="Cambria Math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sz w:val="24"/>
          <w:szCs w:val="24"/>
          <w:lang w:val="en-GB"/>
        </w:rPr>
        <w:t>1) and corresponding third</w:t>
      </w:r>
      <w:r w:rsidRPr="00CF6A3F">
        <w:rPr>
          <w:rFonts w:ascii="Cambria Math" w:hAnsi="Cambria Math" w:cs="Cambria Math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generation xenograft </w:t>
      </w:r>
      <w:proofErr w:type="spellStart"/>
      <w:r w:rsidRPr="00CF6A3F">
        <w:rPr>
          <w:rFonts w:ascii="Arial" w:hAnsi="Arial" w:cs="Arial"/>
          <w:sz w:val="24"/>
          <w:szCs w:val="24"/>
          <w:lang w:val="en-GB"/>
        </w:rPr>
        <w:t>tumors</w:t>
      </w:r>
      <w:proofErr w:type="spellEnd"/>
      <w:r w:rsidRPr="00CF6A3F">
        <w:rPr>
          <w:rFonts w:ascii="Arial" w:hAnsi="Arial" w:cs="Arial"/>
          <w:sz w:val="24"/>
          <w:szCs w:val="24"/>
          <w:lang w:val="en-GB"/>
        </w:rPr>
        <w:t xml:space="preserve"> (X</w:t>
      </w:r>
      <w:r w:rsidRPr="00CF6A3F">
        <w:rPr>
          <w:rFonts w:ascii="Cambria Math" w:hAnsi="Cambria Math" w:cs="Cambria Math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3). </w:t>
      </w:r>
      <w:r w:rsidRPr="00CF6A3F">
        <w:rPr>
          <w:rFonts w:ascii="Arial" w:hAnsi="Arial" w:cs="Arial"/>
          <w:i/>
          <w:iCs/>
          <w:sz w:val="24"/>
          <w:szCs w:val="24"/>
          <w:lang w:val="en-GB"/>
        </w:rPr>
        <w:t>n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= 6.</w:t>
      </w:r>
      <w:r w:rsidRPr="00CF6A3F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(B)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RP4-694A7.2 expression validated by RT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qPCR in primary cells transfected with siRNAs.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</w:t>
      </w:r>
      <w:proofErr w:type="gramStart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C,D</w:t>
      </w:r>
      <w:proofErr w:type="gramEnd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EdU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and CCK-8 assays assessing the proliferative capacity of primary cells following RP4-694A7.2 knockdown.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b/>
          <w:sz w:val="24"/>
          <w:szCs w:val="24"/>
          <w:lang w:val="en-GB"/>
        </w:rPr>
        <w:t>(E)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UCSC database analysis showing the location of RP4-694A7.2.</w:t>
      </w:r>
      <w:r w:rsidRPr="00CF6A3F">
        <w:rPr>
          <w:rFonts w:ascii="Arial" w:hAnsi="Arial" w:cs="Arial"/>
          <w:b/>
          <w:sz w:val="24"/>
          <w:szCs w:val="24"/>
          <w:lang w:val="en-GB"/>
        </w:rPr>
        <w:t xml:space="preserve"> (F)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Sequences of RP4-694A7.2 from the </w:t>
      </w:r>
      <w:proofErr w:type="spellStart"/>
      <w:r w:rsidRPr="00CF6A3F">
        <w:rPr>
          <w:rFonts w:ascii="Arial" w:hAnsi="Arial" w:cs="Arial"/>
          <w:sz w:val="24"/>
          <w:szCs w:val="24"/>
          <w:lang w:val="en-GB"/>
        </w:rPr>
        <w:t>Ensembl</w:t>
      </w:r>
      <w:proofErr w:type="spellEnd"/>
      <w:r w:rsidRPr="00CF6A3F">
        <w:rPr>
          <w:rFonts w:ascii="Arial" w:hAnsi="Arial" w:cs="Arial"/>
          <w:sz w:val="24"/>
          <w:szCs w:val="24"/>
          <w:lang w:val="en-GB"/>
        </w:rPr>
        <w:t xml:space="preserve"> genome browser database. </w:t>
      </w:r>
      <w:r w:rsidRPr="00CF6A3F">
        <w:rPr>
          <w:rFonts w:ascii="Arial" w:hAnsi="Arial" w:cs="Arial"/>
          <w:b/>
          <w:sz w:val="24"/>
          <w:szCs w:val="24"/>
          <w:lang w:val="en-GB"/>
        </w:rPr>
        <w:t>(</w:t>
      </w:r>
      <w:proofErr w:type="gramStart"/>
      <w:r w:rsidRPr="00CF6A3F">
        <w:rPr>
          <w:rFonts w:ascii="Arial" w:hAnsi="Arial" w:cs="Arial"/>
          <w:b/>
          <w:sz w:val="24"/>
          <w:szCs w:val="24"/>
          <w:lang w:val="en-GB"/>
        </w:rPr>
        <w:t>G,H</w:t>
      </w:r>
      <w:proofErr w:type="gramEnd"/>
      <w:r w:rsidRPr="00CF6A3F">
        <w:rPr>
          <w:rFonts w:ascii="Arial" w:hAnsi="Arial" w:cs="Arial"/>
          <w:b/>
          <w:sz w:val="24"/>
          <w:szCs w:val="24"/>
          <w:lang w:val="en-GB"/>
        </w:rPr>
        <w:t>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CF6A3F">
        <w:rPr>
          <w:rFonts w:ascii="Arial" w:hAnsi="Arial" w:cs="Arial"/>
          <w:sz w:val="24"/>
          <w:szCs w:val="24"/>
          <w:lang w:val="en-GB"/>
        </w:rPr>
        <w:t>ORFfinder</w:t>
      </w:r>
      <w:proofErr w:type="spellEnd"/>
      <w:r w:rsidRPr="00CF6A3F">
        <w:rPr>
          <w:rFonts w:ascii="Arial" w:hAnsi="Arial" w:cs="Arial"/>
          <w:sz w:val="24"/>
          <w:szCs w:val="24"/>
          <w:lang w:val="en-GB"/>
        </w:rPr>
        <w:t xml:space="preserve"> and CPC2 database analyses demonstrating the protein non</w:t>
      </w:r>
      <w:r w:rsidRPr="00CF6A3F">
        <w:rPr>
          <w:rFonts w:ascii="Cambria Math" w:hAnsi="Cambria Math" w:cs="Cambria Math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sz w:val="24"/>
          <w:szCs w:val="24"/>
          <w:lang w:val="en-GB"/>
        </w:rPr>
        <w:t>coding potential of RP4</w:t>
      </w:r>
      <w:r w:rsidRPr="00CF6A3F">
        <w:rPr>
          <w:rFonts w:ascii="Cambria Math" w:hAnsi="Cambria Math" w:cs="Cambria Math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694A7.2. </w:t>
      </w:r>
      <w:r w:rsidRPr="00CF6A3F">
        <w:rPr>
          <w:rFonts w:ascii="Arial" w:hAnsi="Arial" w:cs="Arial"/>
          <w:b/>
          <w:sz w:val="24"/>
          <w:szCs w:val="24"/>
          <w:lang w:val="en-GB"/>
        </w:rPr>
        <w:t>(I)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Subcellular distribution of RP4</w:t>
      </w:r>
      <w:r w:rsidRPr="00CF6A3F">
        <w:rPr>
          <w:rFonts w:ascii="Cambria Math" w:hAnsi="Cambria Math" w:cs="Cambria Math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sz w:val="24"/>
          <w:szCs w:val="24"/>
          <w:lang w:val="en-GB"/>
        </w:rPr>
        <w:t>694A7.2 determined by RT</w:t>
      </w:r>
      <w:r w:rsidRPr="00CF6A3F">
        <w:rPr>
          <w:rFonts w:ascii="Cambria Math" w:hAnsi="Cambria Math" w:cs="Cambria Math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qPCR in A549 cells; U6 and </w:t>
      </w:r>
      <w:r w:rsidRPr="00CF6A3F">
        <w:rPr>
          <w:rFonts w:ascii="Arial" w:hAnsi="Arial" w:cs="Arial"/>
          <w:sz w:val="24"/>
          <w:szCs w:val="24"/>
          <w:lang w:val="en-GB"/>
        </w:rPr>
        <w:lastRenderedPageBreak/>
        <w:t xml:space="preserve">GAPDH were used as nuclear and cytoplasmic controls, respectively. Data are presented as the mean ± SD from three independent experiments, with significance determined by Student’s </w:t>
      </w:r>
      <w:r w:rsidRPr="00CF6A3F">
        <w:rPr>
          <w:rFonts w:ascii="Arial" w:hAnsi="Arial" w:cs="Arial"/>
          <w:i/>
          <w:sz w:val="24"/>
          <w:szCs w:val="24"/>
          <w:lang w:val="en-GB"/>
        </w:rPr>
        <w:t>t</w:t>
      </w:r>
      <w:r w:rsidRPr="00CF6A3F">
        <w:rPr>
          <w:rFonts w:ascii="Arial" w:hAnsi="Arial" w:cs="Arial"/>
          <w:sz w:val="24"/>
          <w:szCs w:val="24"/>
          <w:lang w:val="en-GB"/>
        </w:rPr>
        <w:t>-test (***</w:t>
      </w:r>
      <w:r w:rsidRPr="00CF6A3F">
        <w:rPr>
          <w:rFonts w:ascii="Arial" w:hAnsi="Arial" w:cs="Arial"/>
          <w:i/>
          <w:sz w:val="24"/>
          <w:szCs w:val="24"/>
          <w:lang w:val="en-GB"/>
        </w:rPr>
        <w:t xml:space="preserve">P </w:t>
      </w:r>
      <w:r w:rsidRPr="00CF6A3F">
        <w:rPr>
          <w:rFonts w:ascii="Arial" w:hAnsi="Arial" w:cs="Arial"/>
          <w:sz w:val="24"/>
          <w:szCs w:val="24"/>
          <w:lang w:val="en-GB"/>
        </w:rPr>
        <w:t>&lt; 0.001; ns, not significant).</w:t>
      </w:r>
    </w:p>
    <w:p w14:paraId="0EED41D2" w14:textId="77777777" w:rsidR="004B5F0A" w:rsidRPr="00CF6A3F" w:rsidRDefault="004B5F0A" w:rsidP="0089180A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</w:p>
    <w:p w14:paraId="44FDCA8D" w14:textId="481B5B59" w:rsidR="0089180A" w:rsidRPr="00CF6A3F" w:rsidRDefault="00853077" w:rsidP="0089180A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noProof/>
          <w:sz w:val="24"/>
          <w:szCs w:val="24"/>
          <w:lang w:val="en-GB"/>
        </w:rPr>
        <w:drawing>
          <wp:inline distT="0" distB="0" distL="0" distR="0" wp14:anchorId="5C8C3A99" wp14:editId="236B441D">
            <wp:extent cx="5274310" cy="3509010"/>
            <wp:effectExtent l="0" t="0" r="2540" b="0"/>
            <wp:docPr id="21114141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414176" name="图片 211141417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F6C4F" w14:textId="5925DE03" w:rsidR="0089180A" w:rsidRPr="0004624D" w:rsidRDefault="0089180A" w:rsidP="0004624D">
      <w:pPr>
        <w:spacing w:line="480" w:lineRule="auto"/>
        <w:rPr>
          <w:rFonts w:ascii="Arial" w:hAnsi="Arial" w:cs="Arial" w:hint="eastAsia"/>
          <w:kern w:val="0"/>
          <w:sz w:val="24"/>
          <w:szCs w:val="24"/>
          <w:lang w:val="en-GB"/>
        </w:rPr>
      </w:pPr>
      <w:r w:rsidRPr="00CF6A3F">
        <w:rPr>
          <w:rFonts w:ascii="Arial" w:hAnsi="Arial" w:cs="Arial"/>
          <w:b/>
          <w:bCs/>
          <w:kern w:val="0"/>
          <w:sz w:val="24"/>
          <w:szCs w:val="24"/>
          <w:lang w:val="en-GB"/>
        </w:rPr>
        <w:t>Fig. S2.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Knockdown of RP4-694A7.2 inhibits A549 cell proliferation.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</w:t>
      </w:r>
      <w:r w:rsidRPr="00CF6A3F">
        <w:rPr>
          <w:rFonts w:ascii="Arial" w:hAnsi="Arial" w:cs="Arial"/>
          <w:b/>
          <w:sz w:val="24"/>
          <w:szCs w:val="24"/>
          <w:lang w:val="en-GB"/>
        </w:rPr>
        <w:t>A)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Validation of RP4-694A7.2 expression in A549 cells transfected with siRNAs.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(B–D)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CCK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8, colony formation, and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EdU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assays assessing the proliferation of A549 cells following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694A7.2 knockdown. Scale bar: 200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μm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>.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 (E)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Cell cycle analysis by flow cytometry of PI-stained A549 cells.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(F)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Western blot analysis of PCNA, CDK4, CDK6, and p27 expression in A549 cells with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694A7.2 knockdown.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Data are presented as the mean ± SD from three independent experiments, with significance determined by Student’s </w:t>
      </w:r>
      <w:r w:rsidRPr="00CF6A3F">
        <w:rPr>
          <w:rFonts w:ascii="Arial" w:hAnsi="Arial" w:cs="Arial"/>
          <w:i/>
          <w:kern w:val="0"/>
          <w:sz w:val="24"/>
          <w:szCs w:val="24"/>
          <w:lang w:val="en-GB"/>
        </w:rPr>
        <w:t>t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-test (**</w:t>
      </w:r>
      <w:r w:rsidRPr="00CF6A3F">
        <w:rPr>
          <w:rFonts w:ascii="Arial" w:hAnsi="Arial" w:cs="Arial"/>
          <w:i/>
          <w:kern w:val="0"/>
          <w:sz w:val="24"/>
          <w:szCs w:val="24"/>
          <w:lang w:val="en-GB"/>
        </w:rPr>
        <w:t xml:space="preserve">P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&lt; 0.01, ***</w:t>
      </w:r>
      <w:r w:rsidRPr="00CF6A3F">
        <w:rPr>
          <w:rFonts w:ascii="Arial" w:hAnsi="Arial" w:cs="Arial"/>
          <w:i/>
          <w:kern w:val="0"/>
          <w:sz w:val="24"/>
          <w:szCs w:val="24"/>
          <w:lang w:val="en-GB"/>
        </w:rPr>
        <w:t xml:space="preserve">P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&lt; 0.001).</w:t>
      </w:r>
    </w:p>
    <w:p w14:paraId="79AE4955" w14:textId="0D0D4057" w:rsidR="00853077" w:rsidRDefault="00853077" w:rsidP="0089180A">
      <w:pPr>
        <w:spacing w:line="480" w:lineRule="auto"/>
        <w:rPr>
          <w:rFonts w:ascii="Arial" w:hAnsi="Arial" w:cs="Arial"/>
          <w:b/>
          <w:bCs/>
          <w:kern w:val="0"/>
          <w:sz w:val="24"/>
          <w:szCs w:val="24"/>
          <w:lang w:val="en-GB"/>
        </w:rPr>
      </w:pPr>
      <w:r>
        <w:rPr>
          <w:rFonts w:ascii="Arial" w:hAnsi="Arial" w:cs="Arial"/>
          <w:b/>
          <w:bCs/>
          <w:noProof/>
          <w:kern w:val="0"/>
          <w:sz w:val="24"/>
          <w:szCs w:val="24"/>
          <w:lang w:val="en-GB"/>
        </w:rPr>
        <w:lastRenderedPageBreak/>
        <w:drawing>
          <wp:inline distT="0" distB="0" distL="0" distR="0" wp14:anchorId="5069F224" wp14:editId="49148BF8">
            <wp:extent cx="5274310" cy="5888990"/>
            <wp:effectExtent l="0" t="0" r="2540" b="0"/>
            <wp:docPr id="1560609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60939" name="图片 1560609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8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AF562" w14:textId="3C89487A" w:rsidR="0089180A" w:rsidRPr="00CF6A3F" w:rsidRDefault="0089180A" w:rsidP="0089180A">
      <w:pPr>
        <w:spacing w:line="480" w:lineRule="auto"/>
        <w:rPr>
          <w:rFonts w:ascii="Arial" w:hAnsi="Arial" w:cs="Arial"/>
          <w:kern w:val="0"/>
          <w:sz w:val="24"/>
          <w:szCs w:val="24"/>
          <w:lang w:val="en-GB"/>
        </w:rPr>
      </w:pPr>
      <w:r w:rsidRPr="00CF6A3F">
        <w:rPr>
          <w:rFonts w:ascii="Arial" w:hAnsi="Arial" w:cs="Arial"/>
          <w:b/>
          <w:bCs/>
          <w:kern w:val="0"/>
          <w:sz w:val="24"/>
          <w:szCs w:val="24"/>
          <w:lang w:val="en-GB"/>
        </w:rPr>
        <w:t>Fig. S3.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RP4-694A7.2 interacts with YBX1 to drive NSCLC cell proliferation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(A)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The most frequently detected RNA-binding motifs predicted to interact with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694A7.2 according to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catRAPID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database analysis.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b/>
          <w:sz w:val="24"/>
          <w:szCs w:val="24"/>
          <w:lang w:val="en-GB"/>
        </w:rPr>
        <w:t xml:space="preserve">(B) </w:t>
      </w:r>
      <w:r w:rsidRPr="00CF6A3F">
        <w:rPr>
          <w:rFonts w:ascii="Arial" w:hAnsi="Arial" w:cs="Arial"/>
          <w:sz w:val="24"/>
          <w:szCs w:val="24"/>
          <w:lang w:val="en-GB"/>
        </w:rPr>
        <w:t>Correlation of RP4</w:t>
      </w:r>
      <w:r w:rsidRPr="00CF6A3F">
        <w:rPr>
          <w:rFonts w:ascii="Cambria Math" w:hAnsi="Cambria Math" w:cs="Cambria Math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694A7.2 and YBX1 expression in NSCLC </w:t>
      </w:r>
      <w:proofErr w:type="spellStart"/>
      <w:r w:rsidRPr="00CF6A3F">
        <w:rPr>
          <w:rFonts w:ascii="Arial" w:hAnsi="Arial" w:cs="Arial"/>
          <w:sz w:val="24"/>
          <w:szCs w:val="24"/>
          <w:lang w:val="en-GB"/>
        </w:rPr>
        <w:t>analyzed</w:t>
      </w:r>
      <w:proofErr w:type="spellEnd"/>
      <w:r w:rsidRPr="00CF6A3F">
        <w:rPr>
          <w:rFonts w:ascii="Arial" w:hAnsi="Arial" w:cs="Arial"/>
          <w:sz w:val="24"/>
          <w:szCs w:val="24"/>
          <w:lang w:val="en-GB"/>
        </w:rPr>
        <w:t xml:space="preserve"> with GEPIA2. </w:t>
      </w:r>
      <w:r w:rsidRPr="00CF6A3F">
        <w:rPr>
          <w:rFonts w:ascii="Arial" w:hAnsi="Arial" w:cs="Arial"/>
          <w:b/>
          <w:sz w:val="24"/>
          <w:szCs w:val="24"/>
          <w:lang w:val="en-GB"/>
        </w:rPr>
        <w:t>(C)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Specific association between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694A7.2 and YBX1 in A549 cells validated by RNA pull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down and RIP assays.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</w:t>
      </w:r>
      <w:proofErr w:type="gramStart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D,E</w:t>
      </w:r>
      <w:proofErr w:type="gramEnd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YBX1 mRNA expression measured by RT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qPCR in NSCLC cells following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694A7.2 knockdown or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lastRenderedPageBreak/>
        <w:t>overexpression.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 (F) </w:t>
      </w:r>
      <w:r w:rsidRPr="00CF6A3F">
        <w:rPr>
          <w:rFonts w:ascii="Arial" w:hAnsi="Arial" w:cs="Arial"/>
          <w:sz w:val="24"/>
          <w:szCs w:val="24"/>
          <w:lang w:val="en-GB"/>
        </w:rPr>
        <w:t>YBX1 protein expression assessed by western blotting in A549 cells following RP4</w:t>
      </w:r>
      <w:r w:rsidRPr="00CF6A3F">
        <w:rPr>
          <w:rFonts w:ascii="Cambria Math" w:hAnsi="Cambria Math" w:cs="Cambria Math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694A7.2 knockdown. </w:t>
      </w:r>
      <w:r w:rsidRPr="00CF6A3F">
        <w:rPr>
          <w:rFonts w:ascii="Arial" w:hAnsi="Arial" w:cs="Arial"/>
          <w:b/>
          <w:sz w:val="24"/>
          <w:szCs w:val="24"/>
          <w:lang w:val="en-GB"/>
        </w:rPr>
        <w:t>(</w:t>
      </w:r>
      <w:proofErr w:type="gramStart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G,H</w:t>
      </w:r>
      <w:proofErr w:type="gramEnd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YBX1 protein levels in NSCLC cells with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694A7.2 knockdown or overexpression, treated with </w:t>
      </w:r>
      <w:r w:rsidRPr="00CF6A3F">
        <w:rPr>
          <w:rFonts w:ascii="Arial" w:hAnsi="Arial" w:cs="Arial"/>
          <w:kern w:val="0"/>
          <w:sz w:val="24"/>
          <w:szCs w:val="24"/>
        </w:rPr>
        <w:t xml:space="preserve">Chloroquine (CQ, 20 </w:t>
      </w:r>
      <w:proofErr w:type="spellStart"/>
      <w:r w:rsidRPr="00CF6A3F">
        <w:rPr>
          <w:rFonts w:ascii="Arial" w:hAnsi="Arial" w:cs="Arial"/>
          <w:kern w:val="0"/>
          <w:sz w:val="24"/>
          <w:szCs w:val="24"/>
        </w:rPr>
        <w:t>μM</w:t>
      </w:r>
      <w:proofErr w:type="spellEnd"/>
      <w:r w:rsidRPr="00CF6A3F">
        <w:rPr>
          <w:rFonts w:ascii="Arial" w:hAnsi="Arial" w:cs="Arial"/>
          <w:kern w:val="0"/>
          <w:sz w:val="24"/>
          <w:szCs w:val="24"/>
        </w:rPr>
        <w:t>, 5 h),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determined by western blotting.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</w:t>
      </w:r>
      <w:proofErr w:type="gramStart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I,J</w:t>
      </w:r>
      <w:proofErr w:type="gramEnd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RT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qPCR and western blotting assays validating YBX1 expression in NSCLC cells with YBX1 knockdown.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(K–M)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CCK-8, colony formation, and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EdU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assays to assess the proliferation of A549 cells with YBX1 knockdown. Scale bar: 200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μm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(N)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Western blot analysis to determine the expression of PCNA, CDK4, CDK6, and p27</w:t>
      </w:r>
      <w:r w:rsidRPr="00CF6A3F">
        <w:rPr>
          <w:rFonts w:ascii="Arial" w:hAnsi="Arial" w:cs="Arial"/>
          <w:kern w:val="0"/>
          <w:sz w:val="24"/>
          <w:szCs w:val="24"/>
          <w:vertAlign w:val="superscript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in A549 cells with YBX1 knockdown.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</w:t>
      </w:r>
      <w:r w:rsidRPr="00CF6A3F">
        <w:rPr>
          <w:rFonts w:ascii="Arial" w:hAnsi="Arial" w:cs="Arial"/>
          <w:b/>
          <w:sz w:val="24"/>
          <w:szCs w:val="24"/>
          <w:lang w:val="en-GB"/>
        </w:rPr>
        <w:t>O)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CF6A3F">
        <w:rPr>
          <w:rFonts w:ascii="Arial" w:hAnsi="Arial" w:cs="Arial"/>
          <w:sz w:val="24"/>
          <w:szCs w:val="24"/>
          <w:lang w:val="en-GB"/>
        </w:rPr>
        <w:t>EdU</w:t>
      </w:r>
      <w:proofErr w:type="spellEnd"/>
      <w:r w:rsidRPr="00CF6A3F">
        <w:rPr>
          <w:rFonts w:ascii="Arial" w:hAnsi="Arial" w:cs="Arial"/>
          <w:sz w:val="24"/>
          <w:szCs w:val="24"/>
          <w:lang w:val="en-GB"/>
        </w:rPr>
        <w:t xml:space="preserve"> assay assessing the proliferation of RP4</w:t>
      </w:r>
      <w:r w:rsidRPr="00CF6A3F">
        <w:rPr>
          <w:rFonts w:ascii="Cambria Math" w:hAnsi="Cambria Math" w:cs="Cambria Math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sz w:val="24"/>
          <w:szCs w:val="24"/>
          <w:lang w:val="en-GB"/>
        </w:rPr>
        <w:t>694A7.2</w:t>
      </w:r>
      <w:r w:rsidRPr="00CF6A3F">
        <w:rPr>
          <w:rFonts w:ascii="Cambria Math" w:hAnsi="Cambria Math" w:cs="Cambria Math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sz w:val="24"/>
          <w:szCs w:val="24"/>
          <w:lang w:val="en-GB"/>
        </w:rPr>
        <w:t>overexpressing NCI</w:t>
      </w:r>
      <w:r w:rsidRPr="00CF6A3F">
        <w:rPr>
          <w:rFonts w:ascii="Cambria Math" w:hAnsi="Cambria Math" w:cs="Cambria Math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H520 cells with YBX1 knockdown. Scale bar: 200 </w:t>
      </w:r>
      <w:proofErr w:type="spellStart"/>
      <w:r w:rsidRPr="00CF6A3F">
        <w:rPr>
          <w:rFonts w:ascii="Arial" w:hAnsi="Arial" w:cs="Arial"/>
          <w:sz w:val="24"/>
          <w:szCs w:val="24"/>
          <w:lang w:val="en-GB"/>
        </w:rPr>
        <w:t>μm</w:t>
      </w:r>
      <w:proofErr w:type="spellEnd"/>
      <w:r w:rsidRPr="00CF6A3F">
        <w:rPr>
          <w:rFonts w:ascii="Arial" w:hAnsi="Arial" w:cs="Arial"/>
          <w:sz w:val="24"/>
          <w:szCs w:val="24"/>
          <w:lang w:val="en-GB"/>
        </w:rPr>
        <w:t>.</w:t>
      </w:r>
      <w:r w:rsidRPr="00CF6A3F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(P)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Western blot analysis of p27, PCNA, and YBX1 protein levels in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694A7.2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overexpressing NCI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H520 cells following YBX1 knockdown.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Data are presented as the mean ± SD from three independent experiments, with significance determined by Student’s </w:t>
      </w:r>
      <w:r w:rsidRPr="00CF6A3F">
        <w:rPr>
          <w:rFonts w:ascii="Arial" w:hAnsi="Arial" w:cs="Arial"/>
          <w:i/>
          <w:sz w:val="24"/>
          <w:szCs w:val="24"/>
          <w:lang w:val="en-GB"/>
        </w:rPr>
        <w:t>t</w:t>
      </w:r>
      <w:r w:rsidRPr="00CF6A3F">
        <w:rPr>
          <w:rFonts w:ascii="Arial" w:hAnsi="Arial" w:cs="Arial"/>
          <w:sz w:val="24"/>
          <w:szCs w:val="24"/>
          <w:lang w:val="en-GB"/>
        </w:rPr>
        <w:t>-test (***</w:t>
      </w:r>
      <w:r w:rsidRPr="00CF6A3F">
        <w:rPr>
          <w:rFonts w:ascii="Arial" w:hAnsi="Arial" w:cs="Arial"/>
          <w:i/>
          <w:sz w:val="24"/>
          <w:szCs w:val="24"/>
          <w:lang w:val="en-GB"/>
        </w:rPr>
        <w:t xml:space="preserve">P </w:t>
      </w:r>
      <w:r w:rsidRPr="00CF6A3F">
        <w:rPr>
          <w:rFonts w:ascii="Arial" w:hAnsi="Arial" w:cs="Arial"/>
          <w:sz w:val="24"/>
          <w:szCs w:val="24"/>
          <w:lang w:val="en-GB"/>
        </w:rPr>
        <w:t>&lt; 0.001).</w:t>
      </w:r>
    </w:p>
    <w:p w14:paraId="4A246C8B" w14:textId="77777777" w:rsidR="0089180A" w:rsidRDefault="0089180A" w:rsidP="0089180A">
      <w:pPr>
        <w:widowControl/>
        <w:spacing w:line="480" w:lineRule="auto"/>
        <w:jc w:val="left"/>
        <w:rPr>
          <w:rFonts w:ascii="Arial" w:hAnsi="Arial" w:cs="Arial"/>
          <w:sz w:val="24"/>
          <w:szCs w:val="24"/>
          <w:lang w:val="en-GB"/>
        </w:rPr>
      </w:pPr>
    </w:p>
    <w:p w14:paraId="14861FF5" w14:textId="4E4A8BAC" w:rsidR="00853077" w:rsidRPr="00CF6A3F" w:rsidRDefault="00853077" w:rsidP="0089180A">
      <w:pPr>
        <w:widowControl/>
        <w:spacing w:line="480" w:lineRule="auto"/>
        <w:jc w:val="left"/>
        <w:rPr>
          <w:rFonts w:ascii="Arial" w:hAnsi="Arial" w:cs="Arial" w:hint="eastAsia"/>
          <w:sz w:val="24"/>
          <w:szCs w:val="24"/>
          <w:lang w:val="en-GB"/>
        </w:rPr>
      </w:pPr>
      <w:r>
        <w:rPr>
          <w:rFonts w:ascii="Arial" w:hAnsi="Arial" w:cs="Arial" w:hint="eastAsia"/>
          <w:noProof/>
          <w:sz w:val="24"/>
          <w:szCs w:val="24"/>
          <w:lang w:val="en-GB"/>
        </w:rPr>
        <w:lastRenderedPageBreak/>
        <w:drawing>
          <wp:inline distT="0" distB="0" distL="0" distR="0" wp14:anchorId="1CDD1968" wp14:editId="78B2D04E">
            <wp:extent cx="5274310" cy="5484495"/>
            <wp:effectExtent l="0" t="0" r="2540" b="1905"/>
            <wp:docPr id="183893766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937662" name="图片 183893766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8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4F652" w14:textId="77777777" w:rsidR="0089180A" w:rsidRPr="00CF6A3F" w:rsidRDefault="0089180A" w:rsidP="0089180A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CF6A3F">
        <w:rPr>
          <w:rFonts w:ascii="Arial" w:hAnsi="Arial" w:cs="Arial"/>
          <w:b/>
          <w:bCs/>
          <w:kern w:val="0"/>
          <w:sz w:val="24"/>
          <w:szCs w:val="24"/>
          <w:lang w:val="en-GB"/>
        </w:rPr>
        <w:t>Fig. S4.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WWP2 functions as an E3 ubiquitin ligase for YBX1 ubiquitination.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(A)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Correlation of YBX1 expression with PRPF19 or ITCH expression in NSCLC according to GEPIA2 database.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(B)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Endogenous interaction between YBX1 and WWP2 assessed by co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IP assay in A549 cells.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(C)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YBX1 protein levels detected by western blotting in NSCLC cells with WWP2 knockdown.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(D)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YBX1 mRNA expression measured by RT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qPCR in NSCLC cells upon WWP2 overexpression or knockdown.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(E)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NSCLC cells with WWP2 knockdown were treated with CHX (50 µg/mL) and harvested at the indicated time points for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lastRenderedPageBreak/>
        <w:t xml:space="preserve">western blot analysis. The right panel shows quantitative analysis of YBX1 protein levels.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(F)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NSCLC cells with WWP2 knockdown were treated with MG132 (20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μM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>, 5 h) before harvest, followed by western blotting.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 (G)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Effects of WWP2 knockdown on ubiquitination of YBX1 in NSCLC cells. IB was performed with anti-Ub after cell lysates had been subjected to </w:t>
      </w:r>
      <w:bookmarkStart w:id="2" w:name="OLE_LINK99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IP </w:t>
      </w:r>
      <w:bookmarkEnd w:id="2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with YBX1 beads. Cells were treated with MG132 (20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μM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, 5 h) before harvest.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(H)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NCI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H520 cells were co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transfected with Flag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WWP2 or vector plasmids, along with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Myc</w:t>
      </w:r>
      <w:proofErr w:type="spellEnd"/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Ub or its ubiquitin chain mutants (K48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linked or K63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linked). Denaturing IP was performed, and the indicated proteins were detected by western blotting.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(I)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WWP2 mRNA expression measured by RT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qPCR in NSCLC cells following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694A7.2 knockdown or overexpression.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(J)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WWP2 protein expression assessed by western blotting in NSCLC cells following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694A7.2 knockdown or overexpression.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Data are presented as the mean ± SD from three independent experiments, with significance determined by Student’s </w:t>
      </w:r>
      <w:r w:rsidRPr="00CF6A3F">
        <w:rPr>
          <w:rFonts w:ascii="Arial" w:hAnsi="Arial" w:cs="Arial"/>
          <w:i/>
          <w:sz w:val="24"/>
          <w:szCs w:val="24"/>
          <w:lang w:val="en-GB"/>
        </w:rPr>
        <w:t>t</w:t>
      </w:r>
      <w:r w:rsidRPr="00CF6A3F">
        <w:rPr>
          <w:rFonts w:ascii="Arial" w:hAnsi="Arial" w:cs="Arial"/>
          <w:sz w:val="24"/>
          <w:szCs w:val="24"/>
          <w:lang w:val="en-GB"/>
        </w:rPr>
        <w:t>-test (***P &lt; 0.001; ns, not significant).</w:t>
      </w:r>
    </w:p>
    <w:p w14:paraId="264AA239" w14:textId="77777777" w:rsidR="0089180A" w:rsidRDefault="0089180A" w:rsidP="0089180A">
      <w:pPr>
        <w:widowControl/>
        <w:spacing w:line="480" w:lineRule="auto"/>
        <w:jc w:val="left"/>
        <w:rPr>
          <w:rFonts w:ascii="Arial" w:hAnsi="Arial" w:cs="Arial"/>
          <w:sz w:val="24"/>
          <w:szCs w:val="24"/>
          <w:lang w:val="en-GB"/>
        </w:rPr>
      </w:pPr>
    </w:p>
    <w:p w14:paraId="672C90E1" w14:textId="146E4F82" w:rsidR="00853077" w:rsidRPr="00CF6A3F" w:rsidRDefault="00853077" w:rsidP="0089180A">
      <w:pPr>
        <w:widowControl/>
        <w:spacing w:line="480" w:lineRule="auto"/>
        <w:jc w:val="left"/>
        <w:rPr>
          <w:rFonts w:ascii="Arial" w:hAnsi="Arial" w:cs="Arial" w:hint="eastAsia"/>
          <w:sz w:val="24"/>
          <w:szCs w:val="24"/>
          <w:lang w:val="en-GB"/>
        </w:rPr>
      </w:pPr>
      <w:r>
        <w:rPr>
          <w:rFonts w:ascii="Arial" w:hAnsi="Arial" w:cs="Arial" w:hint="eastAsia"/>
          <w:noProof/>
          <w:sz w:val="24"/>
          <w:szCs w:val="24"/>
          <w:lang w:val="en-GB"/>
        </w:rPr>
        <w:lastRenderedPageBreak/>
        <w:drawing>
          <wp:inline distT="0" distB="0" distL="0" distR="0" wp14:anchorId="66ECD869" wp14:editId="311FACE6">
            <wp:extent cx="5274310" cy="3827145"/>
            <wp:effectExtent l="0" t="0" r="2540" b="1905"/>
            <wp:docPr id="15220932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09326" name="图片 15220932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E370E" w14:textId="77777777" w:rsidR="0089180A" w:rsidRPr="00CF6A3F" w:rsidRDefault="0089180A" w:rsidP="0089180A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CF6A3F">
        <w:rPr>
          <w:rFonts w:ascii="Arial" w:hAnsi="Arial" w:cs="Arial"/>
          <w:b/>
          <w:bCs/>
          <w:kern w:val="0"/>
          <w:sz w:val="24"/>
          <w:szCs w:val="24"/>
          <w:lang w:val="en-GB"/>
        </w:rPr>
        <w:t>Fig. S5.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RP4-694A7.2 regulates YBX1 nuclear import and interacts with KPNA2 in A549 cells.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(A)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Effects of RP4-694A7.2 knockdown on nuclear import of YBX1, examined by western blotting using cytoplasmic (C) and nuclear (N) fractions from A549 cells.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(B)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Endogenous interaction between YBX1 and KPNA2 assessed by co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IP assay in A549 cells.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</w:t>
      </w:r>
      <w:proofErr w:type="gramStart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C,D</w:t>
      </w:r>
      <w:proofErr w:type="gramEnd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Specific association between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694A7.2 and KPNA2 in A549 cells validated by RIP and RNA pull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down assays.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Data are presented as the mean ± SD from three independent experiments, with significance determined by Student’s </w:t>
      </w:r>
      <w:r w:rsidRPr="00CF6A3F">
        <w:rPr>
          <w:rFonts w:ascii="Arial" w:hAnsi="Arial" w:cs="Arial"/>
          <w:i/>
          <w:sz w:val="24"/>
          <w:szCs w:val="24"/>
          <w:lang w:val="en-GB"/>
        </w:rPr>
        <w:t>t</w:t>
      </w:r>
      <w:r w:rsidRPr="00CF6A3F">
        <w:rPr>
          <w:rFonts w:ascii="Arial" w:hAnsi="Arial" w:cs="Arial"/>
          <w:sz w:val="24"/>
          <w:szCs w:val="24"/>
          <w:lang w:val="en-GB"/>
        </w:rPr>
        <w:t>-test (**</w:t>
      </w:r>
      <w:r w:rsidRPr="00CF6A3F">
        <w:rPr>
          <w:rFonts w:ascii="Arial" w:hAnsi="Arial" w:cs="Arial"/>
          <w:i/>
          <w:sz w:val="24"/>
          <w:szCs w:val="24"/>
          <w:lang w:val="en-GB"/>
        </w:rPr>
        <w:t xml:space="preserve">P </w:t>
      </w:r>
      <w:r w:rsidRPr="00CF6A3F">
        <w:rPr>
          <w:rFonts w:ascii="Arial" w:hAnsi="Arial" w:cs="Arial"/>
          <w:sz w:val="24"/>
          <w:szCs w:val="24"/>
          <w:lang w:val="en-GB"/>
        </w:rPr>
        <w:t>&lt; 0.01).</w:t>
      </w:r>
    </w:p>
    <w:p w14:paraId="25D2DF77" w14:textId="77777777" w:rsidR="0089180A" w:rsidRDefault="0089180A" w:rsidP="0089180A">
      <w:pPr>
        <w:widowControl/>
        <w:spacing w:line="480" w:lineRule="auto"/>
        <w:jc w:val="left"/>
        <w:rPr>
          <w:rFonts w:ascii="Arial" w:hAnsi="Arial" w:cs="Arial"/>
          <w:sz w:val="24"/>
          <w:szCs w:val="24"/>
          <w:lang w:val="en-GB"/>
        </w:rPr>
      </w:pPr>
    </w:p>
    <w:p w14:paraId="18BF6905" w14:textId="54BE0C4A" w:rsidR="00853077" w:rsidRPr="00CF6A3F" w:rsidRDefault="00853077" w:rsidP="0089180A">
      <w:pPr>
        <w:widowControl/>
        <w:spacing w:line="480" w:lineRule="auto"/>
        <w:jc w:val="left"/>
        <w:rPr>
          <w:rFonts w:ascii="Arial" w:hAnsi="Arial" w:cs="Arial" w:hint="eastAsia"/>
          <w:sz w:val="24"/>
          <w:szCs w:val="24"/>
          <w:lang w:val="en-GB"/>
        </w:rPr>
      </w:pPr>
      <w:r>
        <w:rPr>
          <w:rFonts w:ascii="Arial" w:hAnsi="Arial" w:cs="Arial" w:hint="eastAsia"/>
          <w:noProof/>
          <w:sz w:val="24"/>
          <w:szCs w:val="24"/>
          <w:lang w:val="en-GB"/>
        </w:rPr>
        <w:lastRenderedPageBreak/>
        <w:drawing>
          <wp:inline distT="0" distB="0" distL="0" distR="0" wp14:anchorId="19EA593A" wp14:editId="59F7265B">
            <wp:extent cx="5274310" cy="5014595"/>
            <wp:effectExtent l="0" t="0" r="2540" b="0"/>
            <wp:docPr id="5542179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21799" name="图片 5542179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1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3A7BB" w14:textId="77777777" w:rsidR="0089180A" w:rsidRPr="00CF6A3F" w:rsidRDefault="0089180A" w:rsidP="0089180A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CF6A3F">
        <w:rPr>
          <w:rFonts w:ascii="Arial" w:hAnsi="Arial" w:cs="Arial"/>
          <w:b/>
          <w:bCs/>
          <w:kern w:val="0"/>
          <w:sz w:val="24"/>
          <w:szCs w:val="24"/>
          <w:lang w:val="en-GB"/>
        </w:rPr>
        <w:t>Fig. S6.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RP4-694A7.2 promotes NSCLC proliferation by activating DEPDC1 transcription via YBX1.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(A)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Subcellular localization of DEPDC1 in NSCLC cells determined by IF staining. Nuclei were counterstained with DAPI (blue), and DEPDC1 was stained green. Scale bar: 20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μm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>.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b/>
          <w:sz w:val="24"/>
          <w:szCs w:val="24"/>
          <w:lang w:val="en-GB"/>
        </w:rPr>
        <w:t>(B)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RT-qPCR analysis of DEPDC1 mRNA expression in NSCLC cells after RP4-694A7.2 knockdown or overexpression.</w:t>
      </w:r>
      <w:r w:rsidRPr="00CF6A3F">
        <w:rPr>
          <w:rFonts w:ascii="Arial" w:hAnsi="Arial" w:cs="Arial"/>
          <w:b/>
          <w:sz w:val="24"/>
          <w:szCs w:val="24"/>
          <w:lang w:val="en-GB"/>
        </w:rPr>
        <w:t xml:space="preserve"> (C)</w:t>
      </w:r>
      <w:r w:rsidRPr="00CF6A3F">
        <w:rPr>
          <w:rFonts w:ascii="Arial" w:hAnsi="Arial" w:cs="Arial"/>
          <w:b/>
          <w:sz w:val="24"/>
          <w:szCs w:val="24"/>
          <w:shd w:val="clear" w:color="auto" w:fill="FFFFFF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Western blot analysis of DEPDC1 protein expression in A549 cells following RP4-694A7.2 knockdown.</w:t>
      </w:r>
      <w:r w:rsidRPr="00CF6A3F" w:rsidDel="003036F0">
        <w:rPr>
          <w:rFonts w:ascii="Arial" w:hAnsi="Arial" w:cs="Arial"/>
          <w:kern w:val="0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</w:t>
      </w:r>
      <w:r w:rsidRPr="00CF6A3F">
        <w:rPr>
          <w:rFonts w:ascii="Arial" w:hAnsi="Arial" w:cs="Arial"/>
          <w:b/>
          <w:sz w:val="24"/>
          <w:szCs w:val="24"/>
          <w:lang w:val="en-GB"/>
        </w:rPr>
        <w:t>D)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RT-qPCR analysis of DEPDC1 mRNA expression in NSCLC cells after YBX1 knockdown or overexpression.</w:t>
      </w:r>
      <w:r w:rsidRPr="00CF6A3F">
        <w:rPr>
          <w:rFonts w:ascii="Arial" w:hAnsi="Arial" w:cs="Arial"/>
          <w:b/>
          <w:sz w:val="24"/>
          <w:szCs w:val="24"/>
          <w:lang w:val="en-GB"/>
        </w:rPr>
        <w:t xml:space="preserve"> (E)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Western blot analysis of DEPDC1 protein expression in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lastRenderedPageBreak/>
        <w:t>A549 cells following YBX1 knockdown.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b/>
          <w:sz w:val="24"/>
          <w:szCs w:val="24"/>
          <w:lang w:val="en-GB"/>
        </w:rPr>
        <w:t xml:space="preserve">(F)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YBX1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binding motif enriched in the DEPDC1 promoter predicted by JASPAR.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</w:t>
      </w:r>
      <w:proofErr w:type="gramStart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G,H</w:t>
      </w:r>
      <w:proofErr w:type="gramEnd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RT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qPCR and western blotting for DEPDC1 mRNA and protein expression, respectively, in NSCLC cells following DEPDC1 knockdown.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(I–K)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CCK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8, colony formation, and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EdU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assays assessing the proliferation of A549 cells with DEPDC1 knockdown. Scale bar: 200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μm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(L)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Western blot analysis of PCNA, CDK4, CDK6, and p27 expression in A549 cells with DEPDC1 knockdown.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(M)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EdU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assay validating proliferation of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694A7.2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overexpressing NCI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H520 cells following DEPDC1 knockdown. Scale bar: 200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μm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>.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 (N)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Western blot analysis of p27, PCNA, and DEPDC1 protein levels in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694A7.2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overexpressing NCI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H520 cells following DEPDC1 knockdown. 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Data are presented as the mean ± SD from three independent experiments, with significance determined by Student’s </w:t>
      </w:r>
      <w:r w:rsidRPr="00CF6A3F">
        <w:rPr>
          <w:rFonts w:ascii="Arial" w:hAnsi="Arial" w:cs="Arial"/>
          <w:i/>
          <w:sz w:val="24"/>
          <w:szCs w:val="24"/>
          <w:lang w:val="en-GB"/>
        </w:rPr>
        <w:t>t</w:t>
      </w:r>
      <w:r w:rsidRPr="00CF6A3F">
        <w:rPr>
          <w:rFonts w:ascii="Arial" w:hAnsi="Arial" w:cs="Arial"/>
          <w:sz w:val="24"/>
          <w:szCs w:val="24"/>
          <w:lang w:val="en-GB"/>
        </w:rPr>
        <w:t>-test (***</w:t>
      </w:r>
      <w:r w:rsidRPr="00CF6A3F">
        <w:rPr>
          <w:rFonts w:ascii="Arial" w:hAnsi="Arial" w:cs="Arial"/>
          <w:i/>
          <w:sz w:val="24"/>
          <w:szCs w:val="24"/>
          <w:lang w:val="en-GB"/>
        </w:rPr>
        <w:t xml:space="preserve">P </w:t>
      </w:r>
      <w:r w:rsidRPr="00CF6A3F">
        <w:rPr>
          <w:rFonts w:ascii="Arial" w:hAnsi="Arial" w:cs="Arial"/>
          <w:sz w:val="24"/>
          <w:szCs w:val="24"/>
          <w:lang w:val="en-GB"/>
        </w:rPr>
        <w:t>&lt; 0.001).</w:t>
      </w:r>
    </w:p>
    <w:p w14:paraId="43D6800F" w14:textId="77777777" w:rsidR="0089180A" w:rsidRDefault="0089180A" w:rsidP="0089180A">
      <w:pPr>
        <w:spacing w:line="480" w:lineRule="auto"/>
        <w:rPr>
          <w:rFonts w:ascii="Arial" w:hAnsi="Arial" w:cs="Arial"/>
          <w:kern w:val="0"/>
          <w:sz w:val="24"/>
          <w:szCs w:val="24"/>
          <w:lang w:val="en-GB"/>
        </w:rPr>
      </w:pPr>
    </w:p>
    <w:p w14:paraId="19C6A42D" w14:textId="27CFFA21" w:rsidR="00853077" w:rsidRPr="00CF6A3F" w:rsidRDefault="00853077" w:rsidP="0089180A">
      <w:pPr>
        <w:spacing w:line="480" w:lineRule="auto"/>
        <w:rPr>
          <w:rFonts w:ascii="Arial" w:hAnsi="Arial" w:cs="Arial" w:hint="eastAsia"/>
          <w:kern w:val="0"/>
          <w:sz w:val="24"/>
          <w:szCs w:val="24"/>
          <w:lang w:val="en-GB"/>
        </w:rPr>
      </w:pPr>
      <w:r>
        <w:rPr>
          <w:rFonts w:ascii="Arial" w:hAnsi="Arial" w:cs="Arial" w:hint="eastAsia"/>
          <w:noProof/>
          <w:kern w:val="0"/>
          <w:sz w:val="24"/>
          <w:szCs w:val="24"/>
          <w:lang w:val="en-GB"/>
        </w:rPr>
        <w:lastRenderedPageBreak/>
        <w:drawing>
          <wp:inline distT="0" distB="0" distL="0" distR="0" wp14:anchorId="70BB8074" wp14:editId="60C37FE9">
            <wp:extent cx="5274310" cy="4257675"/>
            <wp:effectExtent l="0" t="0" r="2540" b="9525"/>
            <wp:docPr id="195660633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606336" name="图片 195660633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B9219" w14:textId="77777777" w:rsidR="0089180A" w:rsidRPr="00CF6A3F" w:rsidRDefault="0089180A" w:rsidP="0089180A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CF6A3F">
        <w:rPr>
          <w:rFonts w:ascii="Arial" w:hAnsi="Arial" w:cs="Arial"/>
          <w:b/>
          <w:bCs/>
          <w:kern w:val="0"/>
          <w:sz w:val="24"/>
          <w:szCs w:val="24"/>
          <w:lang w:val="en-GB"/>
        </w:rPr>
        <w:t>Fig. S7.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The RP4-694A7.2/YBX1/DEPDC1 axis drives NSCLC growth via the </w:t>
      </w:r>
      <w:proofErr w:type="spellStart"/>
      <w:r w:rsidRPr="00CF6A3F">
        <w:rPr>
          <w:rFonts w:ascii="Arial" w:hAnsi="Arial" w:cs="Arial"/>
          <w:sz w:val="24"/>
          <w:szCs w:val="24"/>
          <w:lang w:val="en-GB"/>
        </w:rPr>
        <w:t>Wnt</w:t>
      </w:r>
      <w:proofErr w:type="spellEnd"/>
      <w:r w:rsidRPr="00CF6A3F">
        <w:rPr>
          <w:rFonts w:ascii="Arial" w:hAnsi="Arial" w:cs="Arial"/>
          <w:sz w:val="24"/>
          <w:szCs w:val="24"/>
          <w:lang w:val="en-GB"/>
        </w:rPr>
        <w:t xml:space="preserve">/β-catenin pathway.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(A)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Western blot analysis of β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catenin, cyclin D1, and c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Myc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protein levels in A549 cells with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694A7.2 knockdown.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(B)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β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catenin expression levels in the cytoplasmic (C) and nuclear (N) fractions of the indicated A549 cells, determined by subcellular fractionation.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(C)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Western blot analysis of β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catenin, cyclin D1, and c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Myc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protein levels in NSCLC cells after β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catenin knockdown with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si</w:t>
      </w:r>
      <w:proofErr w:type="spellEnd"/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β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catenin or IWR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1 treatment (20 µM, 24 h).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</w:t>
      </w:r>
      <w:proofErr w:type="gramStart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D,E</w:t>
      </w:r>
      <w:proofErr w:type="gramEnd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CCK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8 and colony formation assays assessing A549 cell proliferation upon β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catenin knockdown with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si</w:t>
      </w:r>
      <w:proofErr w:type="spellEnd"/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β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catenin or IWR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1.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(F)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Western blot analysis of PCNA, CDK4, CDK6, and p27</w:t>
      </w:r>
      <w:r w:rsidRPr="00CF6A3F">
        <w:rPr>
          <w:rFonts w:ascii="Arial" w:hAnsi="Arial" w:cs="Arial"/>
          <w:kern w:val="0"/>
          <w:sz w:val="24"/>
          <w:szCs w:val="24"/>
          <w:vertAlign w:val="superscript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expression in A549 cells after β-catenin knockdown with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si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>-β-catenin or IWR-1.</w:t>
      </w:r>
      <w:r w:rsidRPr="00CF6A3F" w:rsidDel="008F4317">
        <w:rPr>
          <w:rFonts w:ascii="Arial" w:hAnsi="Arial" w:cs="Arial"/>
          <w:kern w:val="0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(G)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Western blot analysis of p27, PCNA,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lastRenderedPageBreak/>
        <w:t>cyclin D1, c-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Myc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>, and β-catenin levels in RP4-694A7.2-overexpressing NCI-H520 cells following β-catenin knockdown (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si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-β-catenin or IWR-1).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(H)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EdU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assay validating proliferation in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694A7.2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overexpressing NCI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H520 cells following β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catenin knockdown (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si</w:t>
      </w:r>
      <w:proofErr w:type="spellEnd"/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β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catenin or IWR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1).</w:t>
      </w:r>
      <w:r w:rsidRPr="00CF6A3F">
        <w:rPr>
          <w:rFonts w:ascii="Arial" w:hAnsi="Arial" w:cs="Arial"/>
          <w:b/>
          <w:sz w:val="24"/>
          <w:szCs w:val="24"/>
          <w:lang w:val="en-GB"/>
        </w:rPr>
        <w:t xml:space="preserve"> (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I)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Western blot analysis of YBX1, cyclin D1, c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Myc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>, and β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catenin expression in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694A7.2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overexpressing NCI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H520 cells following YBX1 knockdown.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 (J)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Western blot analysis of cyclin D1, c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Myc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>, β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catenin, and DEPDC1 levels in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694A7.2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overexpressing NCI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H520 cells following DEPDC1 knockdown.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(K)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Representative IHC images showing YBX1, DEPDC1, and β-catenin expression in xenograft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tumors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(from Figure 2P). Scale bar: 50 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μm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>.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Data are presented as the mean ± SD from three independent experiments, with significance determined by Student’s </w:t>
      </w:r>
      <w:r w:rsidRPr="00CF6A3F">
        <w:rPr>
          <w:rFonts w:ascii="Arial" w:hAnsi="Arial" w:cs="Arial"/>
          <w:i/>
          <w:sz w:val="24"/>
          <w:szCs w:val="24"/>
          <w:lang w:val="en-GB"/>
        </w:rPr>
        <w:t>t</w:t>
      </w:r>
      <w:r w:rsidRPr="00CF6A3F">
        <w:rPr>
          <w:rFonts w:ascii="Arial" w:hAnsi="Arial" w:cs="Arial"/>
          <w:sz w:val="24"/>
          <w:szCs w:val="24"/>
          <w:lang w:val="en-GB"/>
        </w:rPr>
        <w:t>-test (***</w:t>
      </w:r>
      <w:r w:rsidRPr="00CF6A3F">
        <w:rPr>
          <w:rFonts w:ascii="Arial" w:hAnsi="Arial" w:cs="Arial"/>
          <w:i/>
          <w:sz w:val="24"/>
          <w:szCs w:val="24"/>
          <w:lang w:val="en-GB"/>
        </w:rPr>
        <w:t xml:space="preserve">P </w:t>
      </w:r>
      <w:r w:rsidRPr="00CF6A3F">
        <w:rPr>
          <w:rFonts w:ascii="Arial" w:hAnsi="Arial" w:cs="Arial"/>
          <w:sz w:val="24"/>
          <w:szCs w:val="24"/>
          <w:lang w:val="en-GB"/>
        </w:rPr>
        <w:t>&lt; 0.001).</w:t>
      </w:r>
    </w:p>
    <w:p w14:paraId="4C2089F8" w14:textId="77777777" w:rsidR="0089180A" w:rsidRDefault="0089180A" w:rsidP="0089180A">
      <w:pPr>
        <w:spacing w:line="480" w:lineRule="auto"/>
        <w:rPr>
          <w:rFonts w:ascii="Arial" w:hAnsi="Arial" w:cs="Arial"/>
          <w:b/>
          <w:kern w:val="0"/>
          <w:sz w:val="24"/>
          <w:szCs w:val="24"/>
          <w:lang w:val="en-GB"/>
        </w:rPr>
      </w:pPr>
    </w:p>
    <w:p w14:paraId="7028A0AF" w14:textId="31FE1141" w:rsidR="00853077" w:rsidRPr="00CF6A3F" w:rsidRDefault="00853077" w:rsidP="0089180A">
      <w:pPr>
        <w:spacing w:line="480" w:lineRule="auto"/>
        <w:rPr>
          <w:rFonts w:ascii="Arial" w:hAnsi="Arial" w:cs="Arial" w:hint="eastAsia"/>
          <w:b/>
          <w:kern w:val="0"/>
          <w:sz w:val="24"/>
          <w:szCs w:val="24"/>
          <w:lang w:val="en-GB"/>
        </w:rPr>
      </w:pPr>
      <w:r>
        <w:rPr>
          <w:rFonts w:ascii="Arial" w:hAnsi="Arial" w:cs="Arial" w:hint="eastAsia"/>
          <w:b/>
          <w:noProof/>
          <w:kern w:val="0"/>
          <w:sz w:val="24"/>
          <w:szCs w:val="24"/>
          <w:lang w:val="en-GB"/>
        </w:rPr>
        <w:drawing>
          <wp:inline distT="0" distB="0" distL="0" distR="0" wp14:anchorId="7AE8BA69" wp14:editId="4FB6A1F4">
            <wp:extent cx="5274310" cy="2718435"/>
            <wp:effectExtent l="0" t="0" r="2540" b="5715"/>
            <wp:docPr id="162668626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686260" name="图片 162668626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404F6" w14:textId="51EFAA63" w:rsidR="0089180A" w:rsidRPr="0089180A" w:rsidRDefault="0089180A" w:rsidP="00D44774">
      <w:pPr>
        <w:spacing w:line="480" w:lineRule="auto"/>
        <w:rPr>
          <w:rFonts w:ascii="Arial" w:hAnsi="Arial" w:cs="Arial" w:hint="eastAsia"/>
          <w:sz w:val="24"/>
          <w:szCs w:val="24"/>
          <w:lang w:val="en-GB"/>
        </w:rPr>
      </w:pPr>
      <w:r w:rsidRPr="00CF6A3F">
        <w:rPr>
          <w:rFonts w:ascii="Arial" w:hAnsi="Arial" w:cs="Arial"/>
          <w:b/>
          <w:bCs/>
          <w:kern w:val="0"/>
          <w:sz w:val="24"/>
          <w:szCs w:val="24"/>
          <w:lang w:val="en-GB"/>
        </w:rPr>
        <w:t>Fig. S8.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Role of RP4-694A7.2/YBX1/DEPDC1/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Wnt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>/β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catenin regulatory axis in NSCLC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primary cell growth. </w:t>
      </w:r>
      <w:r w:rsidRPr="00CF6A3F">
        <w:rPr>
          <w:rFonts w:ascii="Arial" w:hAnsi="Arial" w:cs="Arial"/>
          <w:b/>
          <w:kern w:val="0"/>
          <w:sz w:val="24"/>
          <w:szCs w:val="24"/>
          <w:u w:color="00B050"/>
          <w:lang w:val="en-GB"/>
        </w:rPr>
        <w:t xml:space="preserve">(A) </w:t>
      </w:r>
      <w:r w:rsidRPr="00CF6A3F">
        <w:rPr>
          <w:rFonts w:ascii="Arial" w:hAnsi="Arial" w:cs="Arial"/>
          <w:kern w:val="0"/>
          <w:sz w:val="24"/>
          <w:szCs w:val="24"/>
          <w:u w:color="00B050"/>
          <w:lang w:val="en-GB"/>
        </w:rPr>
        <w:t>Cell cycle analysis by flow cytometry of PI-</w:t>
      </w:r>
      <w:r w:rsidRPr="00CF6A3F">
        <w:rPr>
          <w:rFonts w:ascii="Arial" w:hAnsi="Arial" w:cs="Arial"/>
          <w:kern w:val="0"/>
          <w:sz w:val="24"/>
          <w:szCs w:val="24"/>
          <w:u w:color="00B050"/>
          <w:lang w:val="en-GB"/>
        </w:rPr>
        <w:lastRenderedPageBreak/>
        <w:t xml:space="preserve">stained primary cells. </w:t>
      </w:r>
      <w:r w:rsidRPr="00CF6A3F">
        <w:rPr>
          <w:rFonts w:ascii="Arial" w:hAnsi="Arial" w:cs="Arial"/>
          <w:b/>
          <w:kern w:val="0"/>
          <w:sz w:val="24"/>
          <w:szCs w:val="24"/>
          <w:u w:color="00B050"/>
          <w:lang w:val="en-GB"/>
        </w:rPr>
        <w:t>(B)</w:t>
      </w:r>
      <w:r w:rsidRPr="00CF6A3F">
        <w:rPr>
          <w:rFonts w:ascii="Arial" w:hAnsi="Arial" w:cs="Arial"/>
          <w:kern w:val="0"/>
          <w:sz w:val="24"/>
          <w:szCs w:val="24"/>
          <w:u w:color="00B050"/>
          <w:lang w:val="en-GB"/>
        </w:rPr>
        <w:t xml:space="preserve">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Western blot analysis of p27, CDK4, CDK6, and PCNA levels in primary cells following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694A7.2 knockdown. </w:t>
      </w:r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(</w:t>
      </w:r>
      <w:proofErr w:type="gramStart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>C,D</w:t>
      </w:r>
      <w:proofErr w:type="gramEnd"/>
      <w:r w:rsidRPr="00CF6A3F">
        <w:rPr>
          <w:rFonts w:ascii="Arial" w:hAnsi="Arial" w:cs="Arial"/>
          <w:b/>
          <w:kern w:val="0"/>
          <w:sz w:val="24"/>
          <w:szCs w:val="24"/>
          <w:lang w:val="en-GB"/>
        </w:rPr>
        <w:t xml:space="preserve">) 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Western blot analysis of YBX1, DEPDC1, β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>catenin, cyclin D1, and c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proofErr w:type="spellStart"/>
      <w:r w:rsidRPr="00CF6A3F">
        <w:rPr>
          <w:rFonts w:ascii="Arial" w:hAnsi="Arial" w:cs="Arial"/>
          <w:kern w:val="0"/>
          <w:sz w:val="24"/>
          <w:szCs w:val="24"/>
          <w:lang w:val="en-GB"/>
        </w:rPr>
        <w:t>Myc</w:t>
      </w:r>
      <w:proofErr w:type="spellEnd"/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 levels in primary cells following RP4</w:t>
      </w:r>
      <w:r w:rsidRPr="00CF6A3F">
        <w:rPr>
          <w:rFonts w:ascii="Cambria Math" w:hAnsi="Cambria Math" w:cs="Cambria Math"/>
          <w:kern w:val="0"/>
          <w:sz w:val="24"/>
          <w:szCs w:val="24"/>
          <w:lang w:val="en-GB"/>
        </w:rPr>
        <w:t>‑</w:t>
      </w:r>
      <w:r w:rsidRPr="00CF6A3F">
        <w:rPr>
          <w:rFonts w:ascii="Arial" w:hAnsi="Arial" w:cs="Arial"/>
          <w:kern w:val="0"/>
          <w:sz w:val="24"/>
          <w:szCs w:val="24"/>
          <w:lang w:val="en-GB"/>
        </w:rPr>
        <w:t xml:space="preserve">694A7.2 knockdown. </w:t>
      </w:r>
      <w:r w:rsidRPr="00CF6A3F">
        <w:rPr>
          <w:rFonts w:ascii="Arial" w:hAnsi="Arial" w:cs="Arial"/>
          <w:sz w:val="24"/>
          <w:szCs w:val="24"/>
          <w:lang w:val="en-GB"/>
        </w:rPr>
        <w:t xml:space="preserve">Data are presented as the mean ± SD from three independent experiments, with significance determined by Student’s </w:t>
      </w:r>
      <w:r w:rsidRPr="00CF6A3F">
        <w:rPr>
          <w:rFonts w:ascii="Arial" w:hAnsi="Arial" w:cs="Arial"/>
          <w:i/>
          <w:sz w:val="24"/>
          <w:szCs w:val="24"/>
          <w:lang w:val="en-GB"/>
        </w:rPr>
        <w:t>t</w:t>
      </w:r>
      <w:r w:rsidRPr="00CF6A3F">
        <w:rPr>
          <w:rFonts w:ascii="Arial" w:hAnsi="Arial" w:cs="Arial"/>
          <w:sz w:val="24"/>
          <w:szCs w:val="24"/>
          <w:lang w:val="en-GB"/>
        </w:rPr>
        <w:t>-test (***</w:t>
      </w:r>
      <w:r w:rsidRPr="00CF6A3F">
        <w:rPr>
          <w:rFonts w:ascii="Arial" w:hAnsi="Arial" w:cs="Arial"/>
          <w:i/>
          <w:sz w:val="24"/>
          <w:szCs w:val="24"/>
          <w:lang w:val="en-GB"/>
        </w:rPr>
        <w:t xml:space="preserve">P </w:t>
      </w:r>
      <w:r w:rsidRPr="00CF6A3F">
        <w:rPr>
          <w:rFonts w:ascii="Arial" w:hAnsi="Arial" w:cs="Arial"/>
          <w:sz w:val="24"/>
          <w:szCs w:val="24"/>
          <w:lang w:val="en-GB"/>
        </w:rPr>
        <w:t>&lt; 0.001).</w:t>
      </w:r>
    </w:p>
    <w:sectPr w:rsidR="0089180A" w:rsidRPr="0089180A" w:rsidSect="00D44774">
      <w:footerReference w:type="default" r:id="rId15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9105C" w14:textId="77777777" w:rsidR="00302775" w:rsidRDefault="00302775" w:rsidP="00EF3DCC">
      <w:pPr>
        <w:rPr>
          <w:rFonts w:hint="eastAsia"/>
        </w:rPr>
      </w:pPr>
      <w:r>
        <w:separator/>
      </w:r>
    </w:p>
  </w:endnote>
  <w:endnote w:type="continuationSeparator" w:id="0">
    <w:p w14:paraId="3DCA8705" w14:textId="77777777" w:rsidR="00302775" w:rsidRDefault="00302775" w:rsidP="00EF3DC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arnockPro-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1524039"/>
      <w:docPartObj>
        <w:docPartGallery w:val="Page Numbers (Bottom of Page)"/>
        <w:docPartUnique/>
      </w:docPartObj>
    </w:sdtPr>
    <w:sdtContent>
      <w:p w14:paraId="3E5BB6A7" w14:textId="098BB50B" w:rsidR="00D44774" w:rsidRDefault="00D44774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7AEC9DE" w14:textId="77777777" w:rsidR="00D44774" w:rsidRDefault="00D44774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E98D5" w14:textId="77777777" w:rsidR="00302775" w:rsidRDefault="00302775" w:rsidP="00EF3DCC">
      <w:pPr>
        <w:rPr>
          <w:rFonts w:hint="eastAsia"/>
        </w:rPr>
      </w:pPr>
      <w:r>
        <w:separator/>
      </w:r>
    </w:p>
  </w:footnote>
  <w:footnote w:type="continuationSeparator" w:id="0">
    <w:p w14:paraId="0518FAE2" w14:textId="77777777" w:rsidR="00302775" w:rsidRDefault="00302775" w:rsidP="00EF3DC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7B7"/>
    <w:rsid w:val="00000F84"/>
    <w:rsid w:val="00015225"/>
    <w:rsid w:val="00023128"/>
    <w:rsid w:val="000231E7"/>
    <w:rsid w:val="00025778"/>
    <w:rsid w:val="00026021"/>
    <w:rsid w:val="000312ED"/>
    <w:rsid w:val="0004624D"/>
    <w:rsid w:val="000517E4"/>
    <w:rsid w:val="0006266C"/>
    <w:rsid w:val="00072C65"/>
    <w:rsid w:val="0007346C"/>
    <w:rsid w:val="00074BDC"/>
    <w:rsid w:val="000750B0"/>
    <w:rsid w:val="00087721"/>
    <w:rsid w:val="000917B7"/>
    <w:rsid w:val="0009771A"/>
    <w:rsid w:val="000A1D02"/>
    <w:rsid w:val="000C054E"/>
    <w:rsid w:val="001276C5"/>
    <w:rsid w:val="00135C93"/>
    <w:rsid w:val="0014222C"/>
    <w:rsid w:val="00146D2D"/>
    <w:rsid w:val="00173C27"/>
    <w:rsid w:val="00185F39"/>
    <w:rsid w:val="001B605E"/>
    <w:rsid w:val="001E63C1"/>
    <w:rsid w:val="00207467"/>
    <w:rsid w:val="00215FFB"/>
    <w:rsid w:val="002216A2"/>
    <w:rsid w:val="002230A5"/>
    <w:rsid w:val="002268CA"/>
    <w:rsid w:val="00241BCE"/>
    <w:rsid w:val="00257A1B"/>
    <w:rsid w:val="00276BA2"/>
    <w:rsid w:val="0028619A"/>
    <w:rsid w:val="00291A65"/>
    <w:rsid w:val="002A1BB3"/>
    <w:rsid w:val="002A678C"/>
    <w:rsid w:val="002C7B2A"/>
    <w:rsid w:val="002D6542"/>
    <w:rsid w:val="002E34E3"/>
    <w:rsid w:val="002F2E4C"/>
    <w:rsid w:val="002F5F85"/>
    <w:rsid w:val="002F7EDB"/>
    <w:rsid w:val="003001A0"/>
    <w:rsid w:val="003013F1"/>
    <w:rsid w:val="00302775"/>
    <w:rsid w:val="0030319E"/>
    <w:rsid w:val="003044E1"/>
    <w:rsid w:val="00314ABA"/>
    <w:rsid w:val="003163FA"/>
    <w:rsid w:val="00330EFB"/>
    <w:rsid w:val="00334B27"/>
    <w:rsid w:val="00346E4E"/>
    <w:rsid w:val="00353303"/>
    <w:rsid w:val="00353957"/>
    <w:rsid w:val="003615BC"/>
    <w:rsid w:val="00365B11"/>
    <w:rsid w:val="00366042"/>
    <w:rsid w:val="00366352"/>
    <w:rsid w:val="00372DFB"/>
    <w:rsid w:val="0038000E"/>
    <w:rsid w:val="00383140"/>
    <w:rsid w:val="00383277"/>
    <w:rsid w:val="00385790"/>
    <w:rsid w:val="003872AA"/>
    <w:rsid w:val="003A2050"/>
    <w:rsid w:val="003A33DE"/>
    <w:rsid w:val="003A6DEA"/>
    <w:rsid w:val="003A7E7A"/>
    <w:rsid w:val="003B2A5D"/>
    <w:rsid w:val="003B5390"/>
    <w:rsid w:val="003D30A4"/>
    <w:rsid w:val="003F1122"/>
    <w:rsid w:val="004016C2"/>
    <w:rsid w:val="004037CB"/>
    <w:rsid w:val="00407602"/>
    <w:rsid w:val="00412ECE"/>
    <w:rsid w:val="00421FF3"/>
    <w:rsid w:val="0042374F"/>
    <w:rsid w:val="00424D5D"/>
    <w:rsid w:val="004329F3"/>
    <w:rsid w:val="00433A8A"/>
    <w:rsid w:val="004402CE"/>
    <w:rsid w:val="00442892"/>
    <w:rsid w:val="00443965"/>
    <w:rsid w:val="00450AF1"/>
    <w:rsid w:val="00481AA4"/>
    <w:rsid w:val="00491A2B"/>
    <w:rsid w:val="00493F93"/>
    <w:rsid w:val="004A340E"/>
    <w:rsid w:val="004A6E50"/>
    <w:rsid w:val="004B2866"/>
    <w:rsid w:val="004B39BC"/>
    <w:rsid w:val="004B5F0A"/>
    <w:rsid w:val="004B600F"/>
    <w:rsid w:val="004D38BA"/>
    <w:rsid w:val="004D7BF1"/>
    <w:rsid w:val="004E10EC"/>
    <w:rsid w:val="004F56DE"/>
    <w:rsid w:val="004F7E39"/>
    <w:rsid w:val="00505671"/>
    <w:rsid w:val="0050615F"/>
    <w:rsid w:val="00506C82"/>
    <w:rsid w:val="00545808"/>
    <w:rsid w:val="00551618"/>
    <w:rsid w:val="00563E5B"/>
    <w:rsid w:val="00576679"/>
    <w:rsid w:val="00590A5E"/>
    <w:rsid w:val="00596E6B"/>
    <w:rsid w:val="005A13D4"/>
    <w:rsid w:val="005A3F3C"/>
    <w:rsid w:val="005B53F8"/>
    <w:rsid w:val="005B5AA7"/>
    <w:rsid w:val="005C397F"/>
    <w:rsid w:val="005C4A6A"/>
    <w:rsid w:val="005D0C5B"/>
    <w:rsid w:val="005E51B5"/>
    <w:rsid w:val="005F30EC"/>
    <w:rsid w:val="0060275A"/>
    <w:rsid w:val="00604CF6"/>
    <w:rsid w:val="006055F5"/>
    <w:rsid w:val="006076D8"/>
    <w:rsid w:val="00611F9A"/>
    <w:rsid w:val="00635AAB"/>
    <w:rsid w:val="0064465D"/>
    <w:rsid w:val="006648D6"/>
    <w:rsid w:val="00673ADC"/>
    <w:rsid w:val="006775E2"/>
    <w:rsid w:val="00681492"/>
    <w:rsid w:val="0069343A"/>
    <w:rsid w:val="006A21B5"/>
    <w:rsid w:val="006A2500"/>
    <w:rsid w:val="006A2F21"/>
    <w:rsid w:val="006A5AF8"/>
    <w:rsid w:val="006B1519"/>
    <w:rsid w:val="006B4409"/>
    <w:rsid w:val="006B4870"/>
    <w:rsid w:val="006C2293"/>
    <w:rsid w:val="006D17E9"/>
    <w:rsid w:val="006D7CAA"/>
    <w:rsid w:val="006F0E41"/>
    <w:rsid w:val="00725C41"/>
    <w:rsid w:val="00727FBD"/>
    <w:rsid w:val="007304D8"/>
    <w:rsid w:val="00740A98"/>
    <w:rsid w:val="007412FA"/>
    <w:rsid w:val="00742BCB"/>
    <w:rsid w:val="007438D3"/>
    <w:rsid w:val="00752675"/>
    <w:rsid w:val="00755FE5"/>
    <w:rsid w:val="00762790"/>
    <w:rsid w:val="00766C66"/>
    <w:rsid w:val="007679C0"/>
    <w:rsid w:val="00774DFF"/>
    <w:rsid w:val="0079004A"/>
    <w:rsid w:val="007947B9"/>
    <w:rsid w:val="0079752E"/>
    <w:rsid w:val="007A0ACD"/>
    <w:rsid w:val="007A6074"/>
    <w:rsid w:val="007A6B64"/>
    <w:rsid w:val="007B2D50"/>
    <w:rsid w:val="007B573F"/>
    <w:rsid w:val="007D1571"/>
    <w:rsid w:val="007D23B7"/>
    <w:rsid w:val="007D49C9"/>
    <w:rsid w:val="007F45EB"/>
    <w:rsid w:val="00804964"/>
    <w:rsid w:val="00810478"/>
    <w:rsid w:val="00812885"/>
    <w:rsid w:val="008143B3"/>
    <w:rsid w:val="00817111"/>
    <w:rsid w:val="00824B5A"/>
    <w:rsid w:val="00833B0A"/>
    <w:rsid w:val="00840C03"/>
    <w:rsid w:val="00853077"/>
    <w:rsid w:val="00856C25"/>
    <w:rsid w:val="00856D6A"/>
    <w:rsid w:val="0086798B"/>
    <w:rsid w:val="00875791"/>
    <w:rsid w:val="00876AF9"/>
    <w:rsid w:val="00883044"/>
    <w:rsid w:val="008844FF"/>
    <w:rsid w:val="0089180A"/>
    <w:rsid w:val="00895E94"/>
    <w:rsid w:val="008A4049"/>
    <w:rsid w:val="008A4F6B"/>
    <w:rsid w:val="008A5885"/>
    <w:rsid w:val="008C5A8D"/>
    <w:rsid w:val="008C789F"/>
    <w:rsid w:val="008E019F"/>
    <w:rsid w:val="008E4419"/>
    <w:rsid w:val="009001B5"/>
    <w:rsid w:val="00907EE9"/>
    <w:rsid w:val="0091777B"/>
    <w:rsid w:val="009231FD"/>
    <w:rsid w:val="00927877"/>
    <w:rsid w:val="0093194E"/>
    <w:rsid w:val="00947576"/>
    <w:rsid w:val="00957DAE"/>
    <w:rsid w:val="00971936"/>
    <w:rsid w:val="009921E3"/>
    <w:rsid w:val="009A5E37"/>
    <w:rsid w:val="009C166D"/>
    <w:rsid w:val="009C471A"/>
    <w:rsid w:val="009D0921"/>
    <w:rsid w:val="009E2CDF"/>
    <w:rsid w:val="009F4ED6"/>
    <w:rsid w:val="00A030B1"/>
    <w:rsid w:val="00A05FA2"/>
    <w:rsid w:val="00A13670"/>
    <w:rsid w:val="00A15A39"/>
    <w:rsid w:val="00A166C1"/>
    <w:rsid w:val="00A22555"/>
    <w:rsid w:val="00A446E0"/>
    <w:rsid w:val="00A4689F"/>
    <w:rsid w:val="00A61F44"/>
    <w:rsid w:val="00A62F96"/>
    <w:rsid w:val="00A72E80"/>
    <w:rsid w:val="00A763AA"/>
    <w:rsid w:val="00A84783"/>
    <w:rsid w:val="00A90AEF"/>
    <w:rsid w:val="00AA288C"/>
    <w:rsid w:val="00AA3CD9"/>
    <w:rsid w:val="00AB0AAF"/>
    <w:rsid w:val="00AC1B5F"/>
    <w:rsid w:val="00AC784B"/>
    <w:rsid w:val="00AD4B6E"/>
    <w:rsid w:val="00AE0C91"/>
    <w:rsid w:val="00AE2DF5"/>
    <w:rsid w:val="00AE5386"/>
    <w:rsid w:val="00AE7118"/>
    <w:rsid w:val="00B03F49"/>
    <w:rsid w:val="00B17EE8"/>
    <w:rsid w:val="00B24C87"/>
    <w:rsid w:val="00B268DE"/>
    <w:rsid w:val="00B64BFD"/>
    <w:rsid w:val="00B76047"/>
    <w:rsid w:val="00B9688B"/>
    <w:rsid w:val="00BA5684"/>
    <w:rsid w:val="00BB62BA"/>
    <w:rsid w:val="00BB77E6"/>
    <w:rsid w:val="00BC1559"/>
    <w:rsid w:val="00BD3D31"/>
    <w:rsid w:val="00BE3721"/>
    <w:rsid w:val="00BE3C59"/>
    <w:rsid w:val="00BF7771"/>
    <w:rsid w:val="00C00B29"/>
    <w:rsid w:val="00C0636C"/>
    <w:rsid w:val="00C13C8D"/>
    <w:rsid w:val="00C200FE"/>
    <w:rsid w:val="00C26B3C"/>
    <w:rsid w:val="00C314B0"/>
    <w:rsid w:val="00C346FC"/>
    <w:rsid w:val="00C474E6"/>
    <w:rsid w:val="00C50E22"/>
    <w:rsid w:val="00C53AA1"/>
    <w:rsid w:val="00C615AA"/>
    <w:rsid w:val="00C65416"/>
    <w:rsid w:val="00C66B5E"/>
    <w:rsid w:val="00C72F88"/>
    <w:rsid w:val="00C74A68"/>
    <w:rsid w:val="00C75DDB"/>
    <w:rsid w:val="00C86DD7"/>
    <w:rsid w:val="00C954E2"/>
    <w:rsid w:val="00CA461F"/>
    <w:rsid w:val="00CA571F"/>
    <w:rsid w:val="00CB330A"/>
    <w:rsid w:val="00CC0E96"/>
    <w:rsid w:val="00CC1495"/>
    <w:rsid w:val="00CC7EF2"/>
    <w:rsid w:val="00CD0200"/>
    <w:rsid w:val="00CF5BE3"/>
    <w:rsid w:val="00CF6F82"/>
    <w:rsid w:val="00D30789"/>
    <w:rsid w:val="00D31F91"/>
    <w:rsid w:val="00D32A94"/>
    <w:rsid w:val="00D44774"/>
    <w:rsid w:val="00D45F43"/>
    <w:rsid w:val="00D479F3"/>
    <w:rsid w:val="00D55EAB"/>
    <w:rsid w:val="00D66785"/>
    <w:rsid w:val="00D76375"/>
    <w:rsid w:val="00D85E2F"/>
    <w:rsid w:val="00D91225"/>
    <w:rsid w:val="00DA3066"/>
    <w:rsid w:val="00DA351B"/>
    <w:rsid w:val="00DB598D"/>
    <w:rsid w:val="00DB7621"/>
    <w:rsid w:val="00DC57FE"/>
    <w:rsid w:val="00DD3D84"/>
    <w:rsid w:val="00DD6EFC"/>
    <w:rsid w:val="00DE0A48"/>
    <w:rsid w:val="00DE1AC3"/>
    <w:rsid w:val="00DF2565"/>
    <w:rsid w:val="00E1198C"/>
    <w:rsid w:val="00E13572"/>
    <w:rsid w:val="00E21205"/>
    <w:rsid w:val="00E4351F"/>
    <w:rsid w:val="00E4589A"/>
    <w:rsid w:val="00E4790C"/>
    <w:rsid w:val="00E51482"/>
    <w:rsid w:val="00E603CF"/>
    <w:rsid w:val="00E628A0"/>
    <w:rsid w:val="00E725AD"/>
    <w:rsid w:val="00E75A0E"/>
    <w:rsid w:val="00E82DCB"/>
    <w:rsid w:val="00EA10C2"/>
    <w:rsid w:val="00EC778B"/>
    <w:rsid w:val="00ED6C16"/>
    <w:rsid w:val="00EE7A6B"/>
    <w:rsid w:val="00EF2248"/>
    <w:rsid w:val="00EF265D"/>
    <w:rsid w:val="00EF3DCC"/>
    <w:rsid w:val="00EF5112"/>
    <w:rsid w:val="00EF61A0"/>
    <w:rsid w:val="00F03539"/>
    <w:rsid w:val="00F046A7"/>
    <w:rsid w:val="00F11217"/>
    <w:rsid w:val="00F113F7"/>
    <w:rsid w:val="00F15551"/>
    <w:rsid w:val="00F17D2C"/>
    <w:rsid w:val="00F30148"/>
    <w:rsid w:val="00F43D74"/>
    <w:rsid w:val="00F444AC"/>
    <w:rsid w:val="00F465E1"/>
    <w:rsid w:val="00F50E49"/>
    <w:rsid w:val="00F56D14"/>
    <w:rsid w:val="00F635BD"/>
    <w:rsid w:val="00F65F6B"/>
    <w:rsid w:val="00F674E8"/>
    <w:rsid w:val="00F74925"/>
    <w:rsid w:val="00F769A0"/>
    <w:rsid w:val="00F80482"/>
    <w:rsid w:val="00F806A7"/>
    <w:rsid w:val="00F820AA"/>
    <w:rsid w:val="00F83B0A"/>
    <w:rsid w:val="00F93051"/>
    <w:rsid w:val="00F95D5F"/>
    <w:rsid w:val="00FA54F1"/>
    <w:rsid w:val="00FB1418"/>
    <w:rsid w:val="00FB2A57"/>
    <w:rsid w:val="00FD06D3"/>
    <w:rsid w:val="00FD288F"/>
    <w:rsid w:val="00FD359A"/>
    <w:rsid w:val="00FF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874793"/>
  <w14:defaultImageDpi w14:val="32767"/>
  <w15:chartTrackingRefBased/>
  <w15:docId w15:val="{45957152-EB91-48D9-BA57-38D7317B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DC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917B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7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17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7B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17B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17B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17B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17B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17B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917B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917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917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917B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917B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917B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917B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917B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917B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917B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91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17B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917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17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917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17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17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17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917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917B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F3D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F3DC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F3D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F3DCC"/>
    <w:rPr>
      <w:sz w:val="18"/>
      <w:szCs w:val="18"/>
    </w:rPr>
  </w:style>
  <w:style w:type="character" w:customStyle="1" w:styleId="fontstyle01">
    <w:name w:val="fontstyle01"/>
    <w:basedOn w:val="a0"/>
    <w:rsid w:val="00EF3DCC"/>
    <w:rPr>
      <w:rFonts w:ascii="WarnockPro-Regular" w:hAnsi="WarnockPro-Regular" w:hint="default"/>
      <w:b w:val="0"/>
      <w:bCs w:val="0"/>
      <w:i w:val="0"/>
      <w:iCs w:val="0"/>
      <w:color w:val="000000"/>
      <w:sz w:val="20"/>
      <w:szCs w:val="20"/>
    </w:rPr>
  </w:style>
  <w:style w:type="character" w:styleId="af2">
    <w:name w:val="line number"/>
    <w:basedOn w:val="a0"/>
    <w:uiPriority w:val="99"/>
    <w:semiHidden/>
    <w:unhideWhenUsed/>
    <w:rsid w:val="00D44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image" Target="media/image7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image" Target="media/image6.ti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tif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image" Target="media/image8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F7DEA-6C34-41BA-8299-F946C157F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12</Pages>
  <Words>1322</Words>
  <Characters>7817</Characters>
  <Application>Microsoft Office Word</Application>
  <DocSecurity>0</DocSecurity>
  <Lines>147</Lines>
  <Paragraphs>10</Paragraphs>
  <ScaleCrop>false</ScaleCrop>
  <Company/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 L</dc:creator>
  <cp:keywords/>
  <dc:description/>
  <cp:lastModifiedBy>af8642@365mso.com</cp:lastModifiedBy>
  <cp:revision>314</cp:revision>
  <dcterms:created xsi:type="dcterms:W3CDTF">2026-03-25T02:21:00Z</dcterms:created>
  <dcterms:modified xsi:type="dcterms:W3CDTF">2026-10-18T07:16:00Z</dcterms:modified>
</cp:coreProperties>
</file>