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4C97" w14:textId="271EAC97" w:rsidR="006C69AE" w:rsidRPr="00E34F56" w:rsidRDefault="006C69AE" w:rsidP="006C69AE">
      <w:pPr>
        <w:snapToGrid w:val="0"/>
        <w:spacing w:after="120" w:line="240" w:lineRule="auto"/>
        <w:jc w:val="both"/>
        <w:rPr>
          <w:rFonts w:ascii="Arial" w:hAnsi="Arial" w:cs="Arial"/>
          <w:i/>
          <w:iCs w:val="0"/>
          <w:color w:val="BF4E14" w:themeColor="accent2" w:themeShade="BF"/>
          <w:szCs w:val="24"/>
          <w:lang w:val="en-AU"/>
        </w:rPr>
      </w:pPr>
      <w:r w:rsidRPr="00E34F56">
        <w:rPr>
          <w:rFonts w:ascii="Arial" w:hAnsi="Arial" w:cs="Arial"/>
          <w:b/>
          <w:bCs/>
          <w:i/>
          <w:iCs w:val="0"/>
          <w:color w:val="BF4E14" w:themeColor="accent2" w:themeShade="BF"/>
          <w:szCs w:val="24"/>
          <w:lang w:val="en-AU"/>
        </w:rPr>
        <w:t>Mouse F</w:t>
      </w:r>
      <w:r w:rsidR="00EE090D">
        <w:rPr>
          <w:rFonts w:ascii="Arial" w:hAnsi="Arial" w:cs="Arial"/>
          <w:b/>
          <w:bCs/>
          <w:i/>
          <w:iCs w:val="0"/>
          <w:color w:val="BF4E14" w:themeColor="accent2" w:themeShade="BF"/>
          <w:szCs w:val="24"/>
          <w:lang w:val="en-AU"/>
        </w:rPr>
        <w:t>lt</w:t>
      </w:r>
      <w:r w:rsidRPr="00E34F56">
        <w:rPr>
          <w:rFonts w:ascii="Arial" w:hAnsi="Arial" w:cs="Arial"/>
          <w:b/>
          <w:bCs/>
          <w:i/>
          <w:iCs w:val="0"/>
          <w:color w:val="BF4E14" w:themeColor="accent2" w:themeShade="BF"/>
          <w:szCs w:val="24"/>
          <w:lang w:val="en-AU"/>
        </w:rPr>
        <w:t>1 sequence differences limit direct translation of human SSO-targeted regions.</w:t>
      </w:r>
    </w:p>
    <w:p w14:paraId="5202F86C" w14:textId="2D0213FA" w:rsidR="006C69AE" w:rsidRPr="00E34F56" w:rsidRDefault="006C69AE" w:rsidP="006C69AE">
      <w:pPr>
        <w:snapToGrid w:val="0"/>
        <w:spacing w:after="120" w:line="240" w:lineRule="auto"/>
        <w:jc w:val="both"/>
        <w:rPr>
          <w:rFonts w:ascii="Arial" w:hAnsi="Arial" w:cs="Arial"/>
          <w:szCs w:val="24"/>
        </w:rPr>
      </w:pPr>
      <w:r w:rsidRPr="00E34F56">
        <w:rPr>
          <w:rFonts w:ascii="Arial" w:hAnsi="Arial" w:cs="Arial"/>
          <w:szCs w:val="24"/>
          <w:lang w:val="en-AU"/>
        </w:rPr>
        <w:t xml:space="preserve">To assess whether the intron 13 regions identified in the human </w:t>
      </w:r>
      <w:r w:rsidRPr="00EE090D">
        <w:rPr>
          <w:rFonts w:ascii="Arial" w:hAnsi="Arial" w:cs="Arial"/>
          <w:i/>
          <w:iCs w:val="0"/>
          <w:szCs w:val="24"/>
          <w:lang w:val="en-AU"/>
        </w:rPr>
        <w:t>FLT1</w:t>
      </w:r>
      <w:r w:rsidRPr="00E34F56">
        <w:rPr>
          <w:rFonts w:ascii="Arial" w:hAnsi="Arial" w:cs="Arial"/>
          <w:szCs w:val="24"/>
          <w:lang w:val="en-AU"/>
        </w:rPr>
        <w:t xml:space="preserve"> transcript were </w:t>
      </w:r>
      <w:r>
        <w:rPr>
          <w:rFonts w:ascii="Arial" w:hAnsi="Arial" w:cs="Arial"/>
          <w:szCs w:val="24"/>
          <w:lang w:val="en-AU"/>
        </w:rPr>
        <w:t>sufficiently conserved to support evaluation in a mouse model, we examined sequence homology across the corresponding mouse and human regions</w:t>
      </w:r>
      <w:r w:rsidRPr="00E34F56">
        <w:rPr>
          <w:rFonts w:ascii="Arial" w:hAnsi="Arial" w:cs="Arial"/>
          <w:szCs w:val="24"/>
          <w:lang w:val="en-AU"/>
        </w:rPr>
        <w:t xml:space="preserve">. The exon </w:t>
      </w:r>
      <w:r>
        <w:rPr>
          <w:rFonts w:ascii="Arial" w:hAnsi="Arial" w:cs="Arial"/>
          <w:szCs w:val="24"/>
          <w:lang w:val="en-AU"/>
        </w:rPr>
        <w:t>13-intron</w:t>
      </w:r>
      <w:r w:rsidRPr="00E34F56">
        <w:rPr>
          <w:rFonts w:ascii="Arial" w:hAnsi="Arial" w:cs="Arial"/>
          <w:szCs w:val="24"/>
          <w:lang w:val="en-AU"/>
        </w:rPr>
        <w:t xml:space="preserve"> 13 region targeted by the proximal SSO showed 73% sequence homology between human </w:t>
      </w:r>
      <w:r w:rsidRPr="00EE090D">
        <w:rPr>
          <w:rFonts w:ascii="Arial" w:hAnsi="Arial" w:cs="Arial"/>
          <w:i/>
          <w:iCs w:val="0"/>
          <w:szCs w:val="24"/>
          <w:lang w:val="en-AU"/>
        </w:rPr>
        <w:t>FLT1</w:t>
      </w:r>
      <w:r>
        <w:rPr>
          <w:rFonts w:ascii="Arial" w:hAnsi="Arial" w:cs="Arial"/>
          <w:szCs w:val="24"/>
          <w:lang w:val="en-AU"/>
        </w:rPr>
        <w:t xml:space="preserve"> </w:t>
      </w:r>
      <w:r w:rsidRPr="00E34F56">
        <w:rPr>
          <w:rFonts w:ascii="Arial" w:hAnsi="Arial" w:cs="Arial"/>
          <w:szCs w:val="24"/>
          <w:lang w:val="en-AU"/>
        </w:rPr>
        <w:t xml:space="preserve">and mouse </w:t>
      </w:r>
      <w:r w:rsidRPr="00EE090D">
        <w:rPr>
          <w:rFonts w:ascii="Arial" w:hAnsi="Arial" w:cs="Arial"/>
          <w:i/>
          <w:iCs w:val="0"/>
          <w:szCs w:val="24"/>
          <w:lang w:val="en-AU"/>
        </w:rPr>
        <w:t>F</w:t>
      </w:r>
      <w:r w:rsidR="00EE090D" w:rsidRPr="00EE090D">
        <w:rPr>
          <w:rFonts w:ascii="Arial" w:hAnsi="Arial" w:cs="Arial"/>
          <w:i/>
          <w:iCs w:val="0"/>
          <w:szCs w:val="24"/>
          <w:lang w:val="en-AU"/>
        </w:rPr>
        <w:t>lt</w:t>
      </w:r>
      <w:r w:rsidRPr="00EE090D">
        <w:rPr>
          <w:rFonts w:ascii="Arial" w:hAnsi="Arial" w:cs="Arial"/>
          <w:i/>
          <w:iCs w:val="0"/>
          <w:szCs w:val="24"/>
          <w:lang w:val="en-AU"/>
        </w:rPr>
        <w:t>1</w:t>
      </w:r>
      <w:r w:rsidRPr="00E34F56">
        <w:rPr>
          <w:rFonts w:ascii="Arial" w:hAnsi="Arial" w:cs="Arial"/>
          <w:szCs w:val="24"/>
          <w:lang w:val="en-AU"/>
        </w:rPr>
        <w:t>, while the regions corresponding to the distal PolyA1 and PolyA2 sites showed 93% and 73% homology, respectively (</w:t>
      </w:r>
      <w:r w:rsidRPr="00E34F56">
        <w:rPr>
          <w:rFonts w:ascii="Arial" w:hAnsi="Arial" w:cs="Arial"/>
          <w:b/>
          <w:bCs/>
          <w:szCs w:val="24"/>
          <w:lang w:val="en-AU"/>
        </w:rPr>
        <w:t>Supplementary Fig. 1a</w:t>
      </w:r>
      <w:r w:rsidRPr="00E34F56">
        <w:rPr>
          <w:rFonts w:ascii="Arial" w:hAnsi="Arial" w:cs="Arial"/>
          <w:szCs w:val="24"/>
          <w:lang w:val="en-AU"/>
        </w:rPr>
        <w:t xml:space="preserve">). Mouse-specific SSOs were therefore designed to target the corresponding exon 13–intron 13 junction and PolyA1 and PolyA2 regions. </w:t>
      </w:r>
      <w:r w:rsidR="00EE090D" w:rsidRPr="00EE090D">
        <w:rPr>
          <w:rFonts w:ascii="Arial" w:hAnsi="Arial" w:cs="Arial"/>
          <w:szCs w:val="24"/>
        </w:rPr>
        <w:t xml:space="preserve">In mouse 661W cells, we assessed </w:t>
      </w:r>
      <w:r w:rsidR="00EE090D">
        <w:rPr>
          <w:rFonts w:ascii="Arial" w:hAnsi="Arial" w:cs="Arial"/>
          <w:szCs w:val="24"/>
        </w:rPr>
        <w:t>F</w:t>
      </w:r>
      <w:r w:rsidR="00EE090D">
        <w:rPr>
          <w:rFonts w:ascii="Arial" w:hAnsi="Arial" w:cs="Arial"/>
          <w:i/>
          <w:szCs w:val="24"/>
        </w:rPr>
        <w:t>lt</w:t>
      </w:r>
      <w:r w:rsidR="00EE090D" w:rsidRPr="00EE090D">
        <w:rPr>
          <w:rFonts w:ascii="Arial" w:hAnsi="Arial" w:cs="Arial"/>
          <w:i/>
          <w:szCs w:val="24"/>
        </w:rPr>
        <w:t>1</w:t>
      </w:r>
      <w:r w:rsidR="00EE090D" w:rsidRPr="00EE090D">
        <w:rPr>
          <w:rFonts w:ascii="Arial" w:hAnsi="Arial" w:cs="Arial"/>
          <w:szCs w:val="24"/>
        </w:rPr>
        <w:t xml:space="preserve"> transcript expression</w:t>
      </w:r>
      <w:r w:rsidR="00EE090D">
        <w:rPr>
          <w:rFonts w:ascii="Arial" w:hAnsi="Arial" w:cs="Arial"/>
          <w:szCs w:val="24"/>
        </w:rPr>
        <w:t xml:space="preserve"> </w:t>
      </w:r>
      <w:r w:rsidRPr="00E34F56">
        <w:rPr>
          <w:rFonts w:ascii="Arial" w:hAnsi="Arial" w:cs="Arial"/>
          <w:szCs w:val="24"/>
        </w:rPr>
        <w:t>by TaqMan qPCR.</w:t>
      </w:r>
      <w:r w:rsidRPr="00E34F56">
        <w:rPr>
          <w:rFonts w:ascii="Arial" w:hAnsi="Arial" w:cs="Arial"/>
          <w:szCs w:val="24"/>
          <w:lang w:val="en-AU"/>
        </w:rPr>
        <w:t xml:space="preserve"> Total </w:t>
      </w:r>
      <w:r w:rsidRPr="00EE090D">
        <w:rPr>
          <w:rFonts w:ascii="Arial" w:hAnsi="Arial" w:cs="Arial"/>
          <w:i/>
          <w:iCs w:val="0"/>
          <w:szCs w:val="24"/>
          <w:lang w:val="en-AU"/>
        </w:rPr>
        <w:t>F</w:t>
      </w:r>
      <w:r w:rsidR="00EE090D">
        <w:rPr>
          <w:rFonts w:ascii="Arial" w:hAnsi="Arial" w:cs="Arial"/>
          <w:i/>
          <w:iCs w:val="0"/>
          <w:szCs w:val="24"/>
          <w:lang w:val="en-AU"/>
        </w:rPr>
        <w:t>lt</w:t>
      </w:r>
      <w:r w:rsidRPr="00EE090D">
        <w:rPr>
          <w:rFonts w:ascii="Arial" w:hAnsi="Arial" w:cs="Arial"/>
          <w:i/>
          <w:iCs w:val="0"/>
          <w:szCs w:val="24"/>
          <w:lang w:val="en-AU"/>
        </w:rPr>
        <w:t>1</w:t>
      </w:r>
      <w:r w:rsidRPr="00E34F56">
        <w:rPr>
          <w:rFonts w:ascii="Arial" w:hAnsi="Arial" w:cs="Arial"/>
          <w:szCs w:val="24"/>
          <w:lang w:val="en-AU"/>
        </w:rPr>
        <w:t xml:space="preserve"> transcript abundance was unchanged following treatment with any of the mouse-specific SSOs (</w:t>
      </w:r>
      <w:r w:rsidRPr="00E34F56">
        <w:rPr>
          <w:rFonts w:ascii="Arial" w:hAnsi="Arial" w:cs="Arial"/>
          <w:b/>
          <w:bCs/>
          <w:szCs w:val="24"/>
          <w:lang w:val="en-AU"/>
        </w:rPr>
        <w:t>Supplementary Fig. 1b</w:t>
      </w:r>
      <w:r w:rsidRPr="00E34F56">
        <w:rPr>
          <w:rFonts w:ascii="Arial" w:hAnsi="Arial" w:cs="Arial"/>
          <w:szCs w:val="24"/>
          <w:lang w:val="en-AU"/>
        </w:rPr>
        <w:t>)</w:t>
      </w:r>
      <w:r>
        <w:rPr>
          <w:rFonts w:ascii="Arial" w:hAnsi="Arial" w:cs="Arial"/>
          <w:szCs w:val="24"/>
          <w:lang w:val="en-AU"/>
        </w:rPr>
        <w:t xml:space="preserve">. In contrast, the exon 13-intron 13 junction with the me13-i13 SSO resulted in a significant reduction in the </w:t>
      </w:r>
      <w:r w:rsidRPr="00EE090D">
        <w:rPr>
          <w:rFonts w:ascii="Arial" w:hAnsi="Arial" w:cs="Arial"/>
          <w:i/>
          <w:iCs w:val="0"/>
          <w:szCs w:val="24"/>
          <w:lang w:val="en-AU"/>
        </w:rPr>
        <w:t>F</w:t>
      </w:r>
      <w:r w:rsidR="00EE090D">
        <w:rPr>
          <w:rFonts w:ascii="Arial" w:hAnsi="Arial" w:cs="Arial"/>
          <w:i/>
          <w:iCs w:val="0"/>
          <w:szCs w:val="24"/>
          <w:lang w:val="en-AU"/>
        </w:rPr>
        <w:t>lt</w:t>
      </w:r>
      <w:r w:rsidRPr="00EE090D">
        <w:rPr>
          <w:rFonts w:ascii="Arial" w:hAnsi="Arial" w:cs="Arial"/>
          <w:i/>
          <w:iCs w:val="0"/>
          <w:szCs w:val="24"/>
          <w:lang w:val="en-AU"/>
        </w:rPr>
        <w:t>1</w:t>
      </w:r>
      <w:r>
        <w:rPr>
          <w:rFonts w:ascii="Arial" w:hAnsi="Arial" w:cs="Arial"/>
          <w:szCs w:val="24"/>
          <w:lang w:val="en-AU"/>
        </w:rPr>
        <w:t xml:space="preserve"> exon 13-14 junction transcript (P &lt; 0.0001). In contrast, the</w:t>
      </w:r>
      <w:r w:rsidRPr="00E34F56">
        <w:rPr>
          <w:rFonts w:ascii="Arial" w:hAnsi="Arial" w:cs="Arial"/>
          <w:szCs w:val="24"/>
          <w:lang w:val="en-AU"/>
        </w:rPr>
        <w:t xml:space="preserve"> mi13 PolyA1 and mi13 PolyA2 SSOs did not significantly alter this transcript (</w:t>
      </w:r>
      <w:r w:rsidRPr="00E34F56">
        <w:rPr>
          <w:rFonts w:ascii="Arial" w:hAnsi="Arial" w:cs="Arial"/>
          <w:b/>
          <w:bCs/>
          <w:szCs w:val="24"/>
          <w:lang w:val="en-AU"/>
        </w:rPr>
        <w:t>Supplementary Fig. 1c</w:t>
      </w:r>
      <w:r w:rsidRPr="00E34F56">
        <w:rPr>
          <w:rFonts w:ascii="Arial" w:hAnsi="Arial" w:cs="Arial"/>
          <w:szCs w:val="24"/>
          <w:lang w:val="en-AU"/>
        </w:rPr>
        <w:t xml:space="preserve">). These findings indicate that the </w:t>
      </w:r>
      <w:r>
        <w:rPr>
          <w:rFonts w:ascii="Arial" w:hAnsi="Arial" w:cs="Arial"/>
          <w:szCs w:val="24"/>
          <w:lang w:val="en-AU"/>
        </w:rPr>
        <w:t xml:space="preserve">mouse </w:t>
      </w:r>
      <w:r w:rsidRPr="00EE090D">
        <w:rPr>
          <w:rFonts w:ascii="Arial" w:hAnsi="Arial" w:cs="Arial"/>
          <w:i/>
          <w:iCs w:val="0"/>
          <w:szCs w:val="24"/>
          <w:lang w:val="en-AU"/>
        </w:rPr>
        <w:t>F</w:t>
      </w:r>
      <w:r w:rsidR="00EE090D" w:rsidRPr="00EE090D">
        <w:rPr>
          <w:rFonts w:ascii="Arial" w:hAnsi="Arial" w:cs="Arial"/>
          <w:i/>
          <w:iCs w:val="0"/>
          <w:szCs w:val="24"/>
          <w:lang w:val="en-AU"/>
        </w:rPr>
        <w:t>lt</w:t>
      </w:r>
      <w:r w:rsidRPr="00EE090D">
        <w:rPr>
          <w:rFonts w:ascii="Arial" w:hAnsi="Arial" w:cs="Arial"/>
          <w:i/>
          <w:iCs w:val="0"/>
          <w:szCs w:val="24"/>
          <w:lang w:val="en-AU"/>
        </w:rPr>
        <w:t>1</w:t>
      </w:r>
      <w:r>
        <w:rPr>
          <w:rFonts w:ascii="Arial" w:hAnsi="Arial" w:cs="Arial"/>
          <w:szCs w:val="24"/>
          <w:lang w:val="en-AU"/>
        </w:rPr>
        <w:t xml:space="preserve"> transcript's sequence and splicing context </w:t>
      </w:r>
      <w:r w:rsidRPr="00E34F56">
        <w:rPr>
          <w:rFonts w:ascii="Arial" w:hAnsi="Arial" w:cs="Arial"/>
          <w:szCs w:val="24"/>
          <w:lang w:val="en-AU"/>
        </w:rPr>
        <w:t xml:space="preserve">do not fully recapitulate the human </w:t>
      </w:r>
      <w:r w:rsidRPr="00EE090D">
        <w:rPr>
          <w:rFonts w:ascii="Arial" w:hAnsi="Arial" w:cs="Arial"/>
          <w:i/>
          <w:iCs w:val="0"/>
          <w:szCs w:val="24"/>
          <w:lang w:val="en-AU"/>
        </w:rPr>
        <w:t>F</w:t>
      </w:r>
      <w:r w:rsidR="00EE090D" w:rsidRPr="00EE090D">
        <w:rPr>
          <w:rFonts w:ascii="Arial" w:hAnsi="Arial" w:cs="Arial"/>
          <w:i/>
          <w:iCs w:val="0"/>
          <w:szCs w:val="24"/>
          <w:lang w:val="en-AU"/>
        </w:rPr>
        <w:t>lt</w:t>
      </w:r>
      <w:r w:rsidRPr="00EE090D">
        <w:rPr>
          <w:rFonts w:ascii="Arial" w:hAnsi="Arial" w:cs="Arial"/>
          <w:i/>
          <w:iCs w:val="0"/>
          <w:szCs w:val="24"/>
          <w:lang w:val="en-AU"/>
        </w:rPr>
        <w:t>1</w:t>
      </w:r>
      <w:r w:rsidRPr="00E34F56">
        <w:rPr>
          <w:rFonts w:ascii="Arial" w:hAnsi="Arial" w:cs="Arial"/>
          <w:szCs w:val="24"/>
          <w:lang w:val="en-AU"/>
        </w:rPr>
        <w:t xml:space="preserve"> intron 13 regulatory regions identified in this study. </w:t>
      </w:r>
      <w:r w:rsidRPr="00E34F56">
        <w:rPr>
          <w:rFonts w:ascii="Arial" w:hAnsi="Arial" w:cs="Arial"/>
          <w:szCs w:val="24"/>
        </w:rPr>
        <w:t xml:space="preserve">Although </w:t>
      </w:r>
      <w:r>
        <w:rPr>
          <w:rFonts w:ascii="Arial" w:hAnsi="Arial" w:cs="Arial"/>
          <w:szCs w:val="24"/>
        </w:rPr>
        <w:t>mice naturally produce soluble F</w:t>
      </w:r>
      <w:r w:rsidR="00EE090D">
        <w:rPr>
          <w:rFonts w:ascii="Arial" w:hAnsi="Arial" w:cs="Arial"/>
          <w:szCs w:val="24"/>
        </w:rPr>
        <w:t>LT</w:t>
      </w:r>
      <w:r>
        <w:rPr>
          <w:rFonts w:ascii="Arial" w:hAnsi="Arial" w:cs="Arial"/>
          <w:szCs w:val="24"/>
        </w:rPr>
        <w:t>1</w:t>
      </w:r>
      <w:r w:rsidRPr="00E34F56">
        <w:rPr>
          <w:rFonts w:ascii="Arial" w:hAnsi="Arial" w:cs="Arial"/>
          <w:szCs w:val="24"/>
        </w:rPr>
        <w:t xml:space="preserve">, these species-specific differences in </w:t>
      </w:r>
      <w:r w:rsidRPr="0033534D">
        <w:rPr>
          <w:rFonts w:ascii="Arial" w:hAnsi="Arial" w:cs="Arial"/>
          <w:i/>
          <w:iCs w:val="0"/>
          <w:szCs w:val="24"/>
        </w:rPr>
        <w:t>FLT1</w:t>
      </w:r>
      <w:r w:rsidRPr="00E34F56">
        <w:rPr>
          <w:rFonts w:ascii="Arial" w:hAnsi="Arial" w:cs="Arial"/>
          <w:szCs w:val="24"/>
        </w:rPr>
        <w:t xml:space="preserve"> sequence and splicing regulation limit the direct translation of the human SSO strategy to conventional mouse models and therefore complicate in vivo validation of the human-targeted SSOs</w:t>
      </w:r>
      <w:r>
        <w:rPr>
          <w:rFonts w:ascii="Arial" w:hAnsi="Arial" w:cs="Arial"/>
          <w:szCs w:val="24"/>
        </w:rPr>
        <w:t xml:space="preserve">. </w:t>
      </w:r>
    </w:p>
    <w:p w14:paraId="57013095" w14:textId="77777777" w:rsidR="006C69AE" w:rsidRDefault="006C69AE" w:rsidP="006C69AE">
      <w:pPr>
        <w:jc w:val="center"/>
      </w:pPr>
      <w:r>
        <w:rPr>
          <w:noProof/>
        </w:rPr>
        <w:lastRenderedPageBreak/>
        <w:drawing>
          <wp:inline distT="0" distB="0" distL="0" distR="0" wp14:anchorId="323521F6" wp14:editId="43C52F91">
            <wp:extent cx="5467186" cy="6216015"/>
            <wp:effectExtent l="0" t="0" r="635" b="0"/>
            <wp:docPr id="1851215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0597" cy="6231263"/>
                    </a:xfrm>
                    <a:prstGeom prst="rect">
                      <a:avLst/>
                    </a:prstGeom>
                    <a:noFill/>
                    <a:ln>
                      <a:noFill/>
                    </a:ln>
                  </pic:spPr>
                </pic:pic>
              </a:graphicData>
            </a:graphic>
          </wp:inline>
        </w:drawing>
      </w:r>
    </w:p>
    <w:p w14:paraId="63B1ACCD" w14:textId="77777777" w:rsidR="006C69AE" w:rsidRDefault="006C69AE" w:rsidP="006C69AE">
      <w:pPr>
        <w:jc w:val="center"/>
      </w:pPr>
    </w:p>
    <w:p w14:paraId="323F2B29" w14:textId="408E118B" w:rsidR="006C69AE" w:rsidRPr="006C69AE" w:rsidRDefault="0033534D" w:rsidP="006C69AE">
      <w:pPr>
        <w:jc w:val="both"/>
        <w:rPr>
          <w:rFonts w:ascii="Arial" w:hAnsi="Arial" w:cs="Arial"/>
          <w:szCs w:val="24"/>
          <w:lang w:val="en-AU"/>
        </w:rPr>
      </w:pPr>
      <w:r w:rsidRPr="0033534D">
        <w:rPr>
          <w:rFonts w:ascii="Arial" w:hAnsi="Arial" w:cs="Arial"/>
          <w:b/>
          <w:bCs/>
          <w:szCs w:val="24"/>
        </w:rPr>
        <w:t xml:space="preserve">Sequence conservation and functional assessment of mouse </w:t>
      </w:r>
      <w:r w:rsidRPr="0033534D">
        <w:rPr>
          <w:rFonts w:ascii="Arial" w:hAnsi="Arial" w:cs="Arial"/>
          <w:b/>
          <w:bCs/>
          <w:i/>
          <w:iCs w:val="0"/>
          <w:szCs w:val="24"/>
        </w:rPr>
        <w:t>Flt1</w:t>
      </w:r>
      <w:r w:rsidRPr="0033534D">
        <w:rPr>
          <w:rFonts w:ascii="Arial" w:hAnsi="Arial" w:cs="Arial"/>
          <w:b/>
          <w:bCs/>
          <w:szCs w:val="24"/>
        </w:rPr>
        <w:t xml:space="preserve"> SSO target regions. </w:t>
      </w:r>
      <w:r w:rsidRPr="0033534D">
        <w:rPr>
          <w:rFonts w:ascii="Arial" w:hAnsi="Arial" w:cs="Arial"/>
          <w:szCs w:val="24"/>
        </w:rPr>
        <w:t xml:space="preserve">(a) Sequence homology between human </w:t>
      </w:r>
      <w:r w:rsidRPr="0033534D">
        <w:rPr>
          <w:rFonts w:ascii="Arial" w:hAnsi="Arial" w:cs="Arial"/>
          <w:i/>
          <w:iCs w:val="0"/>
          <w:szCs w:val="24"/>
        </w:rPr>
        <w:t>FLT1</w:t>
      </w:r>
      <w:r w:rsidRPr="0033534D">
        <w:rPr>
          <w:rFonts w:ascii="Arial" w:hAnsi="Arial" w:cs="Arial"/>
          <w:szCs w:val="24"/>
        </w:rPr>
        <w:t xml:space="preserve"> and mouse </w:t>
      </w:r>
      <w:r w:rsidRPr="0033534D">
        <w:rPr>
          <w:rFonts w:ascii="Arial" w:hAnsi="Arial" w:cs="Arial"/>
          <w:i/>
          <w:iCs w:val="0"/>
          <w:szCs w:val="24"/>
        </w:rPr>
        <w:t>Flt1</w:t>
      </w:r>
      <w:r w:rsidRPr="0033534D">
        <w:rPr>
          <w:rFonts w:ascii="Arial" w:hAnsi="Arial" w:cs="Arial"/>
          <w:szCs w:val="24"/>
        </w:rPr>
        <w:t xml:space="preserve"> across the exon 13–intron 13 junction and regions corresponding to the distal PolyA1 and PolyA2 sites. (b) Quantification of total </w:t>
      </w:r>
      <w:r w:rsidRPr="0033534D">
        <w:rPr>
          <w:rFonts w:ascii="Arial" w:hAnsi="Arial" w:cs="Arial"/>
          <w:i/>
          <w:iCs w:val="0"/>
          <w:szCs w:val="24"/>
        </w:rPr>
        <w:t>Flt1</w:t>
      </w:r>
      <w:r w:rsidRPr="0033534D">
        <w:rPr>
          <w:rFonts w:ascii="Arial" w:hAnsi="Arial" w:cs="Arial"/>
          <w:szCs w:val="24"/>
        </w:rPr>
        <w:t xml:space="preserve"> transcript expression by TaqMan qPCR following transfection of mouse 661W cells with mouse-specific SSOs targeting the exon 13–intron 13 junction (me13-i13) or regions corresponding to PolyA1 (mi13 PolyA1) and PolyA2 (mi13 PolyA2). (c) Quantification of </w:t>
      </w:r>
      <w:r w:rsidRPr="0033534D">
        <w:rPr>
          <w:rFonts w:ascii="Arial" w:hAnsi="Arial" w:cs="Arial"/>
          <w:i/>
          <w:iCs w:val="0"/>
          <w:szCs w:val="24"/>
        </w:rPr>
        <w:t>Flt1</w:t>
      </w:r>
      <w:r w:rsidRPr="0033534D">
        <w:rPr>
          <w:rFonts w:ascii="Arial" w:hAnsi="Arial" w:cs="Arial"/>
          <w:szCs w:val="24"/>
        </w:rPr>
        <w:t xml:space="preserve"> transcripts containing the exon 13–14 junction by TaqMan qPCR. SSO sequences are provided in Supplementary Table 1, and TaqMan probe information is provided in Supplementary Table 3. Gene expression was normalized to GAPDH and is presented relative to the </w:t>
      </w:r>
      <w:proofErr w:type="gramStart"/>
      <w:r w:rsidRPr="0033534D">
        <w:rPr>
          <w:rFonts w:ascii="Arial" w:hAnsi="Arial" w:cs="Arial"/>
          <w:szCs w:val="24"/>
        </w:rPr>
        <w:t>scramble</w:t>
      </w:r>
      <w:proofErr w:type="gramEnd"/>
      <w:r w:rsidRPr="0033534D">
        <w:rPr>
          <w:rFonts w:ascii="Arial" w:hAnsi="Arial" w:cs="Arial"/>
          <w:szCs w:val="24"/>
        </w:rPr>
        <w:t xml:space="preserve"> SSO control. Data are presented as mean ± </w:t>
      </w:r>
      <w:proofErr w:type="spellStart"/>
      <w:r w:rsidRPr="0033534D">
        <w:rPr>
          <w:rFonts w:ascii="Arial" w:hAnsi="Arial" w:cs="Arial"/>
          <w:szCs w:val="24"/>
        </w:rPr>
        <w:t>s.e.m.</w:t>
      </w:r>
      <w:proofErr w:type="spellEnd"/>
      <w:r w:rsidRPr="0033534D">
        <w:rPr>
          <w:rFonts w:ascii="Arial" w:hAnsi="Arial" w:cs="Arial"/>
          <w:szCs w:val="24"/>
        </w:rPr>
        <w:t xml:space="preserve"> (</w:t>
      </w:r>
      <w:r w:rsidRPr="0033534D">
        <w:rPr>
          <w:rFonts w:ascii="Arial" w:hAnsi="Arial" w:cs="Arial"/>
          <w:i/>
          <w:iCs w:val="0"/>
          <w:szCs w:val="24"/>
        </w:rPr>
        <w:t>n</w:t>
      </w:r>
      <w:r w:rsidRPr="0033534D">
        <w:rPr>
          <w:rFonts w:ascii="Arial" w:hAnsi="Arial" w:cs="Arial"/>
          <w:szCs w:val="24"/>
        </w:rPr>
        <w:t xml:space="preserve"> = 4).</w:t>
      </w:r>
      <w:r>
        <w:rPr>
          <w:rFonts w:ascii="Arial" w:hAnsi="Arial" w:cs="Arial"/>
          <w:i/>
          <w:iCs w:val="0"/>
          <w:szCs w:val="24"/>
        </w:rPr>
        <w:t xml:space="preserve"> n</w:t>
      </w:r>
      <w:r>
        <w:rPr>
          <w:rFonts w:ascii="Arial" w:hAnsi="Arial" w:cs="Arial"/>
          <w:szCs w:val="24"/>
        </w:rPr>
        <w:t xml:space="preserve"> = </w:t>
      </w:r>
      <w:r w:rsidR="006C69AE" w:rsidRPr="00E34F56">
        <w:rPr>
          <w:rFonts w:ascii="Arial" w:hAnsi="Arial" w:cs="Arial"/>
          <w:szCs w:val="24"/>
        </w:rPr>
        <w:t xml:space="preserve">independent biological </w:t>
      </w:r>
      <w:r w:rsidR="006C69AE" w:rsidRPr="00E34F56">
        <w:rPr>
          <w:rFonts w:ascii="Arial" w:hAnsi="Arial" w:cs="Arial"/>
          <w:szCs w:val="24"/>
        </w:rPr>
        <w:lastRenderedPageBreak/>
        <w:t xml:space="preserve">replicates. Statistical significance was determined using one-way ANOVA followed by Dunnett's multiple-comparison test. P &lt; 0.0001 (****); ns, not </w:t>
      </w:r>
      <w:r w:rsidR="006C69AE">
        <w:rPr>
          <w:rFonts w:ascii="Arial" w:hAnsi="Arial" w:cs="Arial"/>
          <w:szCs w:val="24"/>
        </w:rPr>
        <w:t>significant; F</w:t>
      </w:r>
      <w:r w:rsidR="006C69AE" w:rsidRPr="00E34F56">
        <w:rPr>
          <w:rFonts w:ascii="Arial" w:hAnsi="Arial" w:cs="Arial"/>
          <w:szCs w:val="24"/>
        </w:rPr>
        <w:t>, forward primer; R, reverse primer</w:t>
      </w:r>
      <w:r w:rsidR="006C69AE">
        <w:rPr>
          <w:rFonts w:ascii="Arial" w:hAnsi="Arial" w:cs="Arial"/>
          <w:szCs w:val="24"/>
        </w:rPr>
        <w:t>—figure</w:t>
      </w:r>
      <w:r w:rsidR="006C69AE" w:rsidRPr="00E34F56">
        <w:rPr>
          <w:rFonts w:ascii="Arial" w:hAnsi="Arial" w:cs="Arial"/>
          <w:szCs w:val="24"/>
        </w:rPr>
        <w:t xml:space="preserve"> created with </w:t>
      </w:r>
      <w:r w:rsidR="006C69AE">
        <w:rPr>
          <w:rFonts w:ascii="Arial" w:hAnsi="Arial" w:cs="Arial"/>
          <w:szCs w:val="24"/>
        </w:rPr>
        <w:t>BioRender.com</w:t>
      </w:r>
      <w:r w:rsidR="006C69AE" w:rsidRPr="00E34F56">
        <w:rPr>
          <w:rFonts w:ascii="Arial" w:hAnsi="Arial" w:cs="Arial"/>
          <w:szCs w:val="24"/>
        </w:rPr>
        <w:t>.</w:t>
      </w:r>
    </w:p>
    <w:p w14:paraId="3C6792F2" w14:textId="77777777" w:rsidR="006C69AE" w:rsidRPr="00E34F56" w:rsidRDefault="006C69AE" w:rsidP="006C69AE">
      <w:pPr>
        <w:jc w:val="both"/>
        <w:rPr>
          <w:rFonts w:ascii="Arial" w:hAnsi="Arial" w:cs="Arial"/>
          <w:szCs w:val="24"/>
        </w:rPr>
      </w:pPr>
    </w:p>
    <w:p w14:paraId="6C7D1997" w14:textId="77777777" w:rsidR="006C69AE" w:rsidRPr="00E34F56" w:rsidRDefault="006C69AE" w:rsidP="006C69AE">
      <w:pPr>
        <w:pStyle w:val="NoSpacing"/>
        <w:jc w:val="both"/>
        <w:rPr>
          <w:rFonts w:ascii="Arial" w:eastAsia="Times New Roman" w:hAnsi="Arial" w:cs="Arial"/>
          <w:color w:val="auto"/>
          <w:szCs w:val="24"/>
          <w:lang w:eastAsia="en-AU"/>
        </w:rPr>
      </w:pPr>
      <w:r w:rsidRPr="00E34F56">
        <w:rPr>
          <w:rFonts w:ascii="Arial" w:hAnsi="Arial" w:cs="Arial"/>
          <w:b/>
          <w:bCs/>
          <w:szCs w:val="24"/>
        </w:rPr>
        <w:t>Supplementary Table 1.</w:t>
      </w:r>
      <w:r w:rsidRPr="00E34F56">
        <w:rPr>
          <w:rFonts w:ascii="Arial" w:hAnsi="Arial" w:cs="Arial"/>
          <w:szCs w:val="24"/>
        </w:rPr>
        <w:t xml:space="preserve"> </w:t>
      </w:r>
      <w:r w:rsidRPr="00E34F56">
        <w:rPr>
          <w:rFonts w:ascii="Arial" w:eastAsia="Times New Roman" w:hAnsi="Arial" w:cs="Arial"/>
          <w:color w:val="auto"/>
          <w:szCs w:val="24"/>
          <w:lang w:eastAsia="en-AU"/>
        </w:rPr>
        <w:t xml:space="preserve">Sequences of the 30bp SSOs used for the 255bp walk along the exon-intron junction and two distal PolyA sites. </w:t>
      </w:r>
    </w:p>
    <w:p w14:paraId="164BA13B" w14:textId="77777777" w:rsidR="006C69AE" w:rsidRPr="00E34F56" w:rsidRDefault="006C69AE" w:rsidP="006C69AE">
      <w:pPr>
        <w:pStyle w:val="NoSpacing"/>
        <w:jc w:val="both"/>
        <w:rPr>
          <w:rFonts w:ascii="Arial" w:hAnsi="Arial" w:cs="Arial"/>
          <w:b/>
          <w:bCs/>
          <w:color w:val="auto"/>
          <w:szCs w:val="24"/>
        </w:rPr>
      </w:pPr>
    </w:p>
    <w:tbl>
      <w:tblPr>
        <w:tblStyle w:val="TableGrid"/>
        <w:tblW w:w="8679" w:type="dxa"/>
        <w:jc w:val="center"/>
        <w:tblLook w:val="04A0" w:firstRow="1" w:lastRow="0" w:firstColumn="1" w:lastColumn="0" w:noHBand="0" w:noVBand="1"/>
      </w:tblPr>
      <w:tblGrid>
        <w:gridCol w:w="3159"/>
        <w:gridCol w:w="5520"/>
      </w:tblGrid>
      <w:tr w:rsidR="006C69AE" w:rsidRPr="008E3742" w14:paraId="07A7D36B" w14:textId="77777777" w:rsidTr="00745167">
        <w:trPr>
          <w:jc w:val="center"/>
        </w:trPr>
        <w:tc>
          <w:tcPr>
            <w:tcW w:w="3159" w:type="dxa"/>
          </w:tcPr>
          <w:p w14:paraId="6E751325" w14:textId="77777777" w:rsidR="006C69AE" w:rsidRPr="00E34F56" w:rsidRDefault="006C69AE" w:rsidP="00745167">
            <w:pPr>
              <w:jc w:val="both"/>
              <w:rPr>
                <w:rFonts w:ascii="Arial" w:hAnsi="Arial" w:cs="Arial"/>
                <w:b/>
                <w:bCs/>
                <w:i/>
                <w:iCs w:val="0"/>
                <w:sz w:val="24"/>
                <w:szCs w:val="24"/>
                <w:lang w:eastAsia="en-AU"/>
              </w:rPr>
            </w:pPr>
            <w:r w:rsidRPr="00E34F56">
              <w:rPr>
                <w:rFonts w:ascii="Arial" w:hAnsi="Arial" w:cs="Arial"/>
                <w:b/>
                <w:bCs/>
                <w:szCs w:val="24"/>
                <w:lang w:eastAsia="en-AU"/>
              </w:rPr>
              <w:t>SSO name</w:t>
            </w:r>
          </w:p>
        </w:tc>
        <w:tc>
          <w:tcPr>
            <w:tcW w:w="5520" w:type="dxa"/>
          </w:tcPr>
          <w:p w14:paraId="1C6C73EC" w14:textId="43D2D79C" w:rsidR="006C69AE" w:rsidRPr="00E34F56" w:rsidRDefault="006C69AE" w:rsidP="00745167">
            <w:pPr>
              <w:jc w:val="both"/>
              <w:rPr>
                <w:rFonts w:ascii="Arial" w:hAnsi="Arial" w:cs="Arial"/>
                <w:b/>
                <w:bCs/>
                <w:i/>
                <w:iCs w:val="0"/>
                <w:sz w:val="24"/>
                <w:szCs w:val="24"/>
                <w:lang w:eastAsia="en-AU"/>
              </w:rPr>
            </w:pPr>
            <w:r w:rsidRPr="00E34F56">
              <w:rPr>
                <w:rFonts w:ascii="Arial" w:hAnsi="Arial" w:cs="Arial"/>
                <w:b/>
                <w:bCs/>
                <w:szCs w:val="24"/>
                <w:lang w:eastAsia="en-AU"/>
              </w:rPr>
              <w:t>SSO target sequence</w:t>
            </w:r>
            <w:r w:rsidR="006C4081">
              <w:rPr>
                <w:rFonts w:ascii="Arial" w:hAnsi="Arial" w:cs="Arial"/>
                <w:b/>
                <w:bCs/>
                <w:szCs w:val="24"/>
                <w:lang w:eastAsia="en-AU"/>
              </w:rPr>
              <w:t xml:space="preserve"> </w:t>
            </w:r>
            <w:r w:rsidR="006C4081" w:rsidRPr="006C4081">
              <w:rPr>
                <w:rFonts w:ascii="Arial" w:hAnsi="Arial" w:cs="Arial"/>
                <w:b/>
                <w:bCs/>
                <w:szCs w:val="24"/>
                <w:lang w:eastAsia="en-AU"/>
              </w:rPr>
              <w:t>(5′→3′)</w:t>
            </w:r>
          </w:p>
        </w:tc>
      </w:tr>
      <w:tr w:rsidR="006C69AE" w:rsidRPr="008E3742" w14:paraId="06CC97AE" w14:textId="77777777" w:rsidTr="00745167">
        <w:trPr>
          <w:jc w:val="center"/>
        </w:trPr>
        <w:tc>
          <w:tcPr>
            <w:tcW w:w="3159" w:type="dxa"/>
          </w:tcPr>
          <w:p w14:paraId="4C666991"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Scramble</w:t>
            </w:r>
          </w:p>
        </w:tc>
        <w:tc>
          <w:tcPr>
            <w:tcW w:w="5520" w:type="dxa"/>
          </w:tcPr>
          <w:p w14:paraId="0FECB446"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GGTAATAAGAAGAGGATCCGCACAATAAGA</w:t>
            </w:r>
          </w:p>
        </w:tc>
      </w:tr>
      <w:tr w:rsidR="006C69AE" w:rsidRPr="008E3742" w14:paraId="61C0FBC8" w14:textId="77777777" w:rsidTr="00745167">
        <w:trPr>
          <w:jc w:val="center"/>
        </w:trPr>
        <w:tc>
          <w:tcPr>
            <w:tcW w:w="3159" w:type="dxa"/>
            <w:hideMark/>
          </w:tcPr>
          <w:p w14:paraId="71E3B52A"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SSO-1</w:t>
            </w:r>
          </w:p>
        </w:tc>
        <w:tc>
          <w:tcPr>
            <w:tcW w:w="5520" w:type="dxa"/>
            <w:hideMark/>
          </w:tcPr>
          <w:p w14:paraId="47AA0CFC"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TGCTCCTTAGTGATGGCCATTTTTTGCTTG</w:t>
            </w:r>
          </w:p>
        </w:tc>
      </w:tr>
      <w:tr w:rsidR="006C69AE" w:rsidRPr="008E3742" w14:paraId="1BEA7906" w14:textId="77777777" w:rsidTr="00745167">
        <w:trPr>
          <w:jc w:val="center"/>
        </w:trPr>
        <w:tc>
          <w:tcPr>
            <w:tcW w:w="3159" w:type="dxa"/>
          </w:tcPr>
          <w:p w14:paraId="43881880"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SSO-2</w:t>
            </w:r>
          </w:p>
        </w:tc>
        <w:tc>
          <w:tcPr>
            <w:tcW w:w="5520" w:type="dxa"/>
          </w:tcPr>
          <w:p w14:paraId="5720AF1B"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GATGGTAAGATTAAGAGTGATGGAGTGCTC</w:t>
            </w:r>
          </w:p>
        </w:tc>
      </w:tr>
      <w:tr w:rsidR="006C69AE" w:rsidRPr="008E3742" w14:paraId="5952D7DB" w14:textId="77777777" w:rsidTr="00745167">
        <w:trPr>
          <w:jc w:val="center"/>
        </w:trPr>
        <w:tc>
          <w:tcPr>
            <w:tcW w:w="3159" w:type="dxa"/>
          </w:tcPr>
          <w:p w14:paraId="0D31A955"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SSO-3</w:t>
            </w:r>
          </w:p>
        </w:tc>
        <w:tc>
          <w:tcPr>
            <w:tcW w:w="5520" w:type="dxa"/>
          </w:tcPr>
          <w:p w14:paraId="4539E6AA"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CTGAATCTTGCAGGGAAACATTCATGATGG</w:t>
            </w:r>
          </w:p>
        </w:tc>
      </w:tr>
      <w:tr w:rsidR="006C69AE" w:rsidRPr="008E3742" w14:paraId="4565713B" w14:textId="77777777" w:rsidTr="00745167">
        <w:trPr>
          <w:jc w:val="center"/>
        </w:trPr>
        <w:tc>
          <w:tcPr>
            <w:tcW w:w="3159" w:type="dxa"/>
          </w:tcPr>
          <w:p w14:paraId="5A2FCD11" w14:textId="77777777" w:rsidR="006C69AE" w:rsidRPr="00E34F56" w:rsidRDefault="006C69AE" w:rsidP="00745167">
            <w:pPr>
              <w:jc w:val="both"/>
              <w:rPr>
                <w:rFonts w:ascii="Arial" w:hAnsi="Arial" w:cs="Arial"/>
                <w:sz w:val="24"/>
                <w:szCs w:val="24"/>
                <w:lang w:eastAsia="en-AU"/>
              </w:rPr>
            </w:pPr>
            <w:r w:rsidRPr="00E34F56">
              <w:rPr>
                <w:rFonts w:ascii="Arial" w:eastAsia="Times New Roman" w:hAnsi="Arial" w:cs="Arial"/>
                <w:szCs w:val="24"/>
                <w:lang w:eastAsia="en-AU"/>
              </w:rPr>
              <w:t>SSO-4</w:t>
            </w:r>
          </w:p>
        </w:tc>
        <w:tc>
          <w:tcPr>
            <w:tcW w:w="5520" w:type="dxa"/>
          </w:tcPr>
          <w:p w14:paraId="76DADD37" w14:textId="77777777" w:rsidR="006C69AE" w:rsidRPr="00E34F56" w:rsidRDefault="006C69AE" w:rsidP="00745167">
            <w:pPr>
              <w:jc w:val="both"/>
              <w:rPr>
                <w:rFonts w:ascii="Arial" w:hAnsi="Arial" w:cs="Arial"/>
                <w:sz w:val="24"/>
                <w:szCs w:val="24"/>
                <w:lang w:eastAsia="en-AU"/>
              </w:rPr>
            </w:pPr>
            <w:r w:rsidRPr="00E34F56">
              <w:rPr>
                <w:rFonts w:ascii="Arial" w:eastAsia="Times New Roman" w:hAnsi="Arial" w:cs="Arial"/>
                <w:szCs w:val="24"/>
                <w:lang w:eastAsia="en-AU"/>
              </w:rPr>
              <w:t>TTCCTGGCTCTGCAGGCATAGGTGCCTGAA</w:t>
            </w:r>
          </w:p>
        </w:tc>
      </w:tr>
      <w:tr w:rsidR="006C69AE" w:rsidRPr="008E3742" w14:paraId="38B79FE4" w14:textId="77777777" w:rsidTr="00745167">
        <w:trPr>
          <w:jc w:val="center"/>
        </w:trPr>
        <w:tc>
          <w:tcPr>
            <w:tcW w:w="3159" w:type="dxa"/>
            <w:hideMark/>
          </w:tcPr>
          <w:p w14:paraId="5FB5ADC9" w14:textId="77777777" w:rsidR="006C69AE" w:rsidRPr="00E34F56" w:rsidRDefault="006C69AE" w:rsidP="00745167">
            <w:pPr>
              <w:jc w:val="both"/>
              <w:rPr>
                <w:rFonts w:ascii="Arial" w:eastAsia="Times New Roman" w:hAnsi="Arial" w:cs="Arial"/>
                <w:sz w:val="24"/>
                <w:szCs w:val="24"/>
                <w:lang w:eastAsia="en-AU"/>
              </w:rPr>
            </w:pPr>
            <w:r w:rsidRPr="00E34F56">
              <w:rPr>
                <w:rFonts w:ascii="Arial" w:hAnsi="Arial" w:cs="Arial"/>
                <w:szCs w:val="24"/>
              </w:rPr>
              <w:t>SSO-5</w:t>
            </w:r>
          </w:p>
        </w:tc>
        <w:tc>
          <w:tcPr>
            <w:tcW w:w="5520" w:type="dxa"/>
            <w:hideMark/>
          </w:tcPr>
          <w:p w14:paraId="57D8F18D" w14:textId="77777777" w:rsidR="006C69AE" w:rsidRPr="00E34F56" w:rsidRDefault="006C69AE" w:rsidP="00745167">
            <w:pPr>
              <w:jc w:val="both"/>
              <w:rPr>
                <w:rFonts w:ascii="Arial" w:eastAsia="Times New Roman" w:hAnsi="Arial" w:cs="Arial"/>
                <w:sz w:val="24"/>
                <w:szCs w:val="24"/>
                <w:lang w:eastAsia="en-AU"/>
              </w:rPr>
            </w:pPr>
            <w:r w:rsidRPr="00E34F56">
              <w:rPr>
                <w:rFonts w:ascii="Arial" w:hAnsi="Arial" w:cs="Arial"/>
                <w:szCs w:val="24"/>
                <w:lang w:eastAsia="en-AU"/>
              </w:rPr>
              <w:t>GAGGATTTCTTCCCCTGTGTATACATTCCT</w:t>
            </w:r>
          </w:p>
        </w:tc>
      </w:tr>
      <w:tr w:rsidR="006C69AE" w:rsidRPr="008E3742" w14:paraId="520B0477" w14:textId="77777777" w:rsidTr="00745167">
        <w:trPr>
          <w:jc w:val="center"/>
        </w:trPr>
        <w:tc>
          <w:tcPr>
            <w:tcW w:w="3159" w:type="dxa"/>
          </w:tcPr>
          <w:p w14:paraId="777DB65B"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SSO-6</w:t>
            </w:r>
          </w:p>
        </w:tc>
        <w:tc>
          <w:tcPr>
            <w:tcW w:w="5520" w:type="dxa"/>
          </w:tcPr>
          <w:p w14:paraId="2CC9BAAB"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lang w:eastAsia="en-AU"/>
              </w:rPr>
              <w:t>CTCTGATTGTAATTTCTTTCTTCTGGAGGA</w:t>
            </w:r>
          </w:p>
        </w:tc>
      </w:tr>
      <w:tr w:rsidR="006C69AE" w:rsidRPr="008E3742" w14:paraId="2BAF5321" w14:textId="77777777" w:rsidTr="00745167">
        <w:trPr>
          <w:jc w:val="center"/>
        </w:trPr>
        <w:tc>
          <w:tcPr>
            <w:tcW w:w="3159" w:type="dxa"/>
          </w:tcPr>
          <w:p w14:paraId="0BB73AFA" w14:textId="77777777" w:rsidR="006C69AE" w:rsidRPr="00E34F56" w:rsidRDefault="006C69AE" w:rsidP="00745167">
            <w:pPr>
              <w:jc w:val="both"/>
              <w:rPr>
                <w:rFonts w:ascii="Arial" w:hAnsi="Arial" w:cs="Arial"/>
                <w:i/>
                <w:iCs w:val="0"/>
                <w:sz w:val="24"/>
                <w:szCs w:val="24"/>
                <w:lang w:eastAsia="en-AU"/>
              </w:rPr>
            </w:pPr>
            <w:r w:rsidRPr="00E34F56">
              <w:rPr>
                <w:rFonts w:ascii="Arial" w:eastAsia="Times New Roman" w:hAnsi="Arial" w:cs="Arial"/>
                <w:szCs w:val="24"/>
                <w:lang w:eastAsia="en-AU"/>
              </w:rPr>
              <w:t>SSO-7</w:t>
            </w:r>
          </w:p>
        </w:tc>
        <w:tc>
          <w:tcPr>
            <w:tcW w:w="5520" w:type="dxa"/>
          </w:tcPr>
          <w:p w14:paraId="0F5E31F6"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lang w:eastAsia="en-AU"/>
              </w:rPr>
              <w:t>ACAGCCTTTTTGTTGCAGTGCTCACCTCTG</w:t>
            </w:r>
          </w:p>
        </w:tc>
      </w:tr>
      <w:tr w:rsidR="006C69AE" w:rsidRPr="008E3742" w14:paraId="535203D3" w14:textId="77777777" w:rsidTr="00745167">
        <w:trPr>
          <w:jc w:val="center"/>
        </w:trPr>
        <w:tc>
          <w:tcPr>
            <w:tcW w:w="3159" w:type="dxa"/>
          </w:tcPr>
          <w:p w14:paraId="0014EBA3"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SSO-8</w:t>
            </w:r>
          </w:p>
        </w:tc>
        <w:tc>
          <w:tcPr>
            <w:tcW w:w="5520" w:type="dxa"/>
          </w:tcPr>
          <w:p w14:paraId="3DA08D1A"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lang w:eastAsia="en-AU"/>
              </w:rPr>
              <w:t>TTTAAATTTGGAGATCCGAGAGAAAACAGC</w:t>
            </w:r>
          </w:p>
        </w:tc>
      </w:tr>
      <w:tr w:rsidR="006C69AE" w:rsidRPr="008E3742" w14:paraId="72E2A45A" w14:textId="77777777" w:rsidTr="00745167">
        <w:trPr>
          <w:jc w:val="center"/>
        </w:trPr>
        <w:tc>
          <w:tcPr>
            <w:tcW w:w="3159" w:type="dxa"/>
          </w:tcPr>
          <w:p w14:paraId="0C6993EA"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SSO-9</w:t>
            </w:r>
          </w:p>
        </w:tc>
        <w:tc>
          <w:tcPr>
            <w:tcW w:w="5520" w:type="dxa"/>
          </w:tcPr>
          <w:p w14:paraId="495C3ED1"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lang w:eastAsia="en-AU"/>
              </w:rPr>
              <w:t>GTGTGGTACAATCATTCCTTGTGCTTTTAA</w:t>
            </w:r>
          </w:p>
        </w:tc>
      </w:tr>
      <w:tr w:rsidR="006C69AE" w:rsidRPr="008E3742" w14:paraId="15AEA015" w14:textId="77777777" w:rsidTr="00745167">
        <w:trPr>
          <w:jc w:val="center"/>
        </w:trPr>
        <w:tc>
          <w:tcPr>
            <w:tcW w:w="3159" w:type="dxa"/>
          </w:tcPr>
          <w:p w14:paraId="7BC7F505" w14:textId="2543CC5A" w:rsidR="006C69AE" w:rsidRPr="00E34F56" w:rsidRDefault="006C69AE" w:rsidP="00745167">
            <w:pPr>
              <w:jc w:val="both"/>
              <w:rPr>
                <w:rFonts w:ascii="Arial" w:hAnsi="Arial" w:cs="Arial"/>
                <w:sz w:val="24"/>
                <w:szCs w:val="24"/>
                <w:lang w:eastAsia="en-AU"/>
              </w:rPr>
            </w:pPr>
            <w:r w:rsidRPr="00E34F56">
              <w:rPr>
                <w:rFonts w:ascii="Arial" w:eastAsia="Times New Roman" w:hAnsi="Arial" w:cs="Arial"/>
                <w:szCs w:val="24"/>
                <w:lang w:eastAsia="en-AU"/>
              </w:rPr>
              <w:t>SSO-10</w:t>
            </w:r>
          </w:p>
        </w:tc>
        <w:tc>
          <w:tcPr>
            <w:tcW w:w="5520" w:type="dxa"/>
          </w:tcPr>
          <w:p w14:paraId="410FC969" w14:textId="77777777" w:rsidR="006C69AE" w:rsidRPr="00E34F56" w:rsidRDefault="006C69AE" w:rsidP="00745167">
            <w:pPr>
              <w:jc w:val="both"/>
              <w:rPr>
                <w:rFonts w:ascii="Arial" w:hAnsi="Arial" w:cs="Arial"/>
                <w:sz w:val="24"/>
                <w:szCs w:val="24"/>
                <w:lang w:eastAsia="en-AU"/>
              </w:rPr>
            </w:pPr>
            <w:r w:rsidRPr="00E34F56">
              <w:rPr>
                <w:rFonts w:ascii="Arial" w:hAnsi="Arial" w:cs="Arial"/>
                <w:szCs w:val="24"/>
                <w:lang w:eastAsia="en-AU"/>
              </w:rPr>
              <w:t>GTCCTTTAATGTTTTACATTACTTTGTGTG</w:t>
            </w:r>
          </w:p>
        </w:tc>
      </w:tr>
      <w:tr w:rsidR="006C69AE" w:rsidRPr="008E3742" w14:paraId="19A47050" w14:textId="77777777" w:rsidTr="00745167">
        <w:trPr>
          <w:jc w:val="center"/>
        </w:trPr>
        <w:tc>
          <w:tcPr>
            <w:tcW w:w="3159" w:type="dxa"/>
            <w:hideMark/>
          </w:tcPr>
          <w:p w14:paraId="673FFE6C"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SSO-11</w:t>
            </w:r>
          </w:p>
        </w:tc>
        <w:tc>
          <w:tcPr>
            <w:tcW w:w="5520" w:type="dxa"/>
            <w:hideMark/>
          </w:tcPr>
          <w:p w14:paraId="1D10694D" w14:textId="77777777" w:rsidR="006C69AE" w:rsidRPr="00E34F56" w:rsidRDefault="006C69AE" w:rsidP="00745167">
            <w:pPr>
              <w:jc w:val="both"/>
              <w:rPr>
                <w:rFonts w:ascii="Arial" w:eastAsia="Times New Roman" w:hAnsi="Arial" w:cs="Arial"/>
                <w:sz w:val="24"/>
                <w:szCs w:val="24"/>
                <w:lang w:eastAsia="en-AU"/>
              </w:rPr>
            </w:pPr>
            <w:r w:rsidRPr="00E34F56">
              <w:rPr>
                <w:rFonts w:ascii="Arial" w:hAnsi="Arial" w:cs="Arial"/>
                <w:color w:val="000000"/>
                <w:szCs w:val="24"/>
                <w:lang w:eastAsia="en-AU"/>
              </w:rPr>
              <w:t>TATTATTTTCTCTTAAAACATACAAATATG</w:t>
            </w:r>
          </w:p>
        </w:tc>
      </w:tr>
      <w:tr w:rsidR="006C69AE" w:rsidRPr="008E3742" w14:paraId="2E3BF55C" w14:textId="77777777" w:rsidTr="00745167">
        <w:trPr>
          <w:jc w:val="center"/>
        </w:trPr>
        <w:tc>
          <w:tcPr>
            <w:tcW w:w="3159" w:type="dxa"/>
          </w:tcPr>
          <w:p w14:paraId="54756F86"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SSO-12</w:t>
            </w:r>
          </w:p>
        </w:tc>
        <w:tc>
          <w:tcPr>
            <w:tcW w:w="5520" w:type="dxa"/>
          </w:tcPr>
          <w:p w14:paraId="384445F1"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ATAATAGTACAAATATTGTATTTTATATTA</w:t>
            </w:r>
          </w:p>
        </w:tc>
      </w:tr>
      <w:tr w:rsidR="006C69AE" w:rsidRPr="008E3742" w14:paraId="789BF20C" w14:textId="77777777" w:rsidTr="00745167">
        <w:trPr>
          <w:jc w:val="center"/>
        </w:trPr>
        <w:tc>
          <w:tcPr>
            <w:tcW w:w="3159" w:type="dxa"/>
          </w:tcPr>
          <w:p w14:paraId="4D4096D9"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SSO-13</w:t>
            </w:r>
          </w:p>
        </w:tc>
        <w:tc>
          <w:tcPr>
            <w:tcW w:w="5520" w:type="dxa"/>
          </w:tcPr>
          <w:p w14:paraId="41E7E729"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CACAGATTTGTAGTTTTTGCACTATATAAT</w:t>
            </w:r>
          </w:p>
        </w:tc>
      </w:tr>
      <w:tr w:rsidR="006C69AE" w:rsidRPr="008E3742" w14:paraId="63E152A6" w14:textId="77777777" w:rsidTr="00745167">
        <w:trPr>
          <w:jc w:val="center"/>
        </w:trPr>
        <w:tc>
          <w:tcPr>
            <w:tcW w:w="3159" w:type="dxa"/>
          </w:tcPr>
          <w:p w14:paraId="11A1B49E" w14:textId="77777777" w:rsidR="006C69AE" w:rsidRPr="00E34F56" w:rsidRDefault="006C69AE" w:rsidP="00745167">
            <w:pPr>
              <w:jc w:val="both"/>
              <w:rPr>
                <w:rFonts w:ascii="Arial" w:hAnsi="Arial" w:cs="Arial"/>
                <w:sz w:val="24"/>
                <w:szCs w:val="24"/>
                <w:lang w:eastAsia="en-AU"/>
              </w:rPr>
            </w:pPr>
            <w:r w:rsidRPr="00E34F56">
              <w:rPr>
                <w:rFonts w:ascii="Arial" w:eastAsia="Times New Roman" w:hAnsi="Arial" w:cs="Arial"/>
                <w:szCs w:val="24"/>
                <w:lang w:eastAsia="en-AU"/>
              </w:rPr>
              <w:t>SSO-14</w:t>
            </w:r>
          </w:p>
        </w:tc>
        <w:tc>
          <w:tcPr>
            <w:tcW w:w="5520" w:type="dxa"/>
          </w:tcPr>
          <w:p w14:paraId="039AC76D" w14:textId="77777777" w:rsidR="006C69AE" w:rsidRPr="00E34F56" w:rsidRDefault="006C69AE" w:rsidP="00745167">
            <w:pPr>
              <w:jc w:val="both"/>
              <w:rPr>
                <w:rFonts w:ascii="Arial" w:hAnsi="Arial" w:cs="Arial"/>
                <w:sz w:val="24"/>
                <w:szCs w:val="24"/>
                <w:lang w:eastAsia="en-AU"/>
              </w:rPr>
            </w:pPr>
            <w:r w:rsidRPr="00E34F56">
              <w:rPr>
                <w:rFonts w:ascii="Arial" w:hAnsi="Arial" w:cs="Arial"/>
                <w:color w:val="000000"/>
                <w:szCs w:val="24"/>
                <w:lang w:eastAsia="en-AU"/>
              </w:rPr>
              <w:t>AAAGAATTAATTCAAGAGGCAGAGGCACAG</w:t>
            </w:r>
          </w:p>
        </w:tc>
      </w:tr>
      <w:tr w:rsidR="006C69AE" w:rsidRPr="008E3742" w14:paraId="4441C41E" w14:textId="77777777" w:rsidTr="00745167">
        <w:trPr>
          <w:jc w:val="center"/>
        </w:trPr>
        <w:tc>
          <w:tcPr>
            <w:tcW w:w="3159" w:type="dxa"/>
            <w:hideMark/>
          </w:tcPr>
          <w:p w14:paraId="562C9108" w14:textId="77777777" w:rsidR="006C69AE" w:rsidRPr="00E34F56" w:rsidRDefault="006C69AE" w:rsidP="00745167">
            <w:pPr>
              <w:jc w:val="both"/>
              <w:rPr>
                <w:rFonts w:ascii="Arial" w:eastAsia="Times New Roman" w:hAnsi="Arial" w:cs="Arial"/>
                <w:sz w:val="24"/>
                <w:szCs w:val="24"/>
                <w:lang w:eastAsia="en-AU"/>
              </w:rPr>
            </w:pPr>
            <w:r w:rsidRPr="00E34F56">
              <w:rPr>
                <w:rFonts w:ascii="Arial" w:hAnsi="Arial" w:cs="Arial"/>
                <w:szCs w:val="24"/>
              </w:rPr>
              <w:t>SSO-15</w:t>
            </w:r>
          </w:p>
        </w:tc>
        <w:tc>
          <w:tcPr>
            <w:tcW w:w="5520" w:type="dxa"/>
            <w:hideMark/>
          </w:tcPr>
          <w:p w14:paraId="06C4BADF" w14:textId="77777777" w:rsidR="006C69AE" w:rsidRPr="00E34F56" w:rsidRDefault="006C69AE" w:rsidP="00745167">
            <w:pPr>
              <w:jc w:val="both"/>
              <w:rPr>
                <w:rFonts w:ascii="Arial" w:eastAsia="Times New Roman" w:hAnsi="Arial" w:cs="Arial"/>
                <w:sz w:val="24"/>
                <w:szCs w:val="24"/>
                <w:lang w:eastAsia="en-AU"/>
              </w:rPr>
            </w:pPr>
            <w:r w:rsidRPr="00E34F56">
              <w:rPr>
                <w:rFonts w:ascii="Arial" w:hAnsi="Arial" w:cs="Arial"/>
                <w:color w:val="000000"/>
                <w:szCs w:val="24"/>
                <w:lang w:eastAsia="en-AU"/>
              </w:rPr>
              <w:t>ATTCCCTTCCCAAATGCAAGCAACCAAAGA</w:t>
            </w:r>
          </w:p>
        </w:tc>
      </w:tr>
      <w:tr w:rsidR="006C69AE" w:rsidRPr="008E3742" w14:paraId="30786B2B" w14:textId="77777777" w:rsidTr="00745167">
        <w:trPr>
          <w:jc w:val="center"/>
        </w:trPr>
        <w:tc>
          <w:tcPr>
            <w:tcW w:w="3159" w:type="dxa"/>
          </w:tcPr>
          <w:p w14:paraId="2A0D9B33"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SSO-16</w:t>
            </w:r>
          </w:p>
        </w:tc>
        <w:tc>
          <w:tcPr>
            <w:tcW w:w="5520" w:type="dxa"/>
          </w:tcPr>
          <w:p w14:paraId="6707C75F"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GCTTTATTGGTTCTTTCCTTTCTCCATTCC</w:t>
            </w:r>
          </w:p>
        </w:tc>
      </w:tr>
      <w:tr w:rsidR="006C69AE" w:rsidRPr="008E3742" w14:paraId="79D07CEB" w14:textId="77777777" w:rsidTr="00745167">
        <w:trPr>
          <w:jc w:val="center"/>
        </w:trPr>
        <w:tc>
          <w:tcPr>
            <w:tcW w:w="3159" w:type="dxa"/>
          </w:tcPr>
          <w:p w14:paraId="16B41A6E" w14:textId="77777777" w:rsidR="006C69AE" w:rsidRPr="00E34F56" w:rsidRDefault="006C69AE" w:rsidP="00745167">
            <w:pPr>
              <w:jc w:val="both"/>
              <w:rPr>
                <w:rFonts w:ascii="Arial" w:hAnsi="Arial" w:cs="Arial"/>
                <w:i/>
                <w:iCs w:val="0"/>
                <w:sz w:val="24"/>
                <w:szCs w:val="24"/>
                <w:lang w:eastAsia="en-AU"/>
              </w:rPr>
            </w:pPr>
            <w:r w:rsidRPr="00E34F56">
              <w:rPr>
                <w:rFonts w:ascii="Arial" w:eastAsia="Times New Roman" w:hAnsi="Arial" w:cs="Arial"/>
                <w:szCs w:val="24"/>
                <w:lang w:eastAsia="en-AU"/>
              </w:rPr>
              <w:t>SSO-17</w:t>
            </w:r>
          </w:p>
        </w:tc>
        <w:tc>
          <w:tcPr>
            <w:tcW w:w="5520" w:type="dxa"/>
          </w:tcPr>
          <w:p w14:paraId="16669E38"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CAGGAGAATTTCTTGAACTTTGAAAGCTTT</w:t>
            </w:r>
          </w:p>
        </w:tc>
      </w:tr>
      <w:tr w:rsidR="006C69AE" w:rsidRPr="008E3742" w14:paraId="7E13BE02" w14:textId="77777777" w:rsidTr="00745167">
        <w:trPr>
          <w:jc w:val="center"/>
        </w:trPr>
        <w:tc>
          <w:tcPr>
            <w:tcW w:w="3159" w:type="dxa"/>
          </w:tcPr>
          <w:p w14:paraId="4E553483"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SSO-18</w:t>
            </w:r>
          </w:p>
        </w:tc>
        <w:tc>
          <w:tcPr>
            <w:tcW w:w="5520" w:type="dxa"/>
          </w:tcPr>
          <w:p w14:paraId="35CC6A38"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CTAAGTTGTAAGGCAGCAGACCAAACAGGA</w:t>
            </w:r>
          </w:p>
        </w:tc>
      </w:tr>
      <w:tr w:rsidR="006C69AE" w:rsidRPr="008E3742" w14:paraId="75CF7E81" w14:textId="77777777" w:rsidTr="00745167">
        <w:trPr>
          <w:jc w:val="center"/>
        </w:trPr>
        <w:tc>
          <w:tcPr>
            <w:tcW w:w="3159" w:type="dxa"/>
          </w:tcPr>
          <w:p w14:paraId="566D407F"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szCs w:val="24"/>
              </w:rPr>
              <w:t>SSO-19</w:t>
            </w:r>
          </w:p>
        </w:tc>
        <w:tc>
          <w:tcPr>
            <w:tcW w:w="5520" w:type="dxa"/>
          </w:tcPr>
          <w:p w14:paraId="38502606"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TTTGTGTTACTCAACTGTCAGTAACCTAAG</w:t>
            </w:r>
          </w:p>
        </w:tc>
      </w:tr>
      <w:tr w:rsidR="006C69AE" w:rsidRPr="008E3742" w14:paraId="699BEF98" w14:textId="77777777" w:rsidTr="00745167">
        <w:trPr>
          <w:jc w:val="center"/>
        </w:trPr>
        <w:tc>
          <w:tcPr>
            <w:tcW w:w="3159" w:type="dxa"/>
          </w:tcPr>
          <w:p w14:paraId="34352242" w14:textId="35035DC8" w:rsidR="006C69AE" w:rsidRPr="00E34F56" w:rsidRDefault="006C69AE" w:rsidP="00745167">
            <w:pPr>
              <w:jc w:val="both"/>
              <w:rPr>
                <w:rFonts w:ascii="Arial" w:hAnsi="Arial" w:cs="Arial"/>
                <w:sz w:val="24"/>
                <w:szCs w:val="24"/>
                <w:lang w:eastAsia="en-AU"/>
              </w:rPr>
            </w:pPr>
            <w:r w:rsidRPr="00E34F56">
              <w:rPr>
                <w:rFonts w:ascii="Arial" w:eastAsia="Times New Roman" w:hAnsi="Arial" w:cs="Arial"/>
                <w:szCs w:val="24"/>
                <w:lang w:eastAsia="en-AU"/>
              </w:rPr>
              <w:t>SSO-20</w:t>
            </w:r>
          </w:p>
        </w:tc>
        <w:tc>
          <w:tcPr>
            <w:tcW w:w="5520" w:type="dxa"/>
          </w:tcPr>
          <w:p w14:paraId="75702081" w14:textId="77777777" w:rsidR="006C69AE" w:rsidRPr="00E34F56" w:rsidRDefault="006C69AE" w:rsidP="00745167">
            <w:pPr>
              <w:jc w:val="both"/>
              <w:rPr>
                <w:rFonts w:ascii="Arial" w:hAnsi="Arial" w:cs="Arial"/>
                <w:sz w:val="24"/>
                <w:szCs w:val="24"/>
                <w:lang w:eastAsia="en-AU"/>
              </w:rPr>
            </w:pPr>
            <w:r w:rsidRPr="00E34F56">
              <w:rPr>
                <w:rFonts w:ascii="Arial" w:hAnsi="Arial" w:cs="Arial"/>
                <w:color w:val="000000"/>
                <w:szCs w:val="24"/>
                <w:lang w:eastAsia="en-AU"/>
              </w:rPr>
              <w:t>TGATTGATGTATTTGTGGGGGCGTGTTTGT</w:t>
            </w:r>
          </w:p>
        </w:tc>
      </w:tr>
      <w:tr w:rsidR="006C69AE" w:rsidRPr="008E3742" w14:paraId="727B41E9" w14:textId="77777777" w:rsidTr="00745167">
        <w:trPr>
          <w:jc w:val="center"/>
        </w:trPr>
        <w:tc>
          <w:tcPr>
            <w:tcW w:w="3159" w:type="dxa"/>
          </w:tcPr>
          <w:p w14:paraId="1E438871"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 xml:space="preserve">me13-i13 </w:t>
            </w:r>
          </w:p>
        </w:tc>
        <w:tc>
          <w:tcPr>
            <w:tcW w:w="5520" w:type="dxa"/>
          </w:tcPr>
          <w:p w14:paraId="1FD611F2" w14:textId="77777777" w:rsidR="006C69AE" w:rsidRPr="00E34F56" w:rsidRDefault="006C69AE" w:rsidP="00745167">
            <w:pPr>
              <w:jc w:val="both"/>
              <w:rPr>
                <w:rFonts w:ascii="Arial" w:hAnsi="Arial" w:cs="Arial"/>
                <w:color w:val="000000"/>
                <w:sz w:val="24"/>
                <w:szCs w:val="24"/>
                <w:lang w:eastAsia="en-AU"/>
              </w:rPr>
            </w:pPr>
            <w:r w:rsidRPr="00E34F56">
              <w:rPr>
                <w:rFonts w:ascii="Arial" w:eastAsia="Times New Roman" w:hAnsi="Arial" w:cs="Arial"/>
                <w:szCs w:val="24"/>
                <w:lang w:eastAsia="en-AU"/>
              </w:rPr>
              <w:t>TGCCGCAGTGCTCACCTCTAACGAGAACTT</w:t>
            </w:r>
          </w:p>
        </w:tc>
      </w:tr>
      <w:tr w:rsidR="006C69AE" w:rsidRPr="008E3742" w14:paraId="08E28186" w14:textId="77777777" w:rsidTr="00745167">
        <w:trPr>
          <w:jc w:val="center"/>
        </w:trPr>
        <w:tc>
          <w:tcPr>
            <w:tcW w:w="3159" w:type="dxa"/>
          </w:tcPr>
          <w:p w14:paraId="7D9C6F0B"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mi13 Poly1</w:t>
            </w:r>
          </w:p>
        </w:tc>
        <w:tc>
          <w:tcPr>
            <w:tcW w:w="5520" w:type="dxa"/>
          </w:tcPr>
          <w:p w14:paraId="755CEC4F"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ATAATAGCACAAGTATTGTATTTTATATTA</w:t>
            </w:r>
          </w:p>
        </w:tc>
      </w:tr>
      <w:tr w:rsidR="006C69AE" w:rsidRPr="008E3742" w14:paraId="5EE14D1C" w14:textId="77777777" w:rsidTr="00745167">
        <w:trPr>
          <w:jc w:val="center"/>
        </w:trPr>
        <w:tc>
          <w:tcPr>
            <w:tcW w:w="3159" w:type="dxa"/>
          </w:tcPr>
          <w:p w14:paraId="748F97AA" w14:textId="77777777"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mi13 Poly2</w:t>
            </w:r>
          </w:p>
        </w:tc>
        <w:tc>
          <w:tcPr>
            <w:tcW w:w="5520" w:type="dxa"/>
          </w:tcPr>
          <w:p w14:paraId="43BA587B" w14:textId="5D318743" w:rsidR="006C69AE" w:rsidRPr="00E34F56" w:rsidRDefault="006C69AE" w:rsidP="00745167">
            <w:pPr>
              <w:jc w:val="both"/>
              <w:rPr>
                <w:rFonts w:ascii="Arial" w:eastAsia="Times New Roman" w:hAnsi="Arial" w:cs="Arial"/>
                <w:sz w:val="24"/>
                <w:szCs w:val="24"/>
                <w:lang w:eastAsia="en-AU"/>
              </w:rPr>
            </w:pPr>
            <w:r w:rsidRPr="00E34F56">
              <w:rPr>
                <w:rFonts w:ascii="Arial" w:eastAsia="Times New Roman" w:hAnsi="Arial" w:cs="Arial"/>
                <w:szCs w:val="24"/>
                <w:lang w:eastAsia="en-AU"/>
              </w:rPr>
              <w:t>GCTTTATTGGTCACTCCCCTCCCTCCCCTC</w:t>
            </w:r>
          </w:p>
        </w:tc>
      </w:tr>
    </w:tbl>
    <w:p w14:paraId="045810A1" w14:textId="77777777" w:rsidR="006C69AE" w:rsidRDefault="006C69AE" w:rsidP="006C69AE">
      <w:pPr>
        <w:jc w:val="both"/>
        <w:rPr>
          <w:rFonts w:ascii="Arial" w:hAnsi="Arial" w:cs="Arial"/>
          <w:szCs w:val="24"/>
        </w:rPr>
      </w:pPr>
    </w:p>
    <w:p w14:paraId="3B0E0953" w14:textId="77777777" w:rsidR="006C69AE" w:rsidRPr="00E34F56" w:rsidRDefault="006C69AE" w:rsidP="006C69AE">
      <w:pPr>
        <w:jc w:val="both"/>
        <w:rPr>
          <w:rFonts w:ascii="Arial" w:hAnsi="Arial" w:cs="Arial"/>
          <w:szCs w:val="24"/>
        </w:rPr>
      </w:pPr>
    </w:p>
    <w:p w14:paraId="4182A1B7" w14:textId="4636F951" w:rsidR="006C69AE" w:rsidRPr="00E34F56" w:rsidRDefault="006C69AE" w:rsidP="006C69AE">
      <w:pPr>
        <w:pStyle w:val="Caption"/>
        <w:snapToGrid w:val="0"/>
        <w:spacing w:after="120"/>
        <w:jc w:val="both"/>
        <w:rPr>
          <w:rFonts w:ascii="Arial" w:hAnsi="Arial" w:cs="Arial"/>
          <w:i w:val="0"/>
          <w:iCs/>
          <w:color w:val="auto"/>
          <w:sz w:val="24"/>
          <w:szCs w:val="24"/>
        </w:rPr>
      </w:pPr>
      <w:r w:rsidRPr="00E34F56">
        <w:rPr>
          <w:rFonts w:ascii="Arial" w:hAnsi="Arial" w:cs="Arial"/>
          <w:b/>
          <w:bCs/>
          <w:i w:val="0"/>
          <w:iCs/>
          <w:color w:val="auto"/>
          <w:sz w:val="24"/>
          <w:szCs w:val="24"/>
        </w:rPr>
        <w:t xml:space="preserve">Supplementary Table 2. </w:t>
      </w:r>
      <w:r w:rsidRPr="00E34F56">
        <w:rPr>
          <w:rFonts w:ascii="Arial" w:hAnsi="Arial" w:cs="Arial"/>
          <w:i w:val="0"/>
          <w:iCs/>
          <w:color w:val="auto"/>
          <w:sz w:val="24"/>
          <w:szCs w:val="24"/>
        </w:rPr>
        <w:t xml:space="preserve">PCR </w:t>
      </w:r>
      <w:r w:rsidR="0033534D">
        <w:rPr>
          <w:rFonts w:ascii="Arial" w:hAnsi="Arial" w:cs="Arial"/>
          <w:i w:val="0"/>
          <w:iCs/>
          <w:color w:val="auto"/>
          <w:sz w:val="24"/>
          <w:szCs w:val="24"/>
        </w:rPr>
        <w:t>primers were used to validate the presence of human full-length,</w:t>
      </w:r>
      <w:r w:rsidRPr="00E34F56">
        <w:rPr>
          <w:rFonts w:ascii="Arial" w:hAnsi="Arial" w:cs="Arial"/>
          <w:i w:val="0"/>
          <w:iCs/>
          <w:color w:val="auto"/>
          <w:sz w:val="24"/>
          <w:szCs w:val="24"/>
        </w:rPr>
        <w:t xml:space="preserve"> </w:t>
      </w:r>
      <w:r w:rsidR="0033534D">
        <w:rPr>
          <w:rFonts w:ascii="Arial" w:hAnsi="Arial" w:cs="Arial"/>
          <w:i w:val="0"/>
          <w:iCs/>
          <w:color w:val="auto"/>
          <w:sz w:val="24"/>
          <w:szCs w:val="24"/>
        </w:rPr>
        <w:t xml:space="preserve">membrane-bound </w:t>
      </w:r>
      <w:r w:rsidR="0033534D" w:rsidRPr="0033534D">
        <w:rPr>
          <w:rFonts w:ascii="Arial" w:hAnsi="Arial" w:cs="Arial"/>
          <w:color w:val="auto"/>
          <w:sz w:val="24"/>
          <w:szCs w:val="24"/>
        </w:rPr>
        <w:t>FLT1</w:t>
      </w:r>
      <w:r w:rsidRPr="00E34F56">
        <w:rPr>
          <w:rFonts w:ascii="Arial" w:hAnsi="Arial" w:cs="Arial"/>
          <w:i w:val="0"/>
          <w:iCs/>
          <w:color w:val="auto"/>
          <w:sz w:val="24"/>
          <w:szCs w:val="24"/>
        </w:rPr>
        <w:t xml:space="preserve"> for cell line selection. F: Forward, R: </w:t>
      </w:r>
      <w:r>
        <w:rPr>
          <w:rFonts w:ascii="Arial" w:hAnsi="Arial" w:cs="Arial"/>
          <w:i w:val="0"/>
          <w:iCs/>
          <w:color w:val="auto"/>
          <w:sz w:val="24"/>
          <w:szCs w:val="24"/>
        </w:rPr>
        <w:t>R</w:t>
      </w:r>
      <w:r w:rsidRPr="00E34F56">
        <w:rPr>
          <w:rFonts w:ascii="Arial" w:hAnsi="Arial" w:cs="Arial"/>
          <w:i w:val="0"/>
          <w:iCs/>
          <w:color w:val="auto"/>
          <w:sz w:val="24"/>
          <w:szCs w:val="24"/>
        </w:rPr>
        <w:t>everse. GAPDH is used as a housekeeping gene.</w:t>
      </w:r>
    </w:p>
    <w:tbl>
      <w:tblPr>
        <w:tblStyle w:val="TableGrid"/>
        <w:tblpPr w:leftFromText="180" w:rightFromText="180" w:vertAnchor="text" w:horzAnchor="margin" w:tblpXSpec="center" w:tblpY="141"/>
        <w:tblW w:w="9913" w:type="dxa"/>
        <w:tblLayout w:type="fixed"/>
        <w:tblLook w:val="0600" w:firstRow="0" w:lastRow="0" w:firstColumn="0" w:lastColumn="0" w:noHBand="1" w:noVBand="1"/>
      </w:tblPr>
      <w:tblGrid>
        <w:gridCol w:w="2126"/>
        <w:gridCol w:w="2542"/>
        <w:gridCol w:w="5245"/>
      </w:tblGrid>
      <w:tr w:rsidR="006C69AE" w:rsidRPr="008E3742" w14:paraId="077B4F6F" w14:textId="77777777" w:rsidTr="00745167">
        <w:trPr>
          <w:trHeight w:val="403"/>
        </w:trPr>
        <w:tc>
          <w:tcPr>
            <w:tcW w:w="2126" w:type="dxa"/>
          </w:tcPr>
          <w:p w14:paraId="4B82D048" w14:textId="77777777" w:rsidR="006C69AE" w:rsidRPr="00E34F56" w:rsidRDefault="006C69AE" w:rsidP="00745167">
            <w:pPr>
              <w:jc w:val="both"/>
              <w:rPr>
                <w:rFonts w:ascii="Arial" w:hAnsi="Arial" w:cs="Arial"/>
                <w:b/>
                <w:bCs/>
                <w:sz w:val="24"/>
                <w:szCs w:val="24"/>
              </w:rPr>
            </w:pPr>
            <w:r w:rsidRPr="00E34F56">
              <w:rPr>
                <w:rFonts w:ascii="Arial" w:hAnsi="Arial" w:cs="Arial"/>
                <w:b/>
                <w:bCs/>
                <w:szCs w:val="24"/>
              </w:rPr>
              <w:t>Primer set</w:t>
            </w:r>
          </w:p>
        </w:tc>
        <w:tc>
          <w:tcPr>
            <w:tcW w:w="2542" w:type="dxa"/>
          </w:tcPr>
          <w:p w14:paraId="747D3C16" w14:textId="77777777" w:rsidR="006C69AE" w:rsidRPr="00E34F56" w:rsidRDefault="006C69AE" w:rsidP="00745167">
            <w:pPr>
              <w:jc w:val="both"/>
              <w:rPr>
                <w:rFonts w:ascii="Arial" w:hAnsi="Arial" w:cs="Arial"/>
                <w:b/>
                <w:bCs/>
                <w:sz w:val="24"/>
                <w:szCs w:val="24"/>
              </w:rPr>
            </w:pPr>
            <w:r w:rsidRPr="00E34F56">
              <w:rPr>
                <w:rFonts w:ascii="Arial" w:hAnsi="Arial" w:cs="Arial"/>
                <w:b/>
                <w:bCs/>
                <w:szCs w:val="24"/>
              </w:rPr>
              <w:t>Target region</w:t>
            </w:r>
          </w:p>
        </w:tc>
        <w:tc>
          <w:tcPr>
            <w:tcW w:w="5245" w:type="dxa"/>
          </w:tcPr>
          <w:p w14:paraId="03770158" w14:textId="77777777" w:rsidR="006C69AE" w:rsidRPr="00E34F56" w:rsidRDefault="006C69AE" w:rsidP="00745167">
            <w:pPr>
              <w:jc w:val="both"/>
              <w:rPr>
                <w:rFonts w:ascii="Arial" w:hAnsi="Arial" w:cs="Arial"/>
                <w:b/>
                <w:bCs/>
                <w:sz w:val="24"/>
                <w:szCs w:val="24"/>
              </w:rPr>
            </w:pPr>
            <w:r w:rsidRPr="00E34F56">
              <w:rPr>
                <w:rFonts w:ascii="Arial" w:hAnsi="Arial" w:cs="Arial"/>
                <w:b/>
                <w:bCs/>
                <w:szCs w:val="24"/>
              </w:rPr>
              <w:t>Primer sequence</w:t>
            </w:r>
          </w:p>
        </w:tc>
      </w:tr>
      <w:tr w:rsidR="006C69AE" w:rsidRPr="008E3742" w14:paraId="1D2A9BD6" w14:textId="77777777" w:rsidTr="00745167">
        <w:trPr>
          <w:trHeight w:val="459"/>
        </w:trPr>
        <w:tc>
          <w:tcPr>
            <w:tcW w:w="2126" w:type="dxa"/>
          </w:tcPr>
          <w:p w14:paraId="20A30D39" w14:textId="77777777" w:rsidR="006C69AE" w:rsidRPr="00E34F56" w:rsidRDefault="006C69AE" w:rsidP="00745167">
            <w:pPr>
              <w:jc w:val="both"/>
              <w:rPr>
                <w:rFonts w:ascii="Arial" w:hAnsi="Arial" w:cs="Arial"/>
                <w:sz w:val="24"/>
                <w:szCs w:val="24"/>
              </w:rPr>
            </w:pPr>
            <w:r w:rsidRPr="00E34F56">
              <w:rPr>
                <w:rFonts w:ascii="Arial" w:hAnsi="Arial" w:cs="Arial"/>
                <w:szCs w:val="24"/>
              </w:rPr>
              <w:t xml:space="preserve">hmVEGFR1 PCR </w:t>
            </w:r>
          </w:p>
        </w:tc>
        <w:tc>
          <w:tcPr>
            <w:tcW w:w="2542" w:type="dxa"/>
          </w:tcPr>
          <w:p w14:paraId="2A3F0A84" w14:textId="77777777" w:rsidR="006C69AE" w:rsidRPr="00E34F56" w:rsidRDefault="006C69AE" w:rsidP="00745167">
            <w:pPr>
              <w:jc w:val="both"/>
              <w:rPr>
                <w:rFonts w:ascii="Arial" w:hAnsi="Arial" w:cs="Arial"/>
                <w:sz w:val="24"/>
                <w:szCs w:val="24"/>
              </w:rPr>
            </w:pPr>
            <w:r w:rsidRPr="00E34F56">
              <w:rPr>
                <w:rFonts w:ascii="Arial" w:hAnsi="Arial" w:cs="Arial"/>
                <w:noProof/>
                <w:szCs w:val="24"/>
              </w:rPr>
              <w:drawing>
                <wp:inline distT="0" distB="0" distL="0" distR="0" wp14:anchorId="1D57557C" wp14:editId="3A7742D9">
                  <wp:extent cx="1333500" cy="423874"/>
                  <wp:effectExtent l="0" t="0" r="0" b="0"/>
                  <wp:docPr id="171721087" name="Picture 171721087" descr="A green rectangular sign with white text and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een rectangular sign with white text and black arrows&#10;&#10;Description automatically generated"/>
                          <pic:cNvPicPr/>
                        </pic:nvPicPr>
                        <pic:blipFill>
                          <a:blip r:embed="rId5"/>
                          <a:stretch>
                            <a:fillRect/>
                          </a:stretch>
                        </pic:blipFill>
                        <pic:spPr>
                          <a:xfrm>
                            <a:off x="0" y="0"/>
                            <a:ext cx="1367056" cy="434540"/>
                          </a:xfrm>
                          <a:prstGeom prst="rect">
                            <a:avLst/>
                          </a:prstGeom>
                        </pic:spPr>
                      </pic:pic>
                    </a:graphicData>
                  </a:graphic>
                </wp:inline>
              </w:drawing>
            </w:r>
          </w:p>
        </w:tc>
        <w:tc>
          <w:tcPr>
            <w:tcW w:w="5245" w:type="dxa"/>
          </w:tcPr>
          <w:p w14:paraId="4F833661" w14:textId="77777777" w:rsidR="006C69AE" w:rsidRPr="00E34F56" w:rsidRDefault="006C69AE" w:rsidP="00745167">
            <w:pPr>
              <w:jc w:val="both"/>
              <w:rPr>
                <w:rFonts w:ascii="Arial" w:hAnsi="Arial" w:cs="Arial"/>
                <w:sz w:val="24"/>
                <w:szCs w:val="24"/>
              </w:rPr>
            </w:pPr>
            <w:r w:rsidRPr="00E34F56">
              <w:rPr>
                <w:rFonts w:ascii="Arial" w:hAnsi="Arial" w:cs="Arial"/>
                <w:b/>
                <w:bCs/>
                <w:szCs w:val="24"/>
              </w:rPr>
              <w:t>F:</w:t>
            </w:r>
            <w:r w:rsidRPr="00E34F56">
              <w:rPr>
                <w:rFonts w:ascii="Arial" w:hAnsi="Arial" w:cs="Arial"/>
                <w:szCs w:val="24"/>
              </w:rPr>
              <w:t xml:space="preserve"> GCG GAC AGT TAA </w:t>
            </w:r>
            <w:proofErr w:type="spellStart"/>
            <w:r w:rsidRPr="00E34F56">
              <w:rPr>
                <w:rFonts w:ascii="Arial" w:hAnsi="Arial" w:cs="Arial"/>
                <w:szCs w:val="24"/>
              </w:rPr>
              <w:t>TAA</w:t>
            </w:r>
            <w:proofErr w:type="spellEnd"/>
            <w:r w:rsidRPr="00E34F56">
              <w:rPr>
                <w:rFonts w:ascii="Arial" w:hAnsi="Arial" w:cs="Arial"/>
                <w:szCs w:val="24"/>
              </w:rPr>
              <w:t xml:space="preserve"> CAG AAC AAT</w:t>
            </w:r>
          </w:p>
          <w:p w14:paraId="77CA0B90" w14:textId="77777777" w:rsidR="006C69AE" w:rsidRPr="00E34F56" w:rsidRDefault="006C69AE" w:rsidP="00745167">
            <w:pPr>
              <w:jc w:val="both"/>
              <w:rPr>
                <w:rFonts w:ascii="Arial" w:hAnsi="Arial" w:cs="Arial"/>
                <w:sz w:val="24"/>
                <w:szCs w:val="24"/>
              </w:rPr>
            </w:pPr>
            <w:r w:rsidRPr="00E34F56">
              <w:rPr>
                <w:rFonts w:ascii="Arial" w:hAnsi="Arial" w:cs="Arial"/>
                <w:b/>
                <w:bCs/>
                <w:szCs w:val="24"/>
              </w:rPr>
              <w:t>R:</w:t>
            </w:r>
            <w:r w:rsidRPr="00E34F56">
              <w:rPr>
                <w:rFonts w:ascii="Arial" w:hAnsi="Arial" w:cs="Arial"/>
                <w:szCs w:val="24"/>
              </w:rPr>
              <w:t xml:space="preserve"> GAC AGT CTA AAG TGG </w:t>
            </w:r>
            <w:proofErr w:type="spellStart"/>
            <w:r w:rsidRPr="00E34F56">
              <w:rPr>
                <w:rFonts w:ascii="Arial" w:hAnsi="Arial" w:cs="Arial"/>
                <w:szCs w:val="24"/>
              </w:rPr>
              <w:t>TGG</w:t>
            </w:r>
            <w:proofErr w:type="spellEnd"/>
            <w:r w:rsidRPr="00E34F56">
              <w:rPr>
                <w:rFonts w:ascii="Arial" w:hAnsi="Arial" w:cs="Arial"/>
                <w:szCs w:val="24"/>
              </w:rPr>
              <w:t xml:space="preserve"> AAC T</w:t>
            </w:r>
          </w:p>
        </w:tc>
      </w:tr>
      <w:tr w:rsidR="006C69AE" w:rsidRPr="008E3742" w14:paraId="5F368718" w14:textId="77777777" w:rsidTr="00745167">
        <w:trPr>
          <w:trHeight w:val="224"/>
        </w:trPr>
        <w:tc>
          <w:tcPr>
            <w:tcW w:w="2126" w:type="dxa"/>
          </w:tcPr>
          <w:p w14:paraId="06A9126C" w14:textId="77777777" w:rsidR="006C69AE" w:rsidRPr="00E34F56" w:rsidRDefault="006C69AE" w:rsidP="00745167">
            <w:pPr>
              <w:jc w:val="both"/>
              <w:rPr>
                <w:rFonts w:ascii="Arial" w:hAnsi="Arial" w:cs="Arial"/>
                <w:sz w:val="24"/>
                <w:szCs w:val="24"/>
              </w:rPr>
            </w:pPr>
            <w:r w:rsidRPr="00E34F56">
              <w:rPr>
                <w:rFonts w:ascii="Arial" w:hAnsi="Arial" w:cs="Arial"/>
                <w:szCs w:val="24"/>
              </w:rPr>
              <w:t xml:space="preserve">GAPDH </w:t>
            </w:r>
          </w:p>
          <w:p w14:paraId="1F347D1F" w14:textId="77777777" w:rsidR="006C69AE" w:rsidRPr="00E34F56" w:rsidRDefault="006C69AE" w:rsidP="00745167">
            <w:pPr>
              <w:jc w:val="both"/>
              <w:rPr>
                <w:rFonts w:ascii="Arial" w:hAnsi="Arial" w:cs="Arial"/>
                <w:sz w:val="24"/>
                <w:szCs w:val="24"/>
              </w:rPr>
            </w:pPr>
            <w:r w:rsidRPr="00E34F56">
              <w:rPr>
                <w:rFonts w:ascii="Arial" w:hAnsi="Arial" w:cs="Arial"/>
                <w:szCs w:val="24"/>
              </w:rPr>
              <w:t>(Housekeeping)</w:t>
            </w:r>
          </w:p>
        </w:tc>
        <w:tc>
          <w:tcPr>
            <w:tcW w:w="2542" w:type="dxa"/>
          </w:tcPr>
          <w:p w14:paraId="3BB0D778" w14:textId="77777777" w:rsidR="006C69AE" w:rsidRPr="00E34F56" w:rsidRDefault="006C69AE" w:rsidP="00745167">
            <w:pPr>
              <w:jc w:val="both"/>
              <w:rPr>
                <w:rFonts w:ascii="Arial" w:hAnsi="Arial" w:cs="Arial"/>
                <w:sz w:val="24"/>
                <w:szCs w:val="24"/>
              </w:rPr>
            </w:pPr>
            <w:r w:rsidRPr="00E34F56">
              <w:rPr>
                <w:rFonts w:ascii="Arial" w:hAnsi="Arial" w:cs="Arial"/>
                <w:noProof/>
                <w:szCs w:val="24"/>
              </w:rPr>
              <w:drawing>
                <wp:inline distT="0" distB="0" distL="0" distR="0" wp14:anchorId="0C4C5FA5" wp14:editId="68FDE420">
                  <wp:extent cx="1226820" cy="385663"/>
                  <wp:effectExtent l="0" t="0" r="0" b="0"/>
                  <wp:docPr id="781887747" name="Picture 781887747"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een rectangle with white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3950" cy="391048"/>
                          </a:xfrm>
                          <a:prstGeom prst="rect">
                            <a:avLst/>
                          </a:prstGeom>
                          <a:noFill/>
                        </pic:spPr>
                      </pic:pic>
                    </a:graphicData>
                  </a:graphic>
                </wp:inline>
              </w:drawing>
            </w:r>
          </w:p>
        </w:tc>
        <w:tc>
          <w:tcPr>
            <w:tcW w:w="5245" w:type="dxa"/>
          </w:tcPr>
          <w:p w14:paraId="0A46DBD5" w14:textId="77777777" w:rsidR="006C69AE" w:rsidRPr="00E34F56" w:rsidRDefault="006C69AE" w:rsidP="00745167">
            <w:pPr>
              <w:jc w:val="both"/>
              <w:rPr>
                <w:rFonts w:ascii="Arial" w:hAnsi="Arial" w:cs="Arial"/>
                <w:sz w:val="24"/>
                <w:szCs w:val="24"/>
              </w:rPr>
            </w:pPr>
            <w:r w:rsidRPr="00E34F56">
              <w:rPr>
                <w:rFonts w:ascii="Arial" w:hAnsi="Arial" w:cs="Arial"/>
                <w:b/>
                <w:bCs/>
                <w:szCs w:val="24"/>
              </w:rPr>
              <w:t>F:</w:t>
            </w:r>
            <w:r w:rsidRPr="00E34F56">
              <w:rPr>
                <w:rFonts w:ascii="Arial" w:hAnsi="Arial" w:cs="Arial"/>
                <w:szCs w:val="24"/>
              </w:rPr>
              <w:t xml:space="preserve"> TGA CAT CAA GAA GGT </w:t>
            </w:r>
            <w:proofErr w:type="spellStart"/>
            <w:r w:rsidRPr="00E34F56">
              <w:rPr>
                <w:rFonts w:ascii="Arial" w:hAnsi="Arial" w:cs="Arial"/>
                <w:szCs w:val="24"/>
              </w:rPr>
              <w:t>GGT</w:t>
            </w:r>
            <w:proofErr w:type="spellEnd"/>
            <w:r w:rsidRPr="00E34F56">
              <w:rPr>
                <w:rFonts w:ascii="Arial" w:hAnsi="Arial" w:cs="Arial"/>
                <w:szCs w:val="24"/>
              </w:rPr>
              <w:t xml:space="preserve"> GAA G</w:t>
            </w:r>
          </w:p>
          <w:p w14:paraId="5B6C278F" w14:textId="77777777" w:rsidR="006C69AE" w:rsidRPr="00E34F56" w:rsidRDefault="006C69AE" w:rsidP="00745167">
            <w:pPr>
              <w:jc w:val="both"/>
              <w:rPr>
                <w:rFonts w:ascii="Arial" w:hAnsi="Arial" w:cs="Arial"/>
                <w:sz w:val="24"/>
                <w:szCs w:val="24"/>
              </w:rPr>
            </w:pPr>
            <w:r w:rsidRPr="00E34F56">
              <w:rPr>
                <w:rFonts w:ascii="Arial" w:hAnsi="Arial" w:cs="Arial"/>
                <w:b/>
                <w:bCs/>
                <w:szCs w:val="24"/>
              </w:rPr>
              <w:t>R:</w:t>
            </w:r>
            <w:r w:rsidRPr="00E34F56">
              <w:rPr>
                <w:rFonts w:ascii="Arial" w:hAnsi="Arial" w:cs="Arial"/>
                <w:szCs w:val="24"/>
              </w:rPr>
              <w:t xml:space="preserve"> TAC TCC TTG GAG GCC ATG T</w:t>
            </w:r>
          </w:p>
        </w:tc>
      </w:tr>
    </w:tbl>
    <w:p w14:paraId="49E97E02" w14:textId="77777777" w:rsidR="006C69AE" w:rsidRPr="00E34F56" w:rsidRDefault="006C69AE" w:rsidP="006C69AE">
      <w:pPr>
        <w:jc w:val="both"/>
        <w:rPr>
          <w:rFonts w:ascii="Arial" w:hAnsi="Arial" w:cs="Arial"/>
          <w:b/>
          <w:bCs/>
          <w:szCs w:val="24"/>
        </w:rPr>
      </w:pPr>
    </w:p>
    <w:p w14:paraId="1D93E7D9" w14:textId="77777777" w:rsidR="006C69AE" w:rsidRPr="00E34F56" w:rsidRDefault="006C69AE" w:rsidP="006C69AE">
      <w:pPr>
        <w:jc w:val="both"/>
        <w:rPr>
          <w:rFonts w:ascii="Arial" w:hAnsi="Arial" w:cs="Arial"/>
          <w:b/>
          <w:bCs/>
          <w:i/>
          <w:iCs w:val="0"/>
          <w:szCs w:val="24"/>
        </w:rPr>
      </w:pPr>
    </w:p>
    <w:p w14:paraId="4E32307F" w14:textId="7786BD9B" w:rsidR="006C69AE" w:rsidRPr="00E34F56" w:rsidRDefault="006C69AE" w:rsidP="006C69AE">
      <w:pPr>
        <w:jc w:val="both"/>
        <w:rPr>
          <w:rFonts w:ascii="Arial" w:hAnsi="Arial" w:cs="Arial"/>
          <w:szCs w:val="24"/>
        </w:rPr>
      </w:pPr>
      <w:r w:rsidRPr="00E34F56">
        <w:rPr>
          <w:rFonts w:ascii="Arial" w:hAnsi="Arial" w:cs="Arial"/>
          <w:b/>
          <w:bCs/>
          <w:szCs w:val="24"/>
        </w:rPr>
        <w:lastRenderedPageBreak/>
        <w:t>Supplementary Table 3.</w:t>
      </w:r>
      <w:r w:rsidRPr="00E34F56">
        <w:rPr>
          <w:rFonts w:ascii="Arial" w:hAnsi="Arial" w:cs="Arial"/>
          <w:szCs w:val="24"/>
        </w:rPr>
        <w:t xml:space="preserve"> TaqMan assay probes </w:t>
      </w:r>
      <w:r>
        <w:rPr>
          <w:rFonts w:ascii="Arial" w:hAnsi="Arial" w:cs="Arial"/>
          <w:szCs w:val="24"/>
        </w:rPr>
        <w:t xml:space="preserve">used to validate </w:t>
      </w:r>
      <w:r w:rsidRPr="00E34F56">
        <w:rPr>
          <w:rFonts w:ascii="Arial" w:hAnsi="Arial" w:cs="Arial"/>
          <w:szCs w:val="24"/>
        </w:rPr>
        <w:t xml:space="preserve">full-length </w:t>
      </w:r>
      <w:r w:rsidR="001E65C9">
        <w:rPr>
          <w:rFonts w:ascii="Arial" w:hAnsi="Arial" w:cs="Arial"/>
          <w:szCs w:val="24"/>
        </w:rPr>
        <w:t xml:space="preserve">membrane-bound </w:t>
      </w:r>
      <w:r w:rsidR="001E65C9" w:rsidRPr="001E65C9">
        <w:rPr>
          <w:rFonts w:ascii="Arial" w:hAnsi="Arial" w:cs="Arial"/>
          <w:i/>
          <w:iCs w:val="0"/>
          <w:szCs w:val="24"/>
        </w:rPr>
        <w:t>FLT1</w:t>
      </w:r>
      <w:r w:rsidRPr="00E34F56">
        <w:rPr>
          <w:rFonts w:ascii="Arial" w:hAnsi="Arial" w:cs="Arial"/>
          <w:szCs w:val="24"/>
        </w:rPr>
        <w:t xml:space="preserve"> and total </w:t>
      </w:r>
      <w:r w:rsidRPr="001E65C9">
        <w:rPr>
          <w:rFonts w:ascii="Arial" w:hAnsi="Arial" w:cs="Arial"/>
          <w:i/>
          <w:iCs w:val="0"/>
          <w:szCs w:val="24"/>
        </w:rPr>
        <w:t>FLT1</w:t>
      </w:r>
      <w:r w:rsidRPr="00E34F56">
        <w:rPr>
          <w:rFonts w:ascii="Arial" w:hAnsi="Arial" w:cs="Arial"/>
          <w:szCs w:val="24"/>
        </w:rPr>
        <w:t xml:space="preserve">. All TaqMan probes are pre-designed and ordered from ThermoFisher Scientific. F: Forward, R: </w:t>
      </w:r>
      <w:r>
        <w:rPr>
          <w:rFonts w:ascii="Arial" w:hAnsi="Arial" w:cs="Arial"/>
          <w:szCs w:val="24"/>
        </w:rPr>
        <w:t>Reverse</w:t>
      </w:r>
      <w:r w:rsidRPr="00E34F56">
        <w:rPr>
          <w:rFonts w:ascii="Arial" w:hAnsi="Arial" w:cs="Arial"/>
          <w:szCs w:val="24"/>
        </w:rPr>
        <w:t>. P: probe. GAPDH is used as an internal positive control (IPC).</w:t>
      </w:r>
    </w:p>
    <w:tbl>
      <w:tblPr>
        <w:tblStyle w:val="TableGrid"/>
        <w:tblpPr w:leftFromText="180" w:rightFromText="180" w:vertAnchor="text" w:horzAnchor="margin" w:tblpXSpec="center" w:tblpY="329"/>
        <w:tblW w:w="8784" w:type="dxa"/>
        <w:tblLayout w:type="fixed"/>
        <w:tblLook w:val="0600" w:firstRow="0" w:lastRow="0" w:firstColumn="0" w:lastColumn="0" w:noHBand="1" w:noVBand="1"/>
      </w:tblPr>
      <w:tblGrid>
        <w:gridCol w:w="3681"/>
        <w:gridCol w:w="2835"/>
        <w:gridCol w:w="2268"/>
      </w:tblGrid>
      <w:tr w:rsidR="006C69AE" w:rsidRPr="008E3742" w14:paraId="2B6EDC16" w14:textId="77777777" w:rsidTr="001E65C9">
        <w:trPr>
          <w:trHeight w:val="403"/>
        </w:trPr>
        <w:tc>
          <w:tcPr>
            <w:tcW w:w="3681" w:type="dxa"/>
          </w:tcPr>
          <w:p w14:paraId="767B489B" w14:textId="77777777" w:rsidR="006C69AE" w:rsidRPr="00E34F56" w:rsidRDefault="006C69AE" w:rsidP="00745167">
            <w:pPr>
              <w:ind w:left="176" w:hanging="176"/>
              <w:jc w:val="both"/>
              <w:rPr>
                <w:rFonts w:ascii="Arial" w:hAnsi="Arial" w:cs="Arial"/>
                <w:b/>
                <w:bCs/>
                <w:i/>
                <w:iCs w:val="0"/>
                <w:sz w:val="24"/>
                <w:szCs w:val="24"/>
              </w:rPr>
            </w:pPr>
            <w:r w:rsidRPr="00E34F56">
              <w:rPr>
                <w:rFonts w:ascii="Arial" w:hAnsi="Arial" w:cs="Arial"/>
                <w:b/>
                <w:bCs/>
                <w:szCs w:val="24"/>
              </w:rPr>
              <w:t>Assay name (</w:t>
            </w:r>
            <w:r>
              <w:rPr>
                <w:rFonts w:ascii="Arial" w:hAnsi="Arial" w:cs="Arial"/>
                <w:b/>
                <w:bCs/>
                <w:szCs w:val="24"/>
              </w:rPr>
              <w:t>catalog</w:t>
            </w:r>
            <w:r w:rsidRPr="00E34F56">
              <w:rPr>
                <w:rFonts w:ascii="Arial" w:hAnsi="Arial" w:cs="Arial"/>
                <w:b/>
                <w:bCs/>
                <w:szCs w:val="24"/>
              </w:rPr>
              <w:t xml:space="preserve"> number)</w:t>
            </w:r>
          </w:p>
        </w:tc>
        <w:tc>
          <w:tcPr>
            <w:tcW w:w="2835" w:type="dxa"/>
          </w:tcPr>
          <w:p w14:paraId="729D65A8" w14:textId="77777777" w:rsidR="006C69AE" w:rsidRPr="00E34F56" w:rsidRDefault="006C69AE" w:rsidP="00745167">
            <w:pPr>
              <w:jc w:val="both"/>
              <w:rPr>
                <w:rFonts w:ascii="Arial" w:hAnsi="Arial" w:cs="Arial"/>
                <w:b/>
                <w:bCs/>
                <w:i/>
                <w:iCs w:val="0"/>
                <w:sz w:val="24"/>
                <w:szCs w:val="24"/>
              </w:rPr>
            </w:pPr>
            <w:r w:rsidRPr="00E34F56">
              <w:rPr>
                <w:rFonts w:ascii="Arial" w:hAnsi="Arial" w:cs="Arial"/>
                <w:b/>
                <w:bCs/>
                <w:szCs w:val="24"/>
              </w:rPr>
              <w:t>Target region</w:t>
            </w:r>
          </w:p>
        </w:tc>
        <w:tc>
          <w:tcPr>
            <w:tcW w:w="2268" w:type="dxa"/>
          </w:tcPr>
          <w:p w14:paraId="1B51C7E8" w14:textId="1A1570BE" w:rsidR="006C69AE" w:rsidRPr="00E34F56" w:rsidRDefault="001E65C9" w:rsidP="00745167">
            <w:pPr>
              <w:jc w:val="both"/>
              <w:rPr>
                <w:rFonts w:ascii="Arial" w:hAnsi="Arial" w:cs="Arial"/>
                <w:b/>
                <w:bCs/>
                <w:i/>
                <w:iCs w:val="0"/>
                <w:sz w:val="24"/>
                <w:szCs w:val="24"/>
              </w:rPr>
            </w:pPr>
            <w:r>
              <w:rPr>
                <w:rFonts w:ascii="Arial" w:hAnsi="Arial" w:cs="Arial"/>
                <w:b/>
                <w:bCs/>
                <w:szCs w:val="24"/>
              </w:rPr>
              <w:t>Assay ID</w:t>
            </w:r>
          </w:p>
        </w:tc>
      </w:tr>
      <w:tr w:rsidR="006C69AE" w:rsidRPr="008E3742" w14:paraId="4FB9B7CD" w14:textId="77777777" w:rsidTr="001E65C9">
        <w:trPr>
          <w:trHeight w:val="978"/>
        </w:trPr>
        <w:tc>
          <w:tcPr>
            <w:tcW w:w="3681" w:type="dxa"/>
          </w:tcPr>
          <w:p w14:paraId="56FDF26F" w14:textId="64A55B59" w:rsidR="006C69AE" w:rsidRPr="00E34F56" w:rsidRDefault="006C69AE" w:rsidP="00745167">
            <w:pPr>
              <w:jc w:val="both"/>
              <w:rPr>
                <w:rFonts w:ascii="Arial" w:hAnsi="Arial" w:cs="Arial"/>
                <w:i/>
                <w:iCs w:val="0"/>
                <w:color w:val="333333"/>
                <w:sz w:val="24"/>
                <w:szCs w:val="24"/>
              </w:rPr>
            </w:pPr>
            <w:r w:rsidRPr="00E34F56">
              <w:rPr>
                <w:rFonts w:ascii="Arial" w:hAnsi="Arial" w:cs="Arial"/>
                <w:color w:val="333333"/>
                <w:szCs w:val="24"/>
              </w:rPr>
              <w:t xml:space="preserve">Human </w:t>
            </w:r>
            <w:r w:rsidRPr="00B11350">
              <w:rPr>
                <w:rFonts w:ascii="Arial" w:hAnsi="Arial" w:cs="Arial"/>
                <w:i/>
                <w:iCs w:val="0"/>
                <w:color w:val="333333"/>
                <w:szCs w:val="24"/>
              </w:rPr>
              <w:t>FLT1</w:t>
            </w:r>
            <w:r w:rsidRPr="00E34F56">
              <w:rPr>
                <w:rFonts w:ascii="Arial" w:hAnsi="Arial" w:cs="Arial"/>
                <w:color w:val="333333"/>
                <w:szCs w:val="24"/>
              </w:rPr>
              <w:t xml:space="preserve"> Exon 8-9 </w:t>
            </w:r>
          </w:p>
        </w:tc>
        <w:tc>
          <w:tcPr>
            <w:tcW w:w="2835" w:type="dxa"/>
          </w:tcPr>
          <w:p w14:paraId="674A803C" w14:textId="77777777" w:rsidR="006C69AE" w:rsidRPr="00E34F56" w:rsidRDefault="006C69AE" w:rsidP="00745167">
            <w:pPr>
              <w:jc w:val="both"/>
              <w:rPr>
                <w:rFonts w:ascii="Arial" w:hAnsi="Arial" w:cs="Arial"/>
                <w:i/>
                <w:iCs w:val="0"/>
                <w:color w:val="333333"/>
                <w:sz w:val="24"/>
                <w:szCs w:val="24"/>
              </w:rPr>
            </w:pPr>
            <w:r w:rsidRPr="00E34F56">
              <w:rPr>
                <w:rFonts w:ascii="Arial" w:hAnsi="Arial" w:cs="Arial"/>
                <w:noProof/>
                <w:szCs w:val="24"/>
              </w:rPr>
              <w:drawing>
                <wp:inline distT="0" distB="0" distL="0" distR="0" wp14:anchorId="6F259FC0" wp14:editId="116E79D2">
                  <wp:extent cx="1402080" cy="492391"/>
                  <wp:effectExtent l="0" t="0" r="7620" b="3175"/>
                  <wp:docPr id="14" name="Picture 14" descr="A green rectangular with white text and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een rectangular with white text and black arrows&#10;&#10;Description automatically generated"/>
                          <pic:cNvPicPr/>
                        </pic:nvPicPr>
                        <pic:blipFill>
                          <a:blip r:embed="rId7"/>
                          <a:stretch>
                            <a:fillRect/>
                          </a:stretch>
                        </pic:blipFill>
                        <pic:spPr>
                          <a:xfrm>
                            <a:off x="0" y="0"/>
                            <a:ext cx="1423271" cy="499833"/>
                          </a:xfrm>
                          <a:prstGeom prst="rect">
                            <a:avLst/>
                          </a:prstGeom>
                        </pic:spPr>
                      </pic:pic>
                    </a:graphicData>
                  </a:graphic>
                </wp:inline>
              </w:drawing>
            </w:r>
          </w:p>
        </w:tc>
        <w:tc>
          <w:tcPr>
            <w:tcW w:w="2268" w:type="dxa"/>
          </w:tcPr>
          <w:p w14:paraId="30267DED" w14:textId="6DE19AD6" w:rsidR="006C69AE" w:rsidRPr="00E34F56" w:rsidRDefault="001E65C9" w:rsidP="00745167">
            <w:pPr>
              <w:spacing w:line="720" w:lineRule="auto"/>
              <w:jc w:val="both"/>
              <w:rPr>
                <w:rFonts w:ascii="Arial" w:hAnsi="Arial" w:cs="Arial"/>
                <w:i/>
                <w:iCs w:val="0"/>
                <w:color w:val="333333"/>
                <w:sz w:val="24"/>
                <w:szCs w:val="24"/>
              </w:rPr>
            </w:pPr>
            <w:r w:rsidRPr="00E34F56">
              <w:rPr>
                <w:rFonts w:ascii="Arial" w:hAnsi="Arial" w:cs="Arial"/>
                <w:color w:val="333333"/>
                <w:szCs w:val="24"/>
              </w:rPr>
              <w:t>Hs01052961_m1</w:t>
            </w:r>
          </w:p>
        </w:tc>
      </w:tr>
      <w:tr w:rsidR="006C69AE" w:rsidRPr="008E3742" w14:paraId="1120581A" w14:textId="77777777" w:rsidTr="001E65C9">
        <w:trPr>
          <w:trHeight w:val="232"/>
        </w:trPr>
        <w:tc>
          <w:tcPr>
            <w:tcW w:w="3681" w:type="dxa"/>
          </w:tcPr>
          <w:p w14:paraId="22CD10FC" w14:textId="247676CA" w:rsidR="006C69AE" w:rsidRPr="00E34F56" w:rsidRDefault="006C69AE" w:rsidP="00745167">
            <w:pPr>
              <w:jc w:val="both"/>
              <w:rPr>
                <w:rFonts w:ascii="Arial" w:hAnsi="Arial" w:cs="Arial"/>
                <w:i/>
                <w:iCs w:val="0"/>
                <w:color w:val="333333"/>
                <w:sz w:val="24"/>
                <w:szCs w:val="24"/>
              </w:rPr>
            </w:pPr>
            <w:r w:rsidRPr="00E34F56">
              <w:rPr>
                <w:rFonts w:ascii="Arial" w:hAnsi="Arial" w:cs="Arial"/>
                <w:color w:val="333333"/>
                <w:szCs w:val="24"/>
              </w:rPr>
              <w:t xml:space="preserve">Human </w:t>
            </w:r>
            <w:r w:rsidRPr="00B11350">
              <w:rPr>
                <w:rFonts w:ascii="Arial" w:hAnsi="Arial" w:cs="Arial"/>
                <w:i/>
                <w:iCs w:val="0"/>
                <w:color w:val="333333"/>
                <w:szCs w:val="24"/>
              </w:rPr>
              <w:t>FLT1</w:t>
            </w:r>
            <w:r w:rsidRPr="00E34F56">
              <w:rPr>
                <w:rFonts w:ascii="Arial" w:hAnsi="Arial" w:cs="Arial"/>
                <w:color w:val="333333"/>
                <w:szCs w:val="24"/>
              </w:rPr>
              <w:t xml:space="preserve"> Exon 13-14</w:t>
            </w:r>
          </w:p>
        </w:tc>
        <w:tc>
          <w:tcPr>
            <w:tcW w:w="2835" w:type="dxa"/>
          </w:tcPr>
          <w:p w14:paraId="30116166" w14:textId="77777777" w:rsidR="006C69AE" w:rsidRPr="00E34F56" w:rsidRDefault="006C69AE" w:rsidP="00745167">
            <w:pPr>
              <w:jc w:val="both"/>
              <w:rPr>
                <w:rFonts w:ascii="Arial" w:hAnsi="Arial" w:cs="Arial"/>
                <w:i/>
                <w:iCs w:val="0"/>
                <w:color w:val="333333"/>
                <w:sz w:val="24"/>
                <w:szCs w:val="24"/>
              </w:rPr>
            </w:pPr>
            <w:r w:rsidRPr="00E34F56">
              <w:rPr>
                <w:rFonts w:ascii="Arial" w:hAnsi="Arial" w:cs="Arial"/>
                <w:noProof/>
                <w:szCs w:val="24"/>
              </w:rPr>
              <w:drawing>
                <wp:inline distT="0" distB="0" distL="0" distR="0" wp14:anchorId="56442483" wp14:editId="0F398A69">
                  <wp:extent cx="1407101" cy="471805"/>
                  <wp:effectExtent l="0" t="0" r="3175" b="4445"/>
                  <wp:docPr id="11" name="Picture 11" descr="A green rectangular sign with white text and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rectangular sign with white text and black arrows&#10;&#10;Description automatically generated"/>
                          <pic:cNvPicPr/>
                        </pic:nvPicPr>
                        <pic:blipFill rotWithShape="1">
                          <a:blip r:embed="rId5"/>
                          <a:srcRect l="5201"/>
                          <a:stretch/>
                        </pic:blipFill>
                        <pic:spPr bwMode="auto">
                          <a:xfrm>
                            <a:off x="0" y="0"/>
                            <a:ext cx="1434238" cy="480904"/>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14:paraId="25D25555" w14:textId="6FFAEB34" w:rsidR="006C69AE" w:rsidRPr="00E34F56" w:rsidRDefault="001E65C9" w:rsidP="00745167">
            <w:pPr>
              <w:jc w:val="both"/>
              <w:rPr>
                <w:rFonts w:ascii="Arial" w:hAnsi="Arial" w:cs="Arial"/>
                <w:i/>
                <w:iCs w:val="0"/>
                <w:color w:val="333333"/>
                <w:sz w:val="24"/>
                <w:szCs w:val="24"/>
              </w:rPr>
            </w:pPr>
            <w:r w:rsidRPr="00E34F56">
              <w:rPr>
                <w:rFonts w:ascii="Arial" w:hAnsi="Arial" w:cs="Arial"/>
                <w:color w:val="333333"/>
                <w:szCs w:val="24"/>
              </w:rPr>
              <w:t>Hs01052938_m1</w:t>
            </w:r>
          </w:p>
        </w:tc>
      </w:tr>
      <w:tr w:rsidR="006C69AE" w:rsidRPr="008E3742" w14:paraId="4ED39FD4" w14:textId="77777777" w:rsidTr="001E65C9">
        <w:trPr>
          <w:trHeight w:val="232"/>
        </w:trPr>
        <w:tc>
          <w:tcPr>
            <w:tcW w:w="3681" w:type="dxa"/>
          </w:tcPr>
          <w:p w14:paraId="62EAD67B" w14:textId="6E0441B1" w:rsidR="006C69AE" w:rsidRPr="00E34F56" w:rsidRDefault="006C69AE" w:rsidP="001E65C9">
            <w:pPr>
              <w:jc w:val="both"/>
              <w:rPr>
                <w:rFonts w:ascii="Arial" w:hAnsi="Arial" w:cs="Arial"/>
                <w:i/>
                <w:color w:val="333333"/>
                <w:sz w:val="24"/>
                <w:szCs w:val="24"/>
              </w:rPr>
            </w:pPr>
            <w:r w:rsidRPr="00E34F56">
              <w:rPr>
                <w:rFonts w:ascii="Arial" w:hAnsi="Arial" w:cs="Arial"/>
                <w:color w:val="333333"/>
                <w:szCs w:val="24"/>
              </w:rPr>
              <w:t xml:space="preserve">Human </w:t>
            </w:r>
            <w:r w:rsidRPr="00B11350">
              <w:rPr>
                <w:rFonts w:ascii="Arial" w:hAnsi="Arial" w:cs="Arial"/>
                <w:i/>
                <w:iCs w:val="0"/>
                <w:color w:val="333333"/>
                <w:szCs w:val="24"/>
              </w:rPr>
              <w:t>FLT1</w:t>
            </w:r>
            <w:r w:rsidRPr="00E34F56">
              <w:rPr>
                <w:rFonts w:ascii="Arial" w:hAnsi="Arial" w:cs="Arial"/>
                <w:color w:val="333333"/>
                <w:szCs w:val="24"/>
              </w:rPr>
              <w:t xml:space="preserve"> Exon 14-15</w:t>
            </w:r>
          </w:p>
        </w:tc>
        <w:tc>
          <w:tcPr>
            <w:tcW w:w="2835" w:type="dxa"/>
          </w:tcPr>
          <w:p w14:paraId="66331CA0" w14:textId="77777777" w:rsidR="006C69AE" w:rsidRPr="00E34F56" w:rsidRDefault="006C69AE" w:rsidP="00745167">
            <w:pPr>
              <w:jc w:val="both"/>
              <w:rPr>
                <w:rFonts w:ascii="Arial" w:hAnsi="Arial" w:cs="Arial"/>
                <w:sz w:val="24"/>
                <w:szCs w:val="24"/>
              </w:rPr>
            </w:pPr>
            <w:r w:rsidRPr="00E34F56">
              <w:rPr>
                <w:rFonts w:ascii="Arial" w:hAnsi="Arial" w:cs="Arial"/>
                <w:noProof/>
                <w:szCs w:val="24"/>
              </w:rPr>
              <w:drawing>
                <wp:inline distT="0" distB="0" distL="0" distR="0" wp14:anchorId="2D7FA94D" wp14:editId="158EA992">
                  <wp:extent cx="1422284" cy="440449"/>
                  <wp:effectExtent l="0" t="0" r="0" b="0"/>
                  <wp:docPr id="1096848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48627" name="Picture 1096848627"/>
                          <pic:cNvPicPr/>
                        </pic:nvPicPr>
                        <pic:blipFill>
                          <a:blip r:embed="rId8">
                            <a:extLst>
                              <a:ext uri="{28A0092B-C50C-407E-A947-70E740481C1C}">
                                <a14:useLocalDpi xmlns:a14="http://schemas.microsoft.com/office/drawing/2010/main"/>
                              </a:ext>
                            </a:extLst>
                          </a:blip>
                          <a:stretch>
                            <a:fillRect/>
                          </a:stretch>
                        </pic:blipFill>
                        <pic:spPr>
                          <a:xfrm>
                            <a:off x="0" y="0"/>
                            <a:ext cx="1422284" cy="440449"/>
                          </a:xfrm>
                          <a:prstGeom prst="rect">
                            <a:avLst/>
                          </a:prstGeom>
                        </pic:spPr>
                      </pic:pic>
                    </a:graphicData>
                  </a:graphic>
                </wp:inline>
              </w:drawing>
            </w:r>
          </w:p>
        </w:tc>
        <w:tc>
          <w:tcPr>
            <w:tcW w:w="2268" w:type="dxa"/>
          </w:tcPr>
          <w:p w14:paraId="51DE0E33" w14:textId="635A40BC" w:rsidR="006C69AE" w:rsidRPr="00E34F56" w:rsidRDefault="001E65C9" w:rsidP="001E65C9">
            <w:pPr>
              <w:jc w:val="both"/>
              <w:rPr>
                <w:rFonts w:ascii="Arial" w:hAnsi="Arial" w:cs="Arial"/>
                <w:i/>
                <w:color w:val="333333"/>
                <w:sz w:val="24"/>
                <w:szCs w:val="24"/>
              </w:rPr>
            </w:pPr>
            <w:r w:rsidRPr="00E34F56">
              <w:rPr>
                <w:rFonts w:ascii="Arial" w:hAnsi="Arial" w:cs="Arial"/>
                <w:color w:val="333333"/>
                <w:szCs w:val="24"/>
              </w:rPr>
              <w:t>Hs01052939_m1</w:t>
            </w:r>
          </w:p>
        </w:tc>
      </w:tr>
      <w:tr w:rsidR="006C4081" w:rsidRPr="008E3742" w14:paraId="6C19CF6D" w14:textId="77777777" w:rsidTr="001E65C9">
        <w:trPr>
          <w:trHeight w:val="232"/>
        </w:trPr>
        <w:tc>
          <w:tcPr>
            <w:tcW w:w="3681" w:type="dxa"/>
          </w:tcPr>
          <w:p w14:paraId="78AFA085" w14:textId="082C2E73" w:rsidR="006C4081" w:rsidRPr="00E34F56" w:rsidRDefault="006C4081" w:rsidP="006C4081">
            <w:pPr>
              <w:jc w:val="both"/>
              <w:rPr>
                <w:rFonts w:ascii="Arial" w:hAnsi="Arial" w:cs="Arial"/>
                <w:color w:val="333333"/>
                <w:szCs w:val="24"/>
              </w:rPr>
            </w:pPr>
            <w:r w:rsidRPr="00E34F56">
              <w:rPr>
                <w:rFonts w:ascii="Arial" w:hAnsi="Arial" w:cs="Arial"/>
                <w:color w:val="333333"/>
                <w:szCs w:val="24"/>
              </w:rPr>
              <w:t xml:space="preserve"> Human </w:t>
            </w:r>
            <w:r w:rsidRPr="00B11350">
              <w:rPr>
                <w:rFonts w:ascii="Arial" w:hAnsi="Arial" w:cs="Arial"/>
                <w:i/>
                <w:iCs w:val="0"/>
                <w:color w:val="333333"/>
                <w:szCs w:val="24"/>
              </w:rPr>
              <w:t>GAPDH</w:t>
            </w:r>
          </w:p>
        </w:tc>
        <w:tc>
          <w:tcPr>
            <w:tcW w:w="2835" w:type="dxa"/>
          </w:tcPr>
          <w:p w14:paraId="04ADF7D2" w14:textId="21FEB703" w:rsidR="006C4081" w:rsidRPr="00E34F56" w:rsidRDefault="006C4081" w:rsidP="006C4081">
            <w:pPr>
              <w:jc w:val="both"/>
              <w:rPr>
                <w:rFonts w:ascii="Arial" w:hAnsi="Arial" w:cs="Arial"/>
                <w:noProof/>
                <w:szCs w:val="24"/>
              </w:rPr>
            </w:pPr>
            <w:r w:rsidRPr="00E34F56">
              <w:rPr>
                <w:rFonts w:ascii="Arial" w:hAnsi="Arial" w:cs="Arial"/>
                <w:noProof/>
                <w:color w:val="333333"/>
                <w:szCs w:val="24"/>
              </w:rPr>
              <w:drawing>
                <wp:inline distT="0" distB="0" distL="0" distR="0" wp14:anchorId="43BFC1A3" wp14:editId="2E7451FF">
                  <wp:extent cx="1306286" cy="410645"/>
                  <wp:effectExtent l="0" t="0" r="0" b="8890"/>
                  <wp:docPr id="977895415" name="Picture 977895415"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een rectangle with white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5108" cy="419706"/>
                          </a:xfrm>
                          <a:prstGeom prst="rect">
                            <a:avLst/>
                          </a:prstGeom>
                          <a:noFill/>
                        </pic:spPr>
                      </pic:pic>
                    </a:graphicData>
                  </a:graphic>
                </wp:inline>
              </w:drawing>
            </w:r>
          </w:p>
        </w:tc>
        <w:tc>
          <w:tcPr>
            <w:tcW w:w="2268" w:type="dxa"/>
          </w:tcPr>
          <w:p w14:paraId="2108DD2D" w14:textId="3F7A7DED" w:rsidR="006C4081" w:rsidRPr="00E34F56" w:rsidRDefault="006C4081" w:rsidP="006C4081">
            <w:pPr>
              <w:jc w:val="both"/>
              <w:rPr>
                <w:rFonts w:ascii="Arial" w:hAnsi="Arial" w:cs="Arial"/>
                <w:color w:val="333333"/>
                <w:szCs w:val="24"/>
              </w:rPr>
            </w:pPr>
            <w:r w:rsidRPr="00E34F56">
              <w:rPr>
                <w:rFonts w:ascii="Arial" w:hAnsi="Arial" w:cs="Arial"/>
                <w:color w:val="333333"/>
                <w:szCs w:val="24"/>
              </w:rPr>
              <w:t>Hs99999905_m1</w:t>
            </w:r>
          </w:p>
        </w:tc>
      </w:tr>
      <w:tr w:rsidR="006C4081" w:rsidRPr="008E3742" w14:paraId="1CA2F8E6" w14:textId="77777777" w:rsidTr="001E65C9">
        <w:trPr>
          <w:trHeight w:val="232"/>
        </w:trPr>
        <w:tc>
          <w:tcPr>
            <w:tcW w:w="3681" w:type="dxa"/>
          </w:tcPr>
          <w:p w14:paraId="27A77809" w14:textId="6BC3C90D" w:rsidR="006C4081" w:rsidRPr="00E34F56" w:rsidRDefault="006C4081" w:rsidP="006C4081">
            <w:pPr>
              <w:jc w:val="both"/>
              <w:rPr>
                <w:rFonts w:ascii="Arial" w:hAnsi="Arial" w:cs="Arial"/>
                <w:i/>
                <w:iCs w:val="0"/>
                <w:color w:val="333333"/>
                <w:sz w:val="24"/>
                <w:szCs w:val="24"/>
              </w:rPr>
            </w:pPr>
            <w:r w:rsidRPr="00E34F56">
              <w:rPr>
                <w:rFonts w:ascii="Arial" w:hAnsi="Arial" w:cs="Arial"/>
                <w:color w:val="333333"/>
                <w:szCs w:val="24"/>
              </w:rPr>
              <w:t xml:space="preserve">Mouse </w:t>
            </w:r>
            <w:r w:rsidRPr="00B11350">
              <w:rPr>
                <w:rFonts w:ascii="Arial" w:hAnsi="Arial" w:cs="Arial"/>
                <w:i/>
                <w:iCs w:val="0"/>
                <w:color w:val="333333"/>
                <w:szCs w:val="24"/>
              </w:rPr>
              <w:t>Flt1</w:t>
            </w:r>
            <w:r w:rsidRPr="00E34F56">
              <w:rPr>
                <w:rFonts w:ascii="Arial" w:hAnsi="Arial" w:cs="Arial"/>
                <w:color w:val="333333"/>
                <w:szCs w:val="24"/>
              </w:rPr>
              <w:t xml:space="preserve"> Exon 8-9</w:t>
            </w:r>
          </w:p>
        </w:tc>
        <w:tc>
          <w:tcPr>
            <w:tcW w:w="2835" w:type="dxa"/>
          </w:tcPr>
          <w:p w14:paraId="5EB4B9F3" w14:textId="77777777" w:rsidR="006C4081" w:rsidRPr="00E34F56" w:rsidRDefault="006C4081" w:rsidP="006C4081">
            <w:pPr>
              <w:jc w:val="both"/>
              <w:rPr>
                <w:rFonts w:ascii="Arial" w:hAnsi="Arial" w:cs="Arial"/>
                <w:noProof/>
                <w:sz w:val="24"/>
                <w:szCs w:val="24"/>
              </w:rPr>
            </w:pPr>
            <w:r w:rsidRPr="00E34F56">
              <w:rPr>
                <w:rFonts w:ascii="Arial" w:hAnsi="Arial" w:cs="Arial"/>
                <w:noProof/>
                <w:szCs w:val="24"/>
              </w:rPr>
              <w:drawing>
                <wp:inline distT="0" distB="0" distL="0" distR="0" wp14:anchorId="1D0BFB2A" wp14:editId="6FAF4BC7">
                  <wp:extent cx="1402080" cy="492391"/>
                  <wp:effectExtent l="0" t="0" r="7620" b="3175"/>
                  <wp:docPr id="329244032" name="Picture 329244032" descr="A green rectangular with white text and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een rectangular with white text and black arrows&#10;&#10;Description automatically generated"/>
                          <pic:cNvPicPr/>
                        </pic:nvPicPr>
                        <pic:blipFill>
                          <a:blip r:embed="rId7"/>
                          <a:stretch>
                            <a:fillRect/>
                          </a:stretch>
                        </pic:blipFill>
                        <pic:spPr>
                          <a:xfrm>
                            <a:off x="0" y="0"/>
                            <a:ext cx="1423271" cy="499833"/>
                          </a:xfrm>
                          <a:prstGeom prst="rect">
                            <a:avLst/>
                          </a:prstGeom>
                        </pic:spPr>
                      </pic:pic>
                    </a:graphicData>
                  </a:graphic>
                </wp:inline>
              </w:drawing>
            </w:r>
          </w:p>
        </w:tc>
        <w:tc>
          <w:tcPr>
            <w:tcW w:w="2268" w:type="dxa"/>
          </w:tcPr>
          <w:p w14:paraId="564E8075" w14:textId="3FC28797" w:rsidR="006C4081" w:rsidRPr="00E34F56" w:rsidRDefault="006C4081" w:rsidP="006C4081">
            <w:pPr>
              <w:jc w:val="both"/>
              <w:rPr>
                <w:rFonts w:ascii="Arial" w:hAnsi="Arial" w:cs="Arial"/>
                <w:i/>
                <w:color w:val="333333"/>
                <w:sz w:val="24"/>
                <w:szCs w:val="24"/>
              </w:rPr>
            </w:pPr>
            <w:r w:rsidRPr="00E34F56">
              <w:rPr>
                <w:rFonts w:ascii="Arial" w:hAnsi="Arial" w:cs="Arial"/>
                <w:color w:val="333333"/>
                <w:szCs w:val="24"/>
              </w:rPr>
              <w:t>Mm01210876_m1</w:t>
            </w:r>
          </w:p>
        </w:tc>
      </w:tr>
      <w:tr w:rsidR="006C4081" w:rsidRPr="008E3742" w14:paraId="0C7DBA9D" w14:textId="77777777" w:rsidTr="001E65C9">
        <w:trPr>
          <w:trHeight w:val="232"/>
        </w:trPr>
        <w:tc>
          <w:tcPr>
            <w:tcW w:w="3681" w:type="dxa"/>
          </w:tcPr>
          <w:p w14:paraId="333354B7" w14:textId="734A0AEE" w:rsidR="006C4081" w:rsidRPr="00E34F56" w:rsidRDefault="006C4081" w:rsidP="006C4081">
            <w:pPr>
              <w:jc w:val="both"/>
              <w:rPr>
                <w:rFonts w:ascii="Arial" w:hAnsi="Arial" w:cs="Arial"/>
                <w:i/>
                <w:iCs w:val="0"/>
                <w:color w:val="333333"/>
                <w:sz w:val="24"/>
                <w:szCs w:val="24"/>
              </w:rPr>
            </w:pPr>
            <w:r w:rsidRPr="00E34F56">
              <w:rPr>
                <w:rFonts w:ascii="Arial" w:hAnsi="Arial" w:cs="Arial"/>
                <w:color w:val="333333"/>
                <w:szCs w:val="24"/>
              </w:rPr>
              <w:t xml:space="preserve">Mouse </w:t>
            </w:r>
            <w:r w:rsidRPr="00B11350">
              <w:rPr>
                <w:rFonts w:ascii="Arial" w:hAnsi="Arial" w:cs="Arial"/>
                <w:i/>
                <w:iCs w:val="0"/>
                <w:color w:val="333333"/>
                <w:szCs w:val="24"/>
              </w:rPr>
              <w:t>Flt1</w:t>
            </w:r>
            <w:r w:rsidRPr="00E34F56">
              <w:rPr>
                <w:rFonts w:ascii="Arial" w:hAnsi="Arial" w:cs="Arial"/>
                <w:color w:val="333333"/>
                <w:szCs w:val="24"/>
              </w:rPr>
              <w:t xml:space="preserve"> Exon 13-14</w:t>
            </w:r>
          </w:p>
        </w:tc>
        <w:tc>
          <w:tcPr>
            <w:tcW w:w="2835" w:type="dxa"/>
          </w:tcPr>
          <w:p w14:paraId="5345BD0E" w14:textId="77777777" w:rsidR="006C4081" w:rsidRPr="00E34F56" w:rsidRDefault="006C4081" w:rsidP="006C4081">
            <w:pPr>
              <w:jc w:val="both"/>
              <w:rPr>
                <w:rFonts w:ascii="Arial" w:hAnsi="Arial" w:cs="Arial"/>
                <w:noProof/>
                <w:sz w:val="24"/>
                <w:szCs w:val="24"/>
              </w:rPr>
            </w:pPr>
            <w:r w:rsidRPr="00E34F56">
              <w:rPr>
                <w:rFonts w:ascii="Arial" w:hAnsi="Arial" w:cs="Arial"/>
                <w:noProof/>
                <w:szCs w:val="24"/>
              </w:rPr>
              <w:drawing>
                <wp:inline distT="0" distB="0" distL="0" distR="0" wp14:anchorId="32FB031C" wp14:editId="62B31FB6">
                  <wp:extent cx="1407101" cy="471805"/>
                  <wp:effectExtent l="0" t="0" r="3175" b="4445"/>
                  <wp:docPr id="1055090188" name="Picture 1055090188" descr="A green rectangular sign with white text and black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rectangular sign with white text and black arrows&#10;&#10;Description automatically generated"/>
                          <pic:cNvPicPr/>
                        </pic:nvPicPr>
                        <pic:blipFill rotWithShape="1">
                          <a:blip r:embed="rId5"/>
                          <a:srcRect l="5201"/>
                          <a:stretch/>
                        </pic:blipFill>
                        <pic:spPr bwMode="auto">
                          <a:xfrm>
                            <a:off x="0" y="0"/>
                            <a:ext cx="1434238" cy="480904"/>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14:paraId="3572B45A" w14:textId="50A9C4BA" w:rsidR="006C4081" w:rsidRPr="00E34F56" w:rsidRDefault="006C4081" w:rsidP="006C4081">
            <w:pPr>
              <w:jc w:val="both"/>
              <w:rPr>
                <w:rFonts w:ascii="Arial" w:hAnsi="Arial" w:cs="Arial"/>
                <w:i/>
                <w:color w:val="333333"/>
                <w:sz w:val="24"/>
                <w:szCs w:val="24"/>
              </w:rPr>
            </w:pPr>
            <w:r w:rsidRPr="00E34F56">
              <w:rPr>
                <w:rFonts w:ascii="Arial" w:hAnsi="Arial" w:cs="Arial"/>
                <w:color w:val="333333"/>
                <w:szCs w:val="24"/>
              </w:rPr>
              <w:t>Mm01210863_m1</w:t>
            </w:r>
          </w:p>
        </w:tc>
      </w:tr>
      <w:tr w:rsidR="006C4081" w:rsidRPr="008E3742" w14:paraId="5C20EB41" w14:textId="77777777" w:rsidTr="001E65C9">
        <w:trPr>
          <w:trHeight w:val="232"/>
        </w:trPr>
        <w:tc>
          <w:tcPr>
            <w:tcW w:w="3681" w:type="dxa"/>
          </w:tcPr>
          <w:p w14:paraId="111A6075" w14:textId="76A672F2" w:rsidR="006C4081" w:rsidRPr="00E34F56" w:rsidRDefault="006C4081" w:rsidP="006C4081">
            <w:pPr>
              <w:jc w:val="both"/>
              <w:rPr>
                <w:rFonts w:ascii="Arial" w:hAnsi="Arial" w:cs="Arial"/>
                <w:color w:val="333333"/>
                <w:szCs w:val="24"/>
              </w:rPr>
            </w:pPr>
            <w:r w:rsidRPr="00E34F56">
              <w:rPr>
                <w:rFonts w:ascii="Arial" w:hAnsi="Arial" w:cs="Arial"/>
                <w:color w:val="333333"/>
                <w:szCs w:val="24"/>
              </w:rPr>
              <w:t xml:space="preserve"> </w:t>
            </w:r>
            <w:r>
              <w:rPr>
                <w:rFonts w:ascii="Arial" w:hAnsi="Arial" w:cs="Arial"/>
                <w:color w:val="333333"/>
                <w:szCs w:val="24"/>
              </w:rPr>
              <w:t>Mouse</w:t>
            </w:r>
            <w:r w:rsidRPr="00E34F56">
              <w:rPr>
                <w:rFonts w:ascii="Arial" w:hAnsi="Arial" w:cs="Arial"/>
                <w:color w:val="333333"/>
                <w:szCs w:val="24"/>
              </w:rPr>
              <w:t xml:space="preserve"> </w:t>
            </w:r>
            <w:r w:rsidRPr="00B11350">
              <w:rPr>
                <w:rFonts w:ascii="Arial" w:hAnsi="Arial" w:cs="Arial"/>
                <w:i/>
                <w:iCs w:val="0"/>
                <w:color w:val="333333"/>
                <w:szCs w:val="24"/>
              </w:rPr>
              <w:t>G</w:t>
            </w:r>
            <w:r w:rsidRPr="00B11350">
              <w:rPr>
                <w:rFonts w:ascii="Arial" w:hAnsi="Arial" w:cs="Arial"/>
                <w:i/>
                <w:iCs w:val="0"/>
                <w:color w:val="333333"/>
                <w:szCs w:val="24"/>
              </w:rPr>
              <w:t>apdh</w:t>
            </w:r>
          </w:p>
        </w:tc>
        <w:tc>
          <w:tcPr>
            <w:tcW w:w="2835" w:type="dxa"/>
          </w:tcPr>
          <w:p w14:paraId="3BF3117E" w14:textId="348D41B1" w:rsidR="006C4081" w:rsidRPr="00E34F56" w:rsidRDefault="006C4081" w:rsidP="006C4081">
            <w:pPr>
              <w:jc w:val="both"/>
              <w:rPr>
                <w:rFonts w:ascii="Arial" w:hAnsi="Arial" w:cs="Arial"/>
                <w:noProof/>
                <w:szCs w:val="24"/>
              </w:rPr>
            </w:pPr>
            <w:r w:rsidRPr="00E34F56">
              <w:rPr>
                <w:rFonts w:ascii="Arial" w:hAnsi="Arial" w:cs="Arial"/>
                <w:noProof/>
                <w:color w:val="333333"/>
                <w:szCs w:val="24"/>
              </w:rPr>
              <w:drawing>
                <wp:inline distT="0" distB="0" distL="0" distR="0" wp14:anchorId="2A1DE7A3" wp14:editId="584C24DE">
                  <wp:extent cx="1306286" cy="410645"/>
                  <wp:effectExtent l="0" t="0" r="0" b="8890"/>
                  <wp:docPr id="63496417" name="Picture 63496417"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een rectangle with white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5108" cy="419706"/>
                          </a:xfrm>
                          <a:prstGeom prst="rect">
                            <a:avLst/>
                          </a:prstGeom>
                          <a:noFill/>
                        </pic:spPr>
                      </pic:pic>
                    </a:graphicData>
                  </a:graphic>
                </wp:inline>
              </w:drawing>
            </w:r>
          </w:p>
        </w:tc>
        <w:tc>
          <w:tcPr>
            <w:tcW w:w="2268" w:type="dxa"/>
          </w:tcPr>
          <w:p w14:paraId="76F2CFF5" w14:textId="7071B7BD" w:rsidR="006C4081" w:rsidRPr="00E34F56" w:rsidRDefault="006C4081" w:rsidP="006C4081">
            <w:pPr>
              <w:jc w:val="both"/>
              <w:rPr>
                <w:rFonts w:ascii="Arial" w:hAnsi="Arial" w:cs="Arial"/>
                <w:color w:val="333333"/>
                <w:szCs w:val="24"/>
              </w:rPr>
            </w:pPr>
            <w:r w:rsidRPr="006C4081">
              <w:rPr>
                <w:rFonts w:ascii="Arial" w:hAnsi="Arial" w:cs="Arial"/>
                <w:color w:val="333333"/>
                <w:szCs w:val="24"/>
              </w:rPr>
              <w:t>Mm99999915_g1</w:t>
            </w:r>
          </w:p>
        </w:tc>
      </w:tr>
    </w:tbl>
    <w:p w14:paraId="1D4284BF" w14:textId="77777777" w:rsidR="006C69AE" w:rsidRPr="00E34F56" w:rsidRDefault="006C69AE" w:rsidP="006C69AE">
      <w:pPr>
        <w:pStyle w:val="Caption"/>
        <w:jc w:val="both"/>
        <w:rPr>
          <w:rFonts w:ascii="Arial" w:hAnsi="Arial" w:cs="Arial"/>
          <w:i w:val="0"/>
          <w:iCs/>
          <w:sz w:val="24"/>
          <w:szCs w:val="24"/>
        </w:rPr>
      </w:pPr>
    </w:p>
    <w:p w14:paraId="4C646418" w14:textId="77777777" w:rsidR="006C69AE" w:rsidRPr="00E34F56" w:rsidRDefault="006C69AE" w:rsidP="006C69AE">
      <w:pPr>
        <w:jc w:val="both"/>
        <w:rPr>
          <w:rFonts w:ascii="Arial" w:hAnsi="Arial" w:cs="Arial"/>
          <w:szCs w:val="24"/>
        </w:rPr>
      </w:pPr>
      <w:bookmarkStart w:id="0" w:name="_Ref166343497"/>
    </w:p>
    <w:p w14:paraId="4260C849" w14:textId="77777777" w:rsidR="006C69AE" w:rsidRPr="00E34F56" w:rsidRDefault="006C69AE" w:rsidP="006C69AE">
      <w:pPr>
        <w:jc w:val="both"/>
        <w:rPr>
          <w:rFonts w:ascii="Arial" w:hAnsi="Arial" w:cs="Arial"/>
          <w:szCs w:val="24"/>
        </w:rPr>
      </w:pPr>
    </w:p>
    <w:p w14:paraId="15F061A7" w14:textId="606A7655" w:rsidR="006C69AE" w:rsidRPr="00E34F56" w:rsidRDefault="006C69AE" w:rsidP="006C69AE">
      <w:pPr>
        <w:pStyle w:val="Caption"/>
        <w:snapToGrid w:val="0"/>
        <w:spacing w:after="120"/>
        <w:jc w:val="both"/>
        <w:rPr>
          <w:rFonts w:ascii="Arial" w:eastAsia="Times New Roman" w:hAnsi="Arial" w:cs="Arial"/>
          <w:b/>
          <w:bCs/>
          <w:i w:val="0"/>
          <w:iCs/>
          <w:color w:val="auto"/>
          <w:sz w:val="24"/>
          <w:szCs w:val="24"/>
          <w:lang w:eastAsia="en-AU"/>
        </w:rPr>
      </w:pPr>
      <w:r w:rsidRPr="00E34F56">
        <w:rPr>
          <w:rFonts w:ascii="Arial" w:hAnsi="Arial" w:cs="Arial"/>
          <w:b/>
          <w:bCs/>
          <w:i w:val="0"/>
          <w:iCs/>
          <w:color w:val="auto"/>
          <w:sz w:val="24"/>
          <w:szCs w:val="24"/>
        </w:rPr>
        <w:t xml:space="preserve">Supplementary Table </w:t>
      </w:r>
      <w:bookmarkEnd w:id="0"/>
      <w:r w:rsidRPr="00E34F56">
        <w:rPr>
          <w:rFonts w:ascii="Arial" w:hAnsi="Arial" w:cs="Arial"/>
          <w:b/>
          <w:bCs/>
          <w:i w:val="0"/>
          <w:iCs/>
          <w:color w:val="auto"/>
          <w:sz w:val="24"/>
          <w:szCs w:val="24"/>
        </w:rPr>
        <w:t>4.</w:t>
      </w:r>
      <w:r w:rsidRPr="00E34F56">
        <w:rPr>
          <w:rFonts w:ascii="Arial" w:hAnsi="Arial" w:cs="Arial"/>
          <w:i w:val="0"/>
          <w:iCs/>
          <w:sz w:val="24"/>
          <w:szCs w:val="24"/>
        </w:rPr>
        <w:t xml:space="preserve"> </w:t>
      </w:r>
      <w:r w:rsidRPr="00E34F56">
        <w:rPr>
          <w:rFonts w:ascii="Arial" w:eastAsia="Times New Roman" w:hAnsi="Arial" w:cs="Arial"/>
          <w:i w:val="0"/>
          <w:iCs/>
          <w:color w:val="auto"/>
          <w:sz w:val="24"/>
          <w:szCs w:val="24"/>
          <w:lang w:eastAsia="en-AU"/>
        </w:rPr>
        <w:t xml:space="preserve">Sequences of the </w:t>
      </w:r>
      <w:r>
        <w:rPr>
          <w:rFonts w:ascii="Arial" w:eastAsia="Times New Roman" w:hAnsi="Arial" w:cs="Arial"/>
          <w:i w:val="0"/>
          <w:iCs/>
          <w:color w:val="auto"/>
          <w:sz w:val="24"/>
          <w:szCs w:val="24"/>
          <w:lang w:eastAsia="en-AU"/>
        </w:rPr>
        <w:t>20 bp sgRNAs used for the CRISPRa (</w:t>
      </w:r>
      <w:r w:rsidR="001E65C9">
        <w:rPr>
          <w:rFonts w:ascii="Arial" w:eastAsia="Times New Roman" w:hAnsi="Arial" w:cs="Arial"/>
          <w:i w:val="0"/>
          <w:iCs/>
          <w:color w:val="auto"/>
          <w:sz w:val="24"/>
          <w:szCs w:val="24"/>
          <w:lang w:eastAsia="en-AU"/>
        </w:rPr>
        <w:t>d</w:t>
      </w:r>
      <w:r>
        <w:rPr>
          <w:rFonts w:ascii="Arial" w:eastAsia="Times New Roman" w:hAnsi="Arial" w:cs="Arial"/>
          <w:i w:val="0"/>
          <w:iCs/>
          <w:color w:val="auto"/>
          <w:sz w:val="24"/>
          <w:szCs w:val="24"/>
          <w:lang w:eastAsia="en-AU"/>
        </w:rPr>
        <w:t>Cas9-VPR system) and their distance upstream of</w:t>
      </w:r>
      <w:r w:rsidRPr="00E34F56">
        <w:rPr>
          <w:rFonts w:ascii="Arial" w:eastAsia="Times New Roman" w:hAnsi="Arial" w:cs="Arial"/>
          <w:i w:val="0"/>
          <w:iCs/>
          <w:color w:val="auto"/>
          <w:sz w:val="24"/>
          <w:szCs w:val="24"/>
          <w:lang w:eastAsia="en-AU"/>
        </w:rPr>
        <w:t xml:space="preserve"> the transcriptional start site (TSS).</w:t>
      </w:r>
    </w:p>
    <w:tbl>
      <w:tblPr>
        <w:tblStyle w:val="TableGrid"/>
        <w:tblW w:w="0" w:type="auto"/>
        <w:jc w:val="center"/>
        <w:tblLook w:val="04A0" w:firstRow="1" w:lastRow="0" w:firstColumn="1" w:lastColumn="0" w:noHBand="0" w:noVBand="1"/>
      </w:tblPr>
      <w:tblGrid>
        <w:gridCol w:w="1661"/>
        <w:gridCol w:w="4469"/>
        <w:gridCol w:w="2042"/>
      </w:tblGrid>
      <w:tr w:rsidR="006C69AE" w:rsidRPr="008E3742" w14:paraId="1B091486" w14:textId="77777777" w:rsidTr="00745167">
        <w:trPr>
          <w:jc w:val="center"/>
        </w:trPr>
        <w:tc>
          <w:tcPr>
            <w:tcW w:w="1661" w:type="dxa"/>
          </w:tcPr>
          <w:p w14:paraId="41DF01EF" w14:textId="77777777" w:rsidR="006C69AE" w:rsidRPr="00E34F56" w:rsidRDefault="006C69AE" w:rsidP="00745167">
            <w:pPr>
              <w:jc w:val="both"/>
              <w:rPr>
                <w:rFonts w:ascii="Arial" w:hAnsi="Arial" w:cs="Arial"/>
                <w:b/>
                <w:bCs/>
                <w:i/>
                <w:iCs w:val="0"/>
                <w:sz w:val="24"/>
                <w:szCs w:val="24"/>
                <w:lang w:eastAsia="en-AU"/>
              </w:rPr>
            </w:pPr>
            <w:r w:rsidRPr="00E34F56">
              <w:rPr>
                <w:rFonts w:ascii="Arial" w:hAnsi="Arial" w:cs="Arial"/>
                <w:b/>
                <w:bCs/>
                <w:szCs w:val="24"/>
                <w:lang w:eastAsia="en-AU"/>
              </w:rPr>
              <w:t>sgRNA name</w:t>
            </w:r>
          </w:p>
        </w:tc>
        <w:tc>
          <w:tcPr>
            <w:tcW w:w="4469" w:type="dxa"/>
          </w:tcPr>
          <w:p w14:paraId="235A057E" w14:textId="77777777" w:rsidR="006C69AE" w:rsidRPr="00E34F56" w:rsidRDefault="006C69AE" w:rsidP="00745167">
            <w:pPr>
              <w:jc w:val="both"/>
              <w:rPr>
                <w:rFonts w:ascii="Arial" w:hAnsi="Arial" w:cs="Arial"/>
                <w:b/>
                <w:bCs/>
                <w:i/>
                <w:iCs w:val="0"/>
                <w:sz w:val="24"/>
                <w:szCs w:val="24"/>
                <w:lang w:eastAsia="en-AU"/>
              </w:rPr>
            </w:pPr>
            <w:r w:rsidRPr="00E34F56">
              <w:rPr>
                <w:rFonts w:ascii="Arial" w:hAnsi="Arial" w:cs="Arial"/>
                <w:b/>
                <w:bCs/>
                <w:szCs w:val="24"/>
                <w:lang w:eastAsia="en-AU"/>
              </w:rPr>
              <w:t>target sequence</w:t>
            </w:r>
          </w:p>
        </w:tc>
        <w:tc>
          <w:tcPr>
            <w:tcW w:w="2042" w:type="dxa"/>
          </w:tcPr>
          <w:p w14:paraId="4F917A2E" w14:textId="77777777" w:rsidR="006C69AE" w:rsidRPr="00E34F56" w:rsidRDefault="006C69AE" w:rsidP="00745167">
            <w:pPr>
              <w:jc w:val="both"/>
              <w:rPr>
                <w:rFonts w:ascii="Arial" w:hAnsi="Arial" w:cs="Arial"/>
                <w:b/>
                <w:bCs/>
                <w:sz w:val="24"/>
                <w:szCs w:val="24"/>
                <w:lang w:eastAsia="en-AU"/>
              </w:rPr>
            </w:pPr>
            <w:r w:rsidRPr="00E34F56">
              <w:rPr>
                <w:rFonts w:ascii="Arial" w:hAnsi="Arial" w:cs="Arial"/>
                <w:b/>
                <w:bCs/>
                <w:szCs w:val="24"/>
                <w:lang w:eastAsia="en-AU"/>
              </w:rPr>
              <w:t>Position</w:t>
            </w:r>
            <w:r>
              <w:rPr>
                <w:rFonts w:ascii="Arial" w:hAnsi="Arial" w:cs="Arial"/>
                <w:b/>
                <w:bCs/>
                <w:szCs w:val="24"/>
                <w:lang w:eastAsia="en-AU"/>
              </w:rPr>
              <w:t xml:space="preserve"> </w:t>
            </w:r>
            <w:r w:rsidRPr="00E34F56">
              <w:rPr>
                <w:rFonts w:ascii="Arial" w:hAnsi="Arial" w:cs="Arial"/>
                <w:b/>
                <w:bCs/>
                <w:szCs w:val="24"/>
                <w:lang w:eastAsia="en-AU"/>
              </w:rPr>
              <w:t>relative to FLT1 TSS</w:t>
            </w:r>
            <w:r>
              <w:rPr>
                <w:rFonts w:ascii="Arial" w:hAnsi="Arial" w:cs="Arial"/>
                <w:b/>
                <w:bCs/>
                <w:szCs w:val="24"/>
                <w:lang w:eastAsia="en-AU"/>
              </w:rPr>
              <w:t xml:space="preserve"> in bp</w:t>
            </w:r>
          </w:p>
        </w:tc>
      </w:tr>
      <w:tr w:rsidR="006C69AE" w:rsidRPr="008E3742" w14:paraId="47D0235E" w14:textId="77777777" w:rsidTr="00745167">
        <w:trPr>
          <w:jc w:val="center"/>
        </w:trPr>
        <w:tc>
          <w:tcPr>
            <w:tcW w:w="1661" w:type="dxa"/>
          </w:tcPr>
          <w:p w14:paraId="46651C0A"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 xml:space="preserve">sgRNA1 </w:t>
            </w:r>
          </w:p>
        </w:tc>
        <w:tc>
          <w:tcPr>
            <w:tcW w:w="4469" w:type="dxa"/>
          </w:tcPr>
          <w:p w14:paraId="2FF190CA"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GGGCGGAAAGTCCGATCCAA</w:t>
            </w:r>
          </w:p>
        </w:tc>
        <w:tc>
          <w:tcPr>
            <w:tcW w:w="2042" w:type="dxa"/>
          </w:tcPr>
          <w:p w14:paraId="614C5119"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-428</w:t>
            </w:r>
            <w:r>
              <w:rPr>
                <w:rFonts w:ascii="Arial" w:hAnsi="Arial" w:cs="Arial"/>
                <w:color w:val="000000"/>
                <w:szCs w:val="24"/>
                <w:lang w:eastAsia="en-AU"/>
              </w:rPr>
              <w:t xml:space="preserve"> to -408</w:t>
            </w:r>
          </w:p>
        </w:tc>
      </w:tr>
      <w:tr w:rsidR="006C69AE" w:rsidRPr="008E3742" w14:paraId="73F5B862" w14:textId="77777777" w:rsidTr="00745167">
        <w:trPr>
          <w:jc w:val="center"/>
        </w:trPr>
        <w:tc>
          <w:tcPr>
            <w:tcW w:w="1661" w:type="dxa"/>
          </w:tcPr>
          <w:p w14:paraId="16E9AD95"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sgRNA2</w:t>
            </w:r>
          </w:p>
        </w:tc>
        <w:tc>
          <w:tcPr>
            <w:tcW w:w="4469" w:type="dxa"/>
          </w:tcPr>
          <w:p w14:paraId="1DB4FE34"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TCTGGGGGCCGCCCGAAACT</w:t>
            </w:r>
          </w:p>
        </w:tc>
        <w:tc>
          <w:tcPr>
            <w:tcW w:w="2042" w:type="dxa"/>
          </w:tcPr>
          <w:p w14:paraId="4388D8E6"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-368</w:t>
            </w:r>
            <w:r>
              <w:rPr>
                <w:rFonts w:ascii="Arial" w:hAnsi="Arial" w:cs="Arial"/>
                <w:color w:val="000000"/>
                <w:szCs w:val="24"/>
                <w:lang w:eastAsia="en-AU"/>
              </w:rPr>
              <w:t xml:space="preserve"> to -348</w:t>
            </w:r>
          </w:p>
        </w:tc>
      </w:tr>
      <w:tr w:rsidR="006C69AE" w:rsidRPr="008E3742" w14:paraId="14CCCE49" w14:textId="77777777" w:rsidTr="00745167">
        <w:trPr>
          <w:jc w:val="center"/>
        </w:trPr>
        <w:tc>
          <w:tcPr>
            <w:tcW w:w="1661" w:type="dxa"/>
          </w:tcPr>
          <w:p w14:paraId="34AF76B9"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sgRNA3</w:t>
            </w:r>
          </w:p>
        </w:tc>
        <w:tc>
          <w:tcPr>
            <w:tcW w:w="4469" w:type="dxa"/>
          </w:tcPr>
          <w:p w14:paraId="4A6A5912" w14:textId="77777777" w:rsidR="006C69AE" w:rsidRPr="00E34F56" w:rsidRDefault="006C69AE" w:rsidP="00745167">
            <w:pPr>
              <w:jc w:val="both"/>
              <w:rPr>
                <w:rFonts w:ascii="Arial" w:hAnsi="Arial" w:cs="Arial"/>
                <w:i/>
                <w:iCs w:val="0"/>
                <w:sz w:val="24"/>
                <w:szCs w:val="24"/>
                <w:lang w:eastAsia="en-AU"/>
              </w:rPr>
            </w:pPr>
            <w:r w:rsidRPr="00E34F56">
              <w:rPr>
                <w:rFonts w:ascii="Arial" w:hAnsi="Arial" w:cs="Arial"/>
                <w:color w:val="000000"/>
                <w:szCs w:val="24"/>
                <w:lang w:eastAsia="en-AU"/>
              </w:rPr>
              <w:t>AGCACCTCCCCACGCGCGCT</w:t>
            </w:r>
          </w:p>
        </w:tc>
        <w:tc>
          <w:tcPr>
            <w:tcW w:w="2042" w:type="dxa"/>
          </w:tcPr>
          <w:p w14:paraId="6CE7D46A"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-216</w:t>
            </w:r>
            <w:r>
              <w:rPr>
                <w:rFonts w:ascii="Arial" w:hAnsi="Arial" w:cs="Arial"/>
                <w:color w:val="000000"/>
                <w:szCs w:val="24"/>
                <w:lang w:eastAsia="en-AU"/>
              </w:rPr>
              <w:t xml:space="preserve"> to -196</w:t>
            </w:r>
          </w:p>
        </w:tc>
      </w:tr>
      <w:tr w:rsidR="006C69AE" w:rsidRPr="008E3742" w14:paraId="60A9F131" w14:textId="77777777" w:rsidTr="00745167">
        <w:trPr>
          <w:jc w:val="center"/>
        </w:trPr>
        <w:tc>
          <w:tcPr>
            <w:tcW w:w="1661" w:type="dxa"/>
          </w:tcPr>
          <w:p w14:paraId="10129007"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sgRNA4</w:t>
            </w:r>
          </w:p>
        </w:tc>
        <w:tc>
          <w:tcPr>
            <w:tcW w:w="4469" w:type="dxa"/>
          </w:tcPr>
          <w:p w14:paraId="332C174A"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GGCTCGCTTCCCTGCGGCTA</w:t>
            </w:r>
          </w:p>
        </w:tc>
        <w:tc>
          <w:tcPr>
            <w:tcW w:w="2042" w:type="dxa"/>
          </w:tcPr>
          <w:p w14:paraId="3D8634F2"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-153</w:t>
            </w:r>
            <w:r>
              <w:rPr>
                <w:rFonts w:ascii="Arial" w:hAnsi="Arial" w:cs="Arial"/>
                <w:color w:val="000000"/>
                <w:szCs w:val="24"/>
                <w:lang w:eastAsia="en-AU"/>
              </w:rPr>
              <w:t xml:space="preserve"> to -133</w:t>
            </w:r>
          </w:p>
        </w:tc>
      </w:tr>
      <w:tr w:rsidR="006C69AE" w:rsidRPr="008E3742" w14:paraId="699A77B7" w14:textId="77777777" w:rsidTr="00745167">
        <w:trPr>
          <w:jc w:val="center"/>
        </w:trPr>
        <w:tc>
          <w:tcPr>
            <w:tcW w:w="1661" w:type="dxa"/>
          </w:tcPr>
          <w:p w14:paraId="7296D75D"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sgRNA5</w:t>
            </w:r>
          </w:p>
        </w:tc>
        <w:tc>
          <w:tcPr>
            <w:tcW w:w="4469" w:type="dxa"/>
          </w:tcPr>
          <w:p w14:paraId="1FD10093"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GACCCCTTGACGTCACCAGA</w:t>
            </w:r>
          </w:p>
        </w:tc>
        <w:tc>
          <w:tcPr>
            <w:tcW w:w="2042" w:type="dxa"/>
          </w:tcPr>
          <w:p w14:paraId="300FCF8F" w14:textId="77777777" w:rsidR="006C69AE" w:rsidRPr="00E34F56" w:rsidRDefault="006C69AE" w:rsidP="00745167">
            <w:pPr>
              <w:jc w:val="both"/>
              <w:rPr>
                <w:rFonts w:ascii="Arial" w:hAnsi="Arial" w:cs="Arial"/>
                <w:color w:val="000000"/>
                <w:sz w:val="24"/>
                <w:szCs w:val="24"/>
                <w:lang w:eastAsia="en-AU"/>
              </w:rPr>
            </w:pPr>
            <w:r w:rsidRPr="00E34F56">
              <w:rPr>
                <w:rFonts w:ascii="Arial" w:hAnsi="Arial" w:cs="Arial"/>
                <w:color w:val="000000"/>
                <w:szCs w:val="24"/>
                <w:lang w:eastAsia="en-AU"/>
              </w:rPr>
              <w:t>-88</w:t>
            </w:r>
            <w:r>
              <w:rPr>
                <w:rFonts w:ascii="Arial" w:hAnsi="Arial" w:cs="Arial"/>
                <w:color w:val="000000"/>
                <w:szCs w:val="24"/>
                <w:lang w:eastAsia="en-AU"/>
              </w:rPr>
              <w:t xml:space="preserve"> to -68</w:t>
            </w:r>
          </w:p>
        </w:tc>
      </w:tr>
    </w:tbl>
    <w:p w14:paraId="65EF8E5B" w14:textId="77777777" w:rsidR="006C69AE" w:rsidRPr="00E34F56" w:rsidRDefault="006C69AE" w:rsidP="006C69AE">
      <w:pPr>
        <w:jc w:val="both"/>
        <w:rPr>
          <w:rFonts w:ascii="Arial" w:hAnsi="Arial" w:cs="Arial"/>
          <w:szCs w:val="24"/>
        </w:rPr>
      </w:pPr>
    </w:p>
    <w:p w14:paraId="17FF5B69" w14:textId="77777777" w:rsidR="003867CB" w:rsidRDefault="003867CB"/>
    <w:sectPr w:rsidR="003867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7CB"/>
    <w:rsid w:val="00025C92"/>
    <w:rsid w:val="001E65C9"/>
    <w:rsid w:val="0033534D"/>
    <w:rsid w:val="003867CB"/>
    <w:rsid w:val="006C4081"/>
    <w:rsid w:val="006C69AE"/>
    <w:rsid w:val="00A76E32"/>
    <w:rsid w:val="00B11350"/>
    <w:rsid w:val="00E06BD3"/>
    <w:rsid w:val="00EE0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9551D"/>
  <w15:chartTrackingRefBased/>
  <w15:docId w15:val="{2A1B55BE-B120-45CE-9D74-0B835E3A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9AE"/>
    <w:rPr>
      <w:rFonts w:ascii="Times New Roman" w:hAnsi="Times New Roman"/>
      <w:iCs/>
      <w:color w:val="000000" w:themeColor="text1"/>
      <w:kern w:val="0"/>
      <w:szCs w:val="18"/>
      <w:lang w:val="en-US"/>
      <w14:ligatures w14:val="none"/>
    </w:rPr>
  </w:style>
  <w:style w:type="paragraph" w:styleId="Heading1">
    <w:name w:val="heading 1"/>
    <w:basedOn w:val="Normal"/>
    <w:next w:val="Normal"/>
    <w:link w:val="Heading1Char"/>
    <w:uiPriority w:val="9"/>
    <w:qFormat/>
    <w:rsid w:val="003867CB"/>
    <w:pPr>
      <w:keepNext/>
      <w:keepLines/>
      <w:spacing w:before="360" w:after="80"/>
      <w:outlineLvl w:val="0"/>
    </w:pPr>
    <w:rPr>
      <w:rFonts w:asciiTheme="majorHAnsi" w:eastAsiaTheme="majorEastAsia" w:hAnsiTheme="majorHAnsi" w:cstheme="majorBidi"/>
      <w:iCs w:val="0"/>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3867CB"/>
    <w:pPr>
      <w:keepNext/>
      <w:keepLines/>
      <w:spacing w:before="160" w:after="80"/>
      <w:outlineLvl w:val="1"/>
    </w:pPr>
    <w:rPr>
      <w:rFonts w:asciiTheme="majorHAnsi" w:eastAsiaTheme="majorEastAsia" w:hAnsiTheme="majorHAnsi" w:cstheme="majorBidi"/>
      <w:iCs w:val="0"/>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semiHidden/>
    <w:unhideWhenUsed/>
    <w:qFormat/>
    <w:rsid w:val="003867CB"/>
    <w:pPr>
      <w:keepNext/>
      <w:keepLines/>
      <w:spacing w:before="160" w:after="80"/>
      <w:outlineLvl w:val="2"/>
    </w:pPr>
    <w:rPr>
      <w:rFonts w:asciiTheme="minorHAnsi" w:eastAsiaTheme="majorEastAsia" w:hAnsiTheme="minorHAnsi" w:cstheme="majorBidi"/>
      <w:iCs w:val="0"/>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3867CB"/>
    <w:pPr>
      <w:keepNext/>
      <w:keepLines/>
      <w:spacing w:before="80" w:after="40"/>
      <w:outlineLvl w:val="3"/>
    </w:pPr>
    <w:rPr>
      <w:rFonts w:asciiTheme="minorHAnsi" w:eastAsiaTheme="majorEastAsia" w:hAnsiTheme="minorHAnsi" w:cstheme="majorBidi"/>
      <w:i/>
      <w:color w:val="0F4761" w:themeColor="accent1" w:themeShade="BF"/>
      <w:kern w:val="2"/>
      <w:szCs w:val="24"/>
      <w:lang w:val="en-AU"/>
      <w14:ligatures w14:val="standardContextual"/>
    </w:rPr>
  </w:style>
  <w:style w:type="paragraph" w:styleId="Heading5">
    <w:name w:val="heading 5"/>
    <w:basedOn w:val="Normal"/>
    <w:next w:val="Normal"/>
    <w:link w:val="Heading5Char"/>
    <w:uiPriority w:val="9"/>
    <w:semiHidden/>
    <w:unhideWhenUsed/>
    <w:qFormat/>
    <w:rsid w:val="003867CB"/>
    <w:pPr>
      <w:keepNext/>
      <w:keepLines/>
      <w:spacing w:before="80" w:after="40"/>
      <w:outlineLvl w:val="4"/>
    </w:pPr>
    <w:rPr>
      <w:rFonts w:asciiTheme="minorHAnsi" w:eastAsiaTheme="majorEastAsia" w:hAnsiTheme="minorHAnsi" w:cstheme="majorBidi"/>
      <w:iCs w:val="0"/>
      <w:color w:val="0F4761" w:themeColor="accent1" w:themeShade="BF"/>
      <w:kern w:val="2"/>
      <w:szCs w:val="24"/>
      <w:lang w:val="en-AU"/>
      <w14:ligatures w14:val="standardContextual"/>
    </w:rPr>
  </w:style>
  <w:style w:type="paragraph" w:styleId="Heading6">
    <w:name w:val="heading 6"/>
    <w:basedOn w:val="Normal"/>
    <w:next w:val="Normal"/>
    <w:link w:val="Heading6Char"/>
    <w:uiPriority w:val="9"/>
    <w:semiHidden/>
    <w:unhideWhenUsed/>
    <w:qFormat/>
    <w:rsid w:val="003867CB"/>
    <w:pPr>
      <w:keepNext/>
      <w:keepLines/>
      <w:spacing w:before="40" w:after="0"/>
      <w:outlineLvl w:val="5"/>
    </w:pPr>
    <w:rPr>
      <w:rFonts w:asciiTheme="minorHAnsi" w:eastAsiaTheme="majorEastAsia" w:hAnsiTheme="minorHAnsi" w:cstheme="majorBidi"/>
      <w:i/>
      <w:color w:val="595959" w:themeColor="text1" w:themeTint="A6"/>
      <w:kern w:val="2"/>
      <w:szCs w:val="24"/>
      <w:lang w:val="en-AU"/>
      <w14:ligatures w14:val="standardContextual"/>
    </w:rPr>
  </w:style>
  <w:style w:type="paragraph" w:styleId="Heading7">
    <w:name w:val="heading 7"/>
    <w:basedOn w:val="Normal"/>
    <w:next w:val="Normal"/>
    <w:link w:val="Heading7Char"/>
    <w:uiPriority w:val="9"/>
    <w:semiHidden/>
    <w:unhideWhenUsed/>
    <w:qFormat/>
    <w:rsid w:val="003867CB"/>
    <w:pPr>
      <w:keepNext/>
      <w:keepLines/>
      <w:spacing w:before="40" w:after="0"/>
      <w:outlineLvl w:val="6"/>
    </w:pPr>
    <w:rPr>
      <w:rFonts w:asciiTheme="minorHAnsi" w:eastAsiaTheme="majorEastAsia" w:hAnsiTheme="minorHAnsi" w:cstheme="majorBidi"/>
      <w:iCs w:val="0"/>
      <w:color w:val="595959" w:themeColor="text1" w:themeTint="A6"/>
      <w:kern w:val="2"/>
      <w:szCs w:val="24"/>
      <w:lang w:val="en-AU"/>
      <w14:ligatures w14:val="standardContextual"/>
    </w:rPr>
  </w:style>
  <w:style w:type="paragraph" w:styleId="Heading8">
    <w:name w:val="heading 8"/>
    <w:basedOn w:val="Normal"/>
    <w:next w:val="Normal"/>
    <w:link w:val="Heading8Char"/>
    <w:uiPriority w:val="9"/>
    <w:semiHidden/>
    <w:unhideWhenUsed/>
    <w:qFormat/>
    <w:rsid w:val="003867CB"/>
    <w:pPr>
      <w:keepNext/>
      <w:keepLines/>
      <w:spacing w:after="0"/>
      <w:outlineLvl w:val="7"/>
    </w:pPr>
    <w:rPr>
      <w:rFonts w:asciiTheme="minorHAnsi" w:eastAsiaTheme="majorEastAsia" w:hAnsiTheme="minorHAnsi" w:cstheme="majorBidi"/>
      <w:i/>
      <w:color w:val="272727" w:themeColor="text1" w:themeTint="D8"/>
      <w:kern w:val="2"/>
      <w:szCs w:val="24"/>
      <w:lang w:val="en-AU"/>
      <w14:ligatures w14:val="standardContextual"/>
    </w:rPr>
  </w:style>
  <w:style w:type="paragraph" w:styleId="Heading9">
    <w:name w:val="heading 9"/>
    <w:basedOn w:val="Normal"/>
    <w:next w:val="Normal"/>
    <w:link w:val="Heading9Char"/>
    <w:uiPriority w:val="9"/>
    <w:semiHidden/>
    <w:unhideWhenUsed/>
    <w:qFormat/>
    <w:rsid w:val="003867CB"/>
    <w:pPr>
      <w:keepNext/>
      <w:keepLines/>
      <w:spacing w:after="0"/>
      <w:outlineLvl w:val="8"/>
    </w:pPr>
    <w:rPr>
      <w:rFonts w:asciiTheme="minorHAnsi" w:eastAsiaTheme="majorEastAsia" w:hAnsiTheme="minorHAnsi" w:cstheme="majorBidi"/>
      <w:iCs w:val="0"/>
      <w:color w:val="272727" w:themeColor="text1" w:themeTint="D8"/>
      <w:kern w:val="2"/>
      <w:szCs w:val="24"/>
      <w:lang w:val="en-AU"/>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7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7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7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7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7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7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7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7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7CB"/>
    <w:rPr>
      <w:rFonts w:eastAsiaTheme="majorEastAsia" w:cstheme="majorBidi"/>
      <w:color w:val="272727" w:themeColor="text1" w:themeTint="D8"/>
    </w:rPr>
  </w:style>
  <w:style w:type="paragraph" w:styleId="Title">
    <w:name w:val="Title"/>
    <w:basedOn w:val="Normal"/>
    <w:next w:val="Normal"/>
    <w:link w:val="TitleChar"/>
    <w:uiPriority w:val="10"/>
    <w:qFormat/>
    <w:rsid w:val="003867CB"/>
    <w:pPr>
      <w:spacing w:after="80" w:line="240" w:lineRule="auto"/>
      <w:contextualSpacing/>
    </w:pPr>
    <w:rPr>
      <w:rFonts w:asciiTheme="majorHAnsi" w:eastAsiaTheme="majorEastAsia" w:hAnsiTheme="majorHAnsi" w:cstheme="majorBidi"/>
      <w:iCs w:val="0"/>
      <w:color w:val="auto"/>
      <w:spacing w:val="-10"/>
      <w:kern w:val="28"/>
      <w:sz w:val="56"/>
      <w:szCs w:val="56"/>
      <w:lang w:val="en-AU"/>
      <w14:ligatures w14:val="standardContextual"/>
    </w:rPr>
  </w:style>
  <w:style w:type="character" w:customStyle="1" w:styleId="TitleChar">
    <w:name w:val="Title Char"/>
    <w:basedOn w:val="DefaultParagraphFont"/>
    <w:link w:val="Title"/>
    <w:uiPriority w:val="10"/>
    <w:rsid w:val="003867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7CB"/>
    <w:pPr>
      <w:numPr>
        <w:ilvl w:val="1"/>
      </w:numPr>
    </w:pPr>
    <w:rPr>
      <w:rFonts w:asciiTheme="minorHAnsi" w:eastAsiaTheme="majorEastAsia" w:hAnsiTheme="minorHAnsi" w:cstheme="majorBidi"/>
      <w:iCs w:val="0"/>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3867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7CB"/>
    <w:pPr>
      <w:spacing w:before="160"/>
      <w:jc w:val="center"/>
    </w:pPr>
    <w:rPr>
      <w:rFonts w:asciiTheme="minorHAnsi" w:hAnsiTheme="minorHAnsi"/>
      <w:i/>
      <w:color w:val="404040" w:themeColor="text1" w:themeTint="BF"/>
      <w:kern w:val="2"/>
      <w:szCs w:val="24"/>
      <w:lang w:val="en-AU"/>
      <w14:ligatures w14:val="standardContextual"/>
    </w:rPr>
  </w:style>
  <w:style w:type="character" w:customStyle="1" w:styleId="QuoteChar">
    <w:name w:val="Quote Char"/>
    <w:basedOn w:val="DefaultParagraphFont"/>
    <w:link w:val="Quote"/>
    <w:uiPriority w:val="29"/>
    <w:rsid w:val="003867CB"/>
    <w:rPr>
      <w:i/>
      <w:iCs/>
      <w:color w:val="404040" w:themeColor="text1" w:themeTint="BF"/>
    </w:rPr>
  </w:style>
  <w:style w:type="paragraph" w:styleId="ListParagraph">
    <w:name w:val="List Paragraph"/>
    <w:basedOn w:val="Normal"/>
    <w:uiPriority w:val="34"/>
    <w:qFormat/>
    <w:rsid w:val="003867CB"/>
    <w:pPr>
      <w:ind w:left="720"/>
      <w:contextualSpacing/>
    </w:pPr>
    <w:rPr>
      <w:rFonts w:asciiTheme="minorHAnsi" w:hAnsiTheme="minorHAnsi"/>
      <w:iCs w:val="0"/>
      <w:color w:val="auto"/>
      <w:kern w:val="2"/>
      <w:szCs w:val="24"/>
      <w:lang w:val="en-AU"/>
      <w14:ligatures w14:val="standardContextual"/>
    </w:rPr>
  </w:style>
  <w:style w:type="character" w:styleId="IntenseEmphasis">
    <w:name w:val="Intense Emphasis"/>
    <w:basedOn w:val="DefaultParagraphFont"/>
    <w:uiPriority w:val="21"/>
    <w:qFormat/>
    <w:rsid w:val="003867CB"/>
    <w:rPr>
      <w:i/>
      <w:iCs/>
      <w:color w:val="0F4761" w:themeColor="accent1" w:themeShade="BF"/>
    </w:rPr>
  </w:style>
  <w:style w:type="paragraph" w:styleId="IntenseQuote">
    <w:name w:val="Intense Quote"/>
    <w:basedOn w:val="Normal"/>
    <w:next w:val="Normal"/>
    <w:link w:val="IntenseQuoteChar"/>
    <w:uiPriority w:val="30"/>
    <w:qFormat/>
    <w:rsid w:val="003867C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color w:val="0F4761" w:themeColor="accent1" w:themeShade="BF"/>
      <w:kern w:val="2"/>
      <w:szCs w:val="24"/>
      <w:lang w:val="en-AU"/>
      <w14:ligatures w14:val="standardContextual"/>
    </w:rPr>
  </w:style>
  <w:style w:type="character" w:customStyle="1" w:styleId="IntenseQuoteChar">
    <w:name w:val="Intense Quote Char"/>
    <w:basedOn w:val="DefaultParagraphFont"/>
    <w:link w:val="IntenseQuote"/>
    <w:uiPriority w:val="30"/>
    <w:rsid w:val="003867CB"/>
    <w:rPr>
      <w:i/>
      <w:iCs/>
      <w:color w:val="0F4761" w:themeColor="accent1" w:themeShade="BF"/>
    </w:rPr>
  </w:style>
  <w:style w:type="character" w:styleId="IntenseReference">
    <w:name w:val="Intense Reference"/>
    <w:basedOn w:val="DefaultParagraphFont"/>
    <w:uiPriority w:val="32"/>
    <w:qFormat/>
    <w:rsid w:val="003867CB"/>
    <w:rPr>
      <w:b/>
      <w:bCs/>
      <w:smallCaps/>
      <w:color w:val="0F4761" w:themeColor="accent1" w:themeShade="BF"/>
      <w:spacing w:val="5"/>
    </w:rPr>
  </w:style>
  <w:style w:type="paragraph" w:styleId="Caption">
    <w:name w:val="caption"/>
    <w:basedOn w:val="Normal"/>
    <w:next w:val="Normal"/>
    <w:uiPriority w:val="35"/>
    <w:unhideWhenUsed/>
    <w:qFormat/>
    <w:rsid w:val="006C69AE"/>
    <w:pPr>
      <w:spacing w:after="200" w:line="240" w:lineRule="auto"/>
    </w:pPr>
    <w:rPr>
      <w:i/>
      <w:iCs w:val="0"/>
      <w:color w:val="0E2841" w:themeColor="text2"/>
      <w:sz w:val="18"/>
    </w:rPr>
  </w:style>
  <w:style w:type="table" w:styleId="TableGrid">
    <w:name w:val="Table Grid"/>
    <w:basedOn w:val="TableNormal"/>
    <w:uiPriority w:val="39"/>
    <w:rsid w:val="006C69AE"/>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69AE"/>
    <w:pPr>
      <w:spacing w:after="0" w:line="240" w:lineRule="auto"/>
    </w:pPr>
    <w:rPr>
      <w:rFonts w:ascii="Times New Roman" w:hAnsi="Times New Roman"/>
      <w:iCs/>
      <w:color w:val="000000" w:themeColor="text1"/>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Layal El Wazan</dc:creator>
  <cp:keywords/>
  <dc:description/>
  <cp:lastModifiedBy>Layal El Wazan</cp:lastModifiedBy>
  <cp:revision>6</cp:revision>
  <dcterms:created xsi:type="dcterms:W3CDTF">2026-10-17T05:35:00Z</dcterms:created>
  <dcterms:modified xsi:type="dcterms:W3CDTF">2026-10-18T03:43:00Z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f778efc0-b4e6-42b6-9dca-f237626b52f9</vt:lpwstr>
  </property>
</Properties>
</file>