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E1A35" w14:textId="77777777" w:rsidR="00B27C8E" w:rsidRPr="00B27C8E" w:rsidRDefault="0001609D" w:rsidP="00B27C8E">
      <w:pPr>
        <w:pStyle w:val="ManuscriptTitle"/>
        <w:jc w:val="center"/>
        <w:rPr>
          <w:rFonts w:ascii="Calibri" w:eastAsia="SimSun" w:hAnsi="Calibri" w:cs="Times New Roman"/>
          <w:b w:val="0"/>
          <w:bCs w:val="0"/>
          <w:color w:val="000000"/>
          <w:sz w:val="32"/>
          <w:szCs w:val="32"/>
        </w:rPr>
      </w:pPr>
      <w:r w:rsidRPr="00B27C8E">
        <w:rPr>
          <w:rFonts w:ascii="Calibri" w:eastAsia="MS Gothic" w:hAnsi="Calibri" w:cs="Times New Roman"/>
          <w:b w:val="0"/>
          <w:bCs w:val="0"/>
          <w:color w:val="000000"/>
          <w:sz w:val="32"/>
          <w:szCs w:val="32"/>
        </w:rPr>
        <w:t>Supplementary</w:t>
      </w:r>
      <w:r w:rsidRPr="00B27C8E">
        <w:rPr>
          <w:rFonts w:ascii="Calibri" w:eastAsia="SimSun" w:hAnsi="Calibri" w:cs="Times New Roman"/>
          <w:b w:val="0"/>
          <w:bCs w:val="0"/>
          <w:color w:val="000000"/>
          <w:sz w:val="32"/>
          <w:szCs w:val="32"/>
        </w:rPr>
        <w:t xml:space="preserve"> Information</w:t>
      </w:r>
      <w:r w:rsidR="00B27C8E" w:rsidRPr="00B27C8E">
        <w:rPr>
          <w:rFonts w:ascii="Calibri" w:eastAsia="SimSun" w:hAnsi="Calibri" w:cs="Times New Roman" w:hint="eastAsia"/>
          <w:b w:val="0"/>
          <w:bCs w:val="0"/>
          <w:color w:val="000000"/>
          <w:sz w:val="32"/>
          <w:szCs w:val="32"/>
        </w:rPr>
        <w:t xml:space="preserve"> for </w:t>
      </w:r>
    </w:p>
    <w:p w14:paraId="6167D605" w14:textId="3C24CC4A" w:rsidR="00B27C8E" w:rsidRPr="00B27C8E" w:rsidRDefault="00B27C8E" w:rsidP="00B27C8E">
      <w:pPr>
        <w:pStyle w:val="ManuscriptTitle"/>
        <w:jc w:val="center"/>
        <w:rPr>
          <w:rFonts w:ascii="Calibri" w:eastAsia="MS Mincho" w:hAnsi="Calibri" w:cs="Times New Roman"/>
        </w:rPr>
      </w:pPr>
      <w:r w:rsidRPr="00B27C8E">
        <w:rPr>
          <w:rFonts w:ascii="Calibri" w:eastAsia="MS Mincho" w:hAnsi="Calibri" w:cs="Times New Roman"/>
        </w:rPr>
        <w:t>Global assessment of marine CO</w:t>
      </w:r>
      <w:r w:rsidRPr="00B27C8E">
        <w:rPr>
          <w:rFonts w:ascii="Calibri" w:eastAsia="MS Mincho" w:hAnsi="Calibri" w:cs="Times New Roman"/>
          <w:vertAlign w:val="subscript"/>
        </w:rPr>
        <w:t xml:space="preserve">2 </w:t>
      </w:r>
      <w:r w:rsidRPr="00B27C8E">
        <w:rPr>
          <w:rFonts w:ascii="Calibri" w:eastAsia="MS Mincho" w:hAnsi="Calibri" w:cs="Times New Roman"/>
        </w:rPr>
        <w:t>removal efficiency in the coastal ocean</w:t>
      </w:r>
    </w:p>
    <w:p w14:paraId="678A72ED" w14:textId="77777777" w:rsidR="00B27C8E" w:rsidRPr="00B27C8E" w:rsidRDefault="00B27C8E" w:rsidP="00B27C8E">
      <w:pPr>
        <w:spacing w:after="80" w:line="259" w:lineRule="auto"/>
        <w:jc w:val="center"/>
        <w:rPr>
          <w:rFonts w:ascii="Calibri" w:eastAsia="MS Mincho" w:hAnsi="Calibri" w:cs="Times New Roman"/>
          <w:kern w:val="0"/>
          <w:sz w:val="21"/>
          <w:szCs w:val="21"/>
          <w:lang w:eastAsia="en-US"/>
          <w14:ligatures w14:val="none"/>
        </w:rPr>
      </w:pPr>
      <w:r w:rsidRPr="00B27C8E">
        <w:rPr>
          <w:rFonts w:ascii="Calibri" w:eastAsia="MS Mincho" w:hAnsi="Calibri" w:cs="Times New Roman"/>
          <w:kern w:val="0"/>
          <w:sz w:val="21"/>
          <w:szCs w:val="21"/>
          <w:lang w:eastAsia="en-US"/>
          <w14:ligatures w14:val="none"/>
        </w:rPr>
        <w:t>Yinghuan Xie</w:t>
      </w:r>
      <w:r w:rsidRPr="00B27C8E">
        <w:rPr>
          <w:rFonts w:ascii="Calibri" w:eastAsia="MS Mincho" w:hAnsi="Calibri" w:cs="Times New Roman"/>
          <w:kern w:val="0"/>
          <w:sz w:val="21"/>
          <w:szCs w:val="21"/>
          <w:vertAlign w:val="superscript"/>
          <w:lang w:eastAsia="en-US"/>
          <w14:ligatures w14:val="none"/>
        </w:rPr>
        <w:t>1,2</w:t>
      </w:r>
      <w:r w:rsidRPr="00B27C8E">
        <w:rPr>
          <w:rFonts w:ascii="Calibri" w:eastAsia="MS Mincho" w:hAnsi="Calibri" w:cs="Times New Roman"/>
          <w:kern w:val="0"/>
          <w:sz w:val="21"/>
          <w:szCs w:val="21"/>
          <w:lang w:eastAsia="en-US"/>
          <w14:ligatures w14:val="none"/>
        </w:rPr>
        <w:t>, Paul Spence</w:t>
      </w:r>
      <w:r w:rsidRPr="00B27C8E">
        <w:rPr>
          <w:rFonts w:ascii="Calibri" w:eastAsia="MS Mincho" w:hAnsi="Calibri" w:cs="Times New Roman"/>
          <w:kern w:val="0"/>
          <w:sz w:val="21"/>
          <w:szCs w:val="21"/>
          <w:vertAlign w:val="superscript"/>
          <w:lang w:eastAsia="en-US"/>
          <w14:ligatures w14:val="none"/>
        </w:rPr>
        <w:t>1,2,3</w:t>
      </w:r>
      <w:r w:rsidRPr="00B27C8E">
        <w:rPr>
          <w:rFonts w:ascii="Calibri" w:eastAsia="MS Mincho" w:hAnsi="Calibri" w:cs="Times New Roman"/>
          <w:kern w:val="0"/>
          <w:sz w:val="21"/>
          <w:szCs w:val="21"/>
          <w:lang w:eastAsia="en-US"/>
          <w14:ligatures w14:val="none"/>
        </w:rPr>
        <w:t>, Stuart Corney</w:t>
      </w:r>
      <w:r w:rsidRPr="00B27C8E">
        <w:rPr>
          <w:rFonts w:ascii="Calibri" w:eastAsia="MS Mincho" w:hAnsi="Calibri" w:cs="Times New Roman"/>
          <w:kern w:val="0"/>
          <w:sz w:val="21"/>
          <w:szCs w:val="21"/>
          <w:vertAlign w:val="superscript"/>
          <w:lang w:eastAsia="en-US"/>
          <w14:ligatures w14:val="none"/>
        </w:rPr>
        <w:t>1,2</w:t>
      </w:r>
      <w:r w:rsidRPr="00B27C8E">
        <w:rPr>
          <w:rFonts w:ascii="Calibri" w:eastAsia="MS Mincho" w:hAnsi="Calibri" w:cs="Times New Roman"/>
          <w:kern w:val="0"/>
          <w:sz w:val="21"/>
          <w:szCs w:val="21"/>
          <w:lang w:eastAsia="en-US"/>
          <w14:ligatures w14:val="none"/>
        </w:rPr>
        <w:t xml:space="preserve"> and Lennart T. Bach</w:t>
      </w:r>
      <w:r w:rsidRPr="00B27C8E">
        <w:rPr>
          <w:rFonts w:ascii="Calibri" w:eastAsia="MS Mincho" w:hAnsi="Calibri" w:cs="Times New Roman"/>
          <w:kern w:val="0"/>
          <w:sz w:val="21"/>
          <w:szCs w:val="21"/>
          <w:vertAlign w:val="superscript"/>
          <w:lang w:eastAsia="en-US"/>
          <w14:ligatures w14:val="none"/>
        </w:rPr>
        <w:t>1</w:t>
      </w:r>
    </w:p>
    <w:p w14:paraId="4567EAA1" w14:textId="77777777" w:rsidR="00B27C8E" w:rsidRPr="00B27C8E" w:rsidRDefault="00B27C8E" w:rsidP="00B27C8E">
      <w:pPr>
        <w:spacing w:after="40" w:line="259" w:lineRule="auto"/>
        <w:rPr>
          <w:rFonts w:ascii="Calibri" w:eastAsia="MS Mincho" w:hAnsi="Calibri" w:cs="Times New Roman"/>
          <w:kern w:val="0"/>
          <w:sz w:val="19"/>
          <w:szCs w:val="19"/>
          <w:lang w:eastAsia="en-US"/>
          <w14:ligatures w14:val="none"/>
        </w:rPr>
      </w:pPr>
      <w:r w:rsidRPr="00B27C8E">
        <w:rPr>
          <w:rFonts w:ascii="Calibri" w:eastAsia="MS Mincho" w:hAnsi="Calibri" w:cs="Times New Roman"/>
          <w:kern w:val="0"/>
          <w:sz w:val="19"/>
          <w:szCs w:val="19"/>
          <w:lang w:eastAsia="en-US"/>
          <w14:ligatures w14:val="none"/>
        </w:rPr>
        <w:t>1 Institute for Marine and Antarctic Studies, University of Tasmania, Hobart, Australia</w:t>
      </w:r>
    </w:p>
    <w:p w14:paraId="3EA0F7FB" w14:textId="77777777" w:rsidR="00B27C8E" w:rsidRPr="00B27C8E" w:rsidRDefault="00B27C8E" w:rsidP="00B27C8E">
      <w:pPr>
        <w:spacing w:after="40" w:line="259" w:lineRule="auto"/>
        <w:rPr>
          <w:rFonts w:ascii="Calibri" w:eastAsia="SimSun" w:hAnsi="Calibri" w:cs="Times New Roman"/>
          <w:kern w:val="0"/>
          <w:sz w:val="19"/>
          <w:szCs w:val="19"/>
          <w14:ligatures w14:val="none"/>
        </w:rPr>
      </w:pPr>
      <w:r w:rsidRPr="00B27C8E">
        <w:rPr>
          <w:rFonts w:ascii="Calibri" w:eastAsia="MS Mincho" w:hAnsi="Calibri" w:cs="Times New Roman"/>
          <w:kern w:val="0"/>
          <w:sz w:val="19"/>
          <w:szCs w:val="19"/>
          <w:lang w:eastAsia="en-US"/>
          <w14:ligatures w14:val="none"/>
        </w:rPr>
        <w:t>2 Australian Antarctic Partnership Program, University of Tasmania, Hobart, Australia</w:t>
      </w:r>
    </w:p>
    <w:p w14:paraId="40563BB0" w14:textId="77777777" w:rsidR="00B27C8E" w:rsidRPr="00B27C8E" w:rsidRDefault="00B27C8E" w:rsidP="00B27C8E">
      <w:pPr>
        <w:spacing w:after="40" w:line="259" w:lineRule="auto"/>
        <w:rPr>
          <w:rFonts w:ascii="Calibri" w:eastAsia="MS Mincho" w:hAnsi="Calibri" w:cs="Times New Roman"/>
          <w:kern w:val="0"/>
          <w:sz w:val="19"/>
          <w:szCs w:val="19"/>
          <w:lang w:eastAsia="en-US"/>
          <w14:ligatures w14:val="none"/>
        </w:rPr>
      </w:pPr>
      <w:r w:rsidRPr="00B27C8E">
        <w:rPr>
          <w:rFonts w:ascii="Calibri" w:eastAsia="MS Mincho" w:hAnsi="Calibri" w:cs="Times New Roman"/>
          <w:kern w:val="0"/>
          <w:sz w:val="19"/>
          <w:szCs w:val="19"/>
          <w:lang w:eastAsia="en-US"/>
          <w14:ligatures w14:val="none"/>
        </w:rPr>
        <w:t>3 Australian Centres of Excellence for Antarctic Science and Our Future Oceans and 21</w:t>
      </w:r>
      <w:r w:rsidRPr="00B27C8E">
        <w:rPr>
          <w:rFonts w:ascii="Calibri" w:eastAsia="MS Mincho" w:hAnsi="Calibri" w:cs="Times New Roman"/>
          <w:kern w:val="0"/>
          <w:sz w:val="19"/>
          <w:szCs w:val="19"/>
          <w:vertAlign w:val="superscript"/>
          <w:lang w:eastAsia="en-US"/>
          <w14:ligatures w14:val="none"/>
        </w:rPr>
        <w:t>st</w:t>
      </w:r>
      <w:r w:rsidRPr="00B27C8E">
        <w:rPr>
          <w:rFonts w:ascii="Calibri" w:eastAsia="MS Mincho" w:hAnsi="Calibri" w:cs="Times New Roman"/>
          <w:kern w:val="0"/>
          <w:sz w:val="19"/>
          <w:szCs w:val="19"/>
          <w:lang w:eastAsia="en-US"/>
          <w14:ligatures w14:val="none"/>
        </w:rPr>
        <w:t xml:space="preserve"> Century Weather, University of Tasmania, Hobart, Australia </w:t>
      </w:r>
    </w:p>
    <w:p w14:paraId="473CB12B" w14:textId="77777777" w:rsidR="00B27C8E" w:rsidRDefault="00B27C8E" w:rsidP="00B27C8E">
      <w:pPr>
        <w:spacing w:after="40" w:line="259" w:lineRule="auto"/>
        <w:rPr>
          <w:rFonts w:ascii="Calibri" w:hAnsi="Calibri" w:cs="Times New Roman"/>
          <w:kern w:val="0"/>
          <w:sz w:val="19"/>
          <w:szCs w:val="19"/>
          <w14:ligatures w14:val="none"/>
        </w:rPr>
      </w:pPr>
      <w:r w:rsidRPr="00B27C8E">
        <w:rPr>
          <w:rFonts w:ascii="Calibri" w:eastAsia="MS Mincho" w:hAnsi="Calibri" w:cs="Times New Roman"/>
          <w:kern w:val="0"/>
          <w:sz w:val="19"/>
          <w:szCs w:val="19"/>
          <w:lang w:eastAsia="en-US"/>
          <w14:ligatures w14:val="none"/>
        </w:rPr>
        <w:t>Corresponding author: Y. Xie (</w:t>
      </w:r>
      <w:hyperlink r:id="rId7" w:history="1">
        <w:r w:rsidRPr="00B27C8E">
          <w:rPr>
            <w:rFonts w:ascii="Cambria" w:eastAsia="MS Mincho" w:hAnsi="Cambria" w:cs="Arial"/>
            <w:color w:val="0000FF"/>
            <w:kern w:val="0"/>
            <w:sz w:val="19"/>
            <w:szCs w:val="19"/>
            <w:u w:val="single"/>
            <w:lang w:eastAsia="en-US"/>
            <w14:ligatures w14:val="none"/>
          </w:rPr>
          <w:t>yinghuan.xie@utas.edu.au</w:t>
        </w:r>
      </w:hyperlink>
      <w:r w:rsidRPr="00B27C8E">
        <w:rPr>
          <w:rFonts w:ascii="Calibri" w:eastAsia="MS Mincho" w:hAnsi="Calibri" w:cs="Times New Roman"/>
          <w:kern w:val="0"/>
          <w:sz w:val="19"/>
          <w:szCs w:val="19"/>
          <w:lang w:eastAsia="en-US"/>
          <w14:ligatures w14:val="none"/>
        </w:rPr>
        <w:t>)</w:t>
      </w:r>
    </w:p>
    <w:p w14:paraId="1621A387" w14:textId="77777777" w:rsidR="00876AC7" w:rsidRDefault="00876AC7" w:rsidP="00B27C8E">
      <w:pPr>
        <w:spacing w:after="40" w:line="259" w:lineRule="auto"/>
        <w:rPr>
          <w:rFonts w:ascii="Calibri" w:hAnsi="Calibri" w:cs="Times New Roman"/>
          <w:kern w:val="0"/>
          <w:sz w:val="19"/>
          <w:szCs w:val="19"/>
          <w14:ligatures w14:val="none"/>
        </w:rPr>
      </w:pPr>
    </w:p>
    <w:p w14:paraId="2B0E9DCB" w14:textId="77777777" w:rsidR="00876AC7" w:rsidRDefault="00876AC7" w:rsidP="00B27C8E">
      <w:pPr>
        <w:spacing w:after="40" w:line="259" w:lineRule="auto"/>
        <w:rPr>
          <w:rFonts w:ascii="Calibri" w:hAnsi="Calibri" w:cs="Times New Roman"/>
          <w:kern w:val="0"/>
          <w:sz w:val="19"/>
          <w:szCs w:val="19"/>
          <w14:ligatures w14:val="none"/>
        </w:rPr>
      </w:pPr>
    </w:p>
    <w:p w14:paraId="1F50DB20" w14:textId="77777777" w:rsidR="00876AC7" w:rsidRPr="00876AC7" w:rsidRDefault="00876AC7" w:rsidP="00B27C8E">
      <w:pPr>
        <w:spacing w:after="40" w:line="259" w:lineRule="auto"/>
        <w:rPr>
          <w:rFonts w:ascii="Cambria" w:hAnsi="Cambria" w:cs="Arial"/>
          <w:kern w:val="0"/>
          <w:sz w:val="19"/>
          <w:szCs w:val="19"/>
          <w14:ligatures w14:val="none"/>
        </w:rPr>
      </w:pPr>
    </w:p>
    <w:sdt>
      <w:sdtPr>
        <w:rPr>
          <w:rFonts w:asciiTheme="minorHAnsi" w:eastAsiaTheme="minorEastAsia" w:hAnsiTheme="minorHAnsi" w:cstheme="minorBidi"/>
          <w:color w:val="auto"/>
          <w:kern w:val="2"/>
          <w:sz w:val="24"/>
          <w:szCs w:val="24"/>
          <w:lang w:val="en-GB"/>
          <w14:ligatures w14:val="standardContextual"/>
        </w:rPr>
        <w:id w:val="-1303773806"/>
        <w:docPartObj>
          <w:docPartGallery w:val="Table of Contents"/>
          <w:docPartUnique/>
        </w:docPartObj>
      </w:sdtPr>
      <w:sdtEndPr>
        <w:rPr>
          <w:b/>
          <w:bCs/>
        </w:rPr>
      </w:sdtEndPr>
      <w:sdtContent>
        <w:p w14:paraId="1810EC54" w14:textId="00305477" w:rsidR="00876AC7" w:rsidRPr="004A32B4" w:rsidRDefault="00876AC7">
          <w:pPr>
            <w:pStyle w:val="TOCHeading"/>
            <w:rPr>
              <w:rFonts w:ascii="Calibri" w:hAnsi="Calibri" w:cs="Calibri"/>
              <w:b/>
              <w:bCs/>
              <w:color w:val="auto"/>
              <w:sz w:val="26"/>
              <w:szCs w:val="26"/>
            </w:rPr>
          </w:pPr>
          <w:r w:rsidRPr="004A32B4">
            <w:rPr>
              <w:rFonts w:ascii="Calibri" w:hAnsi="Calibri" w:cs="Calibri"/>
              <w:b/>
              <w:bCs/>
              <w:color w:val="auto"/>
              <w:sz w:val="26"/>
              <w:szCs w:val="26"/>
              <w:lang w:val="en-GB"/>
            </w:rPr>
            <w:t>Table of Contents</w:t>
          </w:r>
        </w:p>
        <w:p w14:paraId="7F90C9B6" w14:textId="5465F7A6" w:rsidR="00876AC7" w:rsidRPr="004A32B4" w:rsidRDefault="00876AC7">
          <w:pPr>
            <w:pStyle w:val="TOC2"/>
            <w:tabs>
              <w:tab w:val="right" w:leader="dot" w:pos="9350"/>
            </w:tabs>
            <w:rPr>
              <w:rFonts w:ascii="Calibri" w:hAnsi="Calibri" w:cs="Calibri"/>
              <w:noProof/>
              <w:sz w:val="22"/>
              <w:szCs w:val="22"/>
            </w:rPr>
          </w:pPr>
          <w:r w:rsidRPr="004A32B4">
            <w:rPr>
              <w:rFonts w:ascii="Calibri" w:hAnsi="Calibri" w:cs="Calibri"/>
              <w:sz w:val="22"/>
              <w:szCs w:val="22"/>
            </w:rPr>
            <w:fldChar w:fldCharType="begin"/>
          </w:r>
          <w:r w:rsidRPr="004A32B4">
            <w:rPr>
              <w:rFonts w:ascii="Calibri" w:hAnsi="Calibri" w:cs="Calibri"/>
              <w:sz w:val="22"/>
              <w:szCs w:val="22"/>
            </w:rPr>
            <w:instrText xml:space="preserve"> TOC \o "1-3" \h \z \u </w:instrText>
          </w:r>
          <w:r w:rsidRPr="004A32B4">
            <w:rPr>
              <w:rFonts w:ascii="Calibri" w:hAnsi="Calibri" w:cs="Calibri"/>
              <w:sz w:val="22"/>
              <w:szCs w:val="22"/>
            </w:rPr>
            <w:fldChar w:fldCharType="separate"/>
          </w:r>
          <w:hyperlink w:anchor="_Toc241702901" w:history="1">
            <w:r w:rsidRPr="004A32B4">
              <w:rPr>
                <w:rStyle w:val="Hyperlink"/>
                <w:rFonts w:ascii="Calibri" w:eastAsia="MS Gothic" w:hAnsi="Calibri" w:cs="Calibri"/>
                <w:noProof/>
                <w:color w:val="auto"/>
                <w:kern w:val="0"/>
                <w:sz w:val="22"/>
                <w:szCs w:val="22"/>
                <w:lang w:eastAsia="en-US"/>
                <w14:ligatures w14:val="none"/>
              </w:rPr>
              <w:t xml:space="preserve">Supplementary </w:t>
            </w:r>
            <w:r w:rsidRPr="004A32B4">
              <w:rPr>
                <w:rStyle w:val="Hyperlink"/>
                <w:rFonts w:ascii="Calibri" w:eastAsia="SimSun" w:hAnsi="Calibri" w:cs="Calibri"/>
                <w:noProof/>
                <w:color w:val="auto"/>
                <w:kern w:val="0"/>
                <w:sz w:val="22"/>
                <w:szCs w:val="22"/>
                <w:lang w:eastAsia="en-US"/>
                <w14:ligatures w14:val="none"/>
              </w:rPr>
              <w:t>Text 1</w:t>
            </w:r>
            <w:r w:rsidRPr="004A32B4">
              <w:rPr>
                <w:rStyle w:val="Hyperlink"/>
                <w:rFonts w:ascii="Calibri" w:eastAsia="SimSun" w:hAnsi="Calibri" w:cs="Calibri"/>
                <w:noProof/>
                <w:color w:val="auto"/>
                <w:kern w:val="0"/>
                <w:sz w:val="22"/>
                <w:szCs w:val="22"/>
                <w14:ligatures w14:val="none"/>
              </w:rPr>
              <w:t xml:space="preserve">: </w:t>
            </w:r>
            <w:r w:rsidRPr="004A32B4">
              <w:rPr>
                <w:rStyle w:val="Hyperlink"/>
                <w:rFonts w:ascii="Calibri" w:eastAsia="MS Gothic" w:hAnsi="Calibri" w:cs="Calibri"/>
                <w:noProof/>
                <w:color w:val="auto"/>
                <w:kern w:val="0"/>
                <w:sz w:val="22"/>
                <w:szCs w:val="22"/>
                <w:lang w:eastAsia="en-US"/>
                <w14:ligatures w14:val="none"/>
              </w:rPr>
              <w:t>Computational cost relative to conventional modelling</w:t>
            </w:r>
            <w:r w:rsidRPr="004A32B4">
              <w:rPr>
                <w:rFonts w:ascii="Calibri" w:hAnsi="Calibri" w:cs="Calibri"/>
                <w:noProof/>
                <w:webHidden/>
                <w:sz w:val="22"/>
                <w:szCs w:val="22"/>
              </w:rPr>
              <w:tab/>
            </w:r>
            <w:r w:rsidRPr="004A32B4">
              <w:rPr>
                <w:rFonts w:ascii="Calibri" w:hAnsi="Calibri" w:cs="Calibri"/>
                <w:noProof/>
                <w:webHidden/>
                <w:sz w:val="22"/>
                <w:szCs w:val="22"/>
              </w:rPr>
              <w:fldChar w:fldCharType="begin"/>
            </w:r>
            <w:r w:rsidRPr="004A32B4">
              <w:rPr>
                <w:rFonts w:ascii="Calibri" w:hAnsi="Calibri" w:cs="Calibri"/>
                <w:noProof/>
                <w:webHidden/>
                <w:sz w:val="22"/>
                <w:szCs w:val="22"/>
              </w:rPr>
              <w:instrText xml:space="preserve"> PAGEREF _Toc241702901 \h </w:instrText>
            </w:r>
            <w:r w:rsidRPr="004A32B4">
              <w:rPr>
                <w:rFonts w:ascii="Calibri" w:hAnsi="Calibri" w:cs="Calibri"/>
                <w:noProof/>
                <w:webHidden/>
                <w:sz w:val="22"/>
                <w:szCs w:val="22"/>
              </w:rPr>
            </w:r>
            <w:r w:rsidRPr="004A32B4">
              <w:rPr>
                <w:rFonts w:ascii="Calibri" w:hAnsi="Calibri" w:cs="Calibri"/>
                <w:noProof/>
                <w:webHidden/>
                <w:sz w:val="22"/>
                <w:szCs w:val="22"/>
              </w:rPr>
              <w:fldChar w:fldCharType="separate"/>
            </w:r>
            <w:r w:rsidRPr="004A32B4">
              <w:rPr>
                <w:rFonts w:ascii="Calibri" w:hAnsi="Calibri" w:cs="Calibri"/>
                <w:noProof/>
                <w:webHidden/>
                <w:sz w:val="22"/>
                <w:szCs w:val="22"/>
              </w:rPr>
              <w:t>2</w:t>
            </w:r>
            <w:r w:rsidRPr="004A32B4">
              <w:rPr>
                <w:rFonts w:ascii="Calibri" w:hAnsi="Calibri" w:cs="Calibri"/>
                <w:noProof/>
                <w:webHidden/>
                <w:sz w:val="22"/>
                <w:szCs w:val="22"/>
              </w:rPr>
              <w:fldChar w:fldCharType="end"/>
            </w:r>
          </w:hyperlink>
        </w:p>
        <w:p w14:paraId="70973E48" w14:textId="6853B804" w:rsidR="00876AC7" w:rsidRPr="004A32B4" w:rsidRDefault="00876AC7">
          <w:pPr>
            <w:pStyle w:val="TOC2"/>
            <w:tabs>
              <w:tab w:val="right" w:leader="dot" w:pos="9350"/>
            </w:tabs>
            <w:rPr>
              <w:rFonts w:ascii="Calibri" w:hAnsi="Calibri" w:cs="Calibri"/>
              <w:noProof/>
              <w:sz w:val="22"/>
              <w:szCs w:val="22"/>
            </w:rPr>
          </w:pPr>
          <w:hyperlink w:anchor="_Toc241702902" w:history="1">
            <w:r w:rsidRPr="004A32B4">
              <w:rPr>
                <w:rStyle w:val="Hyperlink"/>
                <w:rFonts w:ascii="Calibri" w:eastAsia="MS Gothic" w:hAnsi="Calibri" w:cs="Calibri"/>
                <w:noProof/>
                <w:color w:val="auto"/>
                <w:kern w:val="0"/>
                <w:sz w:val="22"/>
                <w:szCs w:val="22"/>
                <w:lang w:eastAsia="en-US"/>
                <w14:ligatures w14:val="none"/>
              </w:rPr>
              <w:t xml:space="preserve">Supplementary Text </w:t>
            </w:r>
            <w:r w:rsidRPr="004A32B4">
              <w:rPr>
                <w:rStyle w:val="Hyperlink"/>
                <w:rFonts w:ascii="Calibri" w:eastAsia="SimSun" w:hAnsi="Calibri" w:cs="Calibri"/>
                <w:noProof/>
                <w:color w:val="auto"/>
                <w:kern w:val="0"/>
                <w:sz w:val="22"/>
                <w:szCs w:val="22"/>
                <w14:ligatures w14:val="none"/>
              </w:rPr>
              <w:t>2</w:t>
            </w:r>
            <w:r w:rsidRPr="004A32B4">
              <w:rPr>
                <w:rStyle w:val="Hyperlink"/>
                <w:rFonts w:ascii="Calibri" w:eastAsia="MS Gothic" w:hAnsi="Calibri" w:cs="Calibri"/>
                <w:noProof/>
                <w:color w:val="auto"/>
                <w:kern w:val="0"/>
                <w:sz w:val="22"/>
                <w:szCs w:val="22"/>
                <w:lang w:eastAsia="en-US"/>
                <w14:ligatures w14:val="none"/>
              </w:rPr>
              <w:t>:</w:t>
            </w:r>
            <w:r w:rsidRPr="004A32B4">
              <w:rPr>
                <w:rStyle w:val="Hyperlink"/>
                <w:rFonts w:ascii="Calibri" w:eastAsia="SimSun" w:hAnsi="Calibri" w:cs="Calibri"/>
                <w:noProof/>
                <w:color w:val="auto"/>
                <w:kern w:val="0"/>
                <w:sz w:val="22"/>
                <w:szCs w:val="22"/>
                <w14:ligatures w14:val="none"/>
              </w:rPr>
              <w:t xml:space="preserve"> Definition of absorber height</w:t>
            </w:r>
            <w:r w:rsidRPr="004A32B4">
              <w:rPr>
                <w:rFonts w:ascii="Calibri" w:hAnsi="Calibri" w:cs="Calibri"/>
                <w:noProof/>
                <w:webHidden/>
                <w:sz w:val="22"/>
                <w:szCs w:val="22"/>
              </w:rPr>
              <w:tab/>
            </w:r>
            <w:r w:rsidRPr="004A32B4">
              <w:rPr>
                <w:rFonts w:ascii="Calibri" w:hAnsi="Calibri" w:cs="Calibri"/>
                <w:noProof/>
                <w:webHidden/>
                <w:sz w:val="22"/>
                <w:szCs w:val="22"/>
              </w:rPr>
              <w:fldChar w:fldCharType="begin"/>
            </w:r>
            <w:r w:rsidRPr="004A32B4">
              <w:rPr>
                <w:rFonts w:ascii="Calibri" w:hAnsi="Calibri" w:cs="Calibri"/>
                <w:noProof/>
                <w:webHidden/>
                <w:sz w:val="22"/>
                <w:szCs w:val="22"/>
              </w:rPr>
              <w:instrText xml:space="preserve"> PAGEREF _Toc241702902 \h </w:instrText>
            </w:r>
            <w:r w:rsidRPr="004A32B4">
              <w:rPr>
                <w:rFonts w:ascii="Calibri" w:hAnsi="Calibri" w:cs="Calibri"/>
                <w:noProof/>
                <w:webHidden/>
                <w:sz w:val="22"/>
                <w:szCs w:val="22"/>
              </w:rPr>
            </w:r>
            <w:r w:rsidRPr="004A32B4">
              <w:rPr>
                <w:rFonts w:ascii="Calibri" w:hAnsi="Calibri" w:cs="Calibri"/>
                <w:noProof/>
                <w:webHidden/>
                <w:sz w:val="22"/>
                <w:szCs w:val="22"/>
              </w:rPr>
              <w:fldChar w:fldCharType="separate"/>
            </w:r>
            <w:r w:rsidRPr="004A32B4">
              <w:rPr>
                <w:rFonts w:ascii="Calibri" w:hAnsi="Calibri" w:cs="Calibri"/>
                <w:noProof/>
                <w:webHidden/>
                <w:sz w:val="22"/>
                <w:szCs w:val="22"/>
              </w:rPr>
              <w:t>3</w:t>
            </w:r>
            <w:r w:rsidRPr="004A32B4">
              <w:rPr>
                <w:rFonts w:ascii="Calibri" w:hAnsi="Calibri" w:cs="Calibri"/>
                <w:noProof/>
                <w:webHidden/>
                <w:sz w:val="22"/>
                <w:szCs w:val="22"/>
              </w:rPr>
              <w:fldChar w:fldCharType="end"/>
            </w:r>
          </w:hyperlink>
        </w:p>
        <w:p w14:paraId="753D3109" w14:textId="71F8E760" w:rsidR="00876AC7" w:rsidRPr="004A32B4" w:rsidRDefault="00876AC7">
          <w:pPr>
            <w:pStyle w:val="TOC2"/>
            <w:tabs>
              <w:tab w:val="right" w:leader="dot" w:pos="9350"/>
            </w:tabs>
            <w:rPr>
              <w:rFonts w:ascii="Calibri" w:hAnsi="Calibri" w:cs="Calibri"/>
              <w:noProof/>
              <w:sz w:val="22"/>
              <w:szCs w:val="22"/>
            </w:rPr>
          </w:pPr>
          <w:hyperlink w:anchor="_Toc241702903" w:history="1">
            <w:r w:rsidRPr="004A32B4">
              <w:rPr>
                <w:rStyle w:val="Hyperlink"/>
                <w:rFonts w:ascii="Calibri" w:eastAsia="MS Gothic" w:hAnsi="Calibri" w:cs="Calibri"/>
                <w:noProof/>
                <w:color w:val="auto"/>
                <w:kern w:val="0"/>
                <w:sz w:val="22"/>
                <w:szCs w:val="22"/>
                <w:lang w:eastAsia="en-US"/>
                <w14:ligatures w14:val="none"/>
              </w:rPr>
              <w:t xml:space="preserve">Supplementary Text </w:t>
            </w:r>
            <w:r w:rsidRPr="004A32B4">
              <w:rPr>
                <w:rStyle w:val="Hyperlink"/>
                <w:rFonts w:ascii="Calibri" w:eastAsia="SimSun" w:hAnsi="Calibri" w:cs="Calibri"/>
                <w:noProof/>
                <w:color w:val="auto"/>
                <w:kern w:val="0"/>
                <w:sz w:val="22"/>
                <w:szCs w:val="22"/>
                <w14:ligatures w14:val="none"/>
              </w:rPr>
              <w:t>3</w:t>
            </w:r>
            <w:r w:rsidRPr="004A32B4">
              <w:rPr>
                <w:rStyle w:val="Hyperlink"/>
                <w:rFonts w:ascii="Calibri" w:eastAsia="MS Gothic" w:hAnsi="Calibri" w:cs="Calibri"/>
                <w:noProof/>
                <w:color w:val="auto"/>
                <w:kern w:val="0"/>
                <w:sz w:val="22"/>
                <w:szCs w:val="22"/>
                <w:lang w:eastAsia="en-US"/>
                <w14:ligatures w14:val="none"/>
              </w:rPr>
              <w:t>:</w:t>
            </w:r>
            <w:r w:rsidRPr="004A32B4">
              <w:rPr>
                <w:rFonts w:ascii="Calibri" w:hAnsi="Calibri" w:cs="Calibri"/>
                <w:noProof/>
                <w:webHidden/>
                <w:sz w:val="22"/>
                <w:szCs w:val="22"/>
              </w:rPr>
              <w:tab/>
            </w:r>
            <w:r w:rsidRPr="004A32B4">
              <w:rPr>
                <w:rFonts w:ascii="Calibri" w:hAnsi="Calibri" w:cs="Calibri"/>
                <w:noProof/>
                <w:webHidden/>
                <w:sz w:val="22"/>
                <w:szCs w:val="22"/>
              </w:rPr>
              <w:fldChar w:fldCharType="begin"/>
            </w:r>
            <w:r w:rsidRPr="004A32B4">
              <w:rPr>
                <w:rFonts w:ascii="Calibri" w:hAnsi="Calibri" w:cs="Calibri"/>
                <w:noProof/>
                <w:webHidden/>
                <w:sz w:val="22"/>
                <w:szCs w:val="22"/>
              </w:rPr>
              <w:instrText xml:space="preserve"> PAGEREF _Toc241702903 \h </w:instrText>
            </w:r>
            <w:r w:rsidRPr="004A32B4">
              <w:rPr>
                <w:rFonts w:ascii="Calibri" w:hAnsi="Calibri" w:cs="Calibri"/>
                <w:noProof/>
                <w:webHidden/>
                <w:sz w:val="22"/>
                <w:szCs w:val="22"/>
              </w:rPr>
            </w:r>
            <w:r w:rsidRPr="004A32B4">
              <w:rPr>
                <w:rFonts w:ascii="Calibri" w:hAnsi="Calibri" w:cs="Calibri"/>
                <w:noProof/>
                <w:webHidden/>
                <w:sz w:val="22"/>
                <w:szCs w:val="22"/>
              </w:rPr>
              <w:fldChar w:fldCharType="separate"/>
            </w:r>
            <w:r w:rsidRPr="004A32B4">
              <w:rPr>
                <w:rFonts w:ascii="Calibri" w:hAnsi="Calibri" w:cs="Calibri"/>
                <w:noProof/>
                <w:webHidden/>
                <w:sz w:val="22"/>
                <w:szCs w:val="22"/>
              </w:rPr>
              <w:t>3</w:t>
            </w:r>
            <w:r w:rsidRPr="004A32B4">
              <w:rPr>
                <w:rFonts w:ascii="Calibri" w:hAnsi="Calibri" w:cs="Calibri"/>
                <w:noProof/>
                <w:webHidden/>
                <w:sz w:val="22"/>
                <w:szCs w:val="22"/>
              </w:rPr>
              <w:fldChar w:fldCharType="end"/>
            </w:r>
          </w:hyperlink>
        </w:p>
        <w:p w14:paraId="478F213A" w14:textId="1C8AA891" w:rsidR="00876AC7" w:rsidRPr="004A32B4" w:rsidRDefault="00876AC7">
          <w:pPr>
            <w:pStyle w:val="TOC2"/>
            <w:tabs>
              <w:tab w:val="right" w:leader="dot" w:pos="9350"/>
            </w:tabs>
            <w:rPr>
              <w:rFonts w:ascii="Calibri" w:hAnsi="Calibri" w:cs="Calibri"/>
              <w:noProof/>
              <w:sz w:val="22"/>
              <w:szCs w:val="22"/>
            </w:rPr>
          </w:pPr>
          <w:hyperlink w:anchor="_Toc241702904" w:history="1">
            <w:r w:rsidRPr="004A32B4">
              <w:rPr>
                <w:rStyle w:val="Hyperlink"/>
                <w:rFonts w:ascii="Calibri" w:eastAsia="MS Gothic" w:hAnsi="Calibri" w:cs="Calibri"/>
                <w:noProof/>
                <w:color w:val="auto"/>
                <w:kern w:val="0"/>
                <w:sz w:val="22"/>
                <w:szCs w:val="22"/>
                <w:lang w:eastAsia="en-US"/>
                <w14:ligatures w14:val="none"/>
              </w:rPr>
              <w:t>Supplementary Fig. 1 | Time evolution of four-season mean coastal mCDR efficiency.</w:t>
            </w:r>
            <w:r w:rsidRPr="004A32B4">
              <w:rPr>
                <w:rFonts w:ascii="Calibri" w:hAnsi="Calibri" w:cs="Calibri"/>
                <w:noProof/>
                <w:webHidden/>
                <w:sz w:val="22"/>
                <w:szCs w:val="22"/>
              </w:rPr>
              <w:tab/>
            </w:r>
            <w:r w:rsidRPr="004A32B4">
              <w:rPr>
                <w:rFonts w:ascii="Calibri" w:hAnsi="Calibri" w:cs="Calibri"/>
                <w:noProof/>
                <w:webHidden/>
                <w:sz w:val="22"/>
                <w:szCs w:val="22"/>
              </w:rPr>
              <w:fldChar w:fldCharType="begin"/>
            </w:r>
            <w:r w:rsidRPr="004A32B4">
              <w:rPr>
                <w:rFonts w:ascii="Calibri" w:hAnsi="Calibri" w:cs="Calibri"/>
                <w:noProof/>
                <w:webHidden/>
                <w:sz w:val="22"/>
                <w:szCs w:val="22"/>
              </w:rPr>
              <w:instrText xml:space="preserve"> PAGEREF _Toc241702904 \h </w:instrText>
            </w:r>
            <w:r w:rsidRPr="004A32B4">
              <w:rPr>
                <w:rFonts w:ascii="Calibri" w:hAnsi="Calibri" w:cs="Calibri"/>
                <w:noProof/>
                <w:webHidden/>
                <w:sz w:val="22"/>
                <w:szCs w:val="22"/>
              </w:rPr>
            </w:r>
            <w:r w:rsidRPr="004A32B4">
              <w:rPr>
                <w:rFonts w:ascii="Calibri" w:hAnsi="Calibri" w:cs="Calibri"/>
                <w:noProof/>
                <w:webHidden/>
                <w:sz w:val="22"/>
                <w:szCs w:val="22"/>
              </w:rPr>
              <w:fldChar w:fldCharType="separate"/>
            </w:r>
            <w:r w:rsidRPr="004A32B4">
              <w:rPr>
                <w:rFonts w:ascii="Calibri" w:hAnsi="Calibri" w:cs="Calibri"/>
                <w:noProof/>
                <w:webHidden/>
                <w:sz w:val="22"/>
                <w:szCs w:val="22"/>
              </w:rPr>
              <w:t>4</w:t>
            </w:r>
            <w:r w:rsidRPr="004A32B4">
              <w:rPr>
                <w:rFonts w:ascii="Calibri" w:hAnsi="Calibri" w:cs="Calibri"/>
                <w:noProof/>
                <w:webHidden/>
                <w:sz w:val="22"/>
                <w:szCs w:val="22"/>
              </w:rPr>
              <w:fldChar w:fldCharType="end"/>
            </w:r>
          </w:hyperlink>
        </w:p>
        <w:p w14:paraId="58FA8AC1" w14:textId="3474E952" w:rsidR="00876AC7" w:rsidRPr="004A32B4" w:rsidRDefault="00876AC7">
          <w:pPr>
            <w:pStyle w:val="TOC2"/>
            <w:tabs>
              <w:tab w:val="right" w:leader="dot" w:pos="9350"/>
            </w:tabs>
            <w:rPr>
              <w:rFonts w:ascii="Calibri" w:hAnsi="Calibri" w:cs="Calibri"/>
              <w:noProof/>
              <w:sz w:val="22"/>
              <w:szCs w:val="22"/>
            </w:rPr>
          </w:pPr>
          <w:hyperlink w:anchor="_Toc241702905" w:history="1">
            <w:r w:rsidRPr="004A32B4">
              <w:rPr>
                <w:rStyle w:val="Hyperlink"/>
                <w:rFonts w:ascii="Calibri" w:eastAsia="MS Gothic" w:hAnsi="Calibri" w:cs="Calibri"/>
                <w:noProof/>
                <w:color w:val="auto"/>
                <w:kern w:val="0"/>
                <w:sz w:val="22"/>
                <w:szCs w:val="22"/>
                <w:lang w:eastAsia="en-US"/>
                <w14:ligatures w14:val="none"/>
              </w:rPr>
              <w:t>Supplementary Fig. 2 |Coastal mCDR efficiency at year</w:t>
            </w:r>
            <w:r w:rsidRPr="004A32B4">
              <w:rPr>
                <w:rStyle w:val="Hyperlink"/>
                <w:rFonts w:ascii="Calibri" w:eastAsia="SimSun" w:hAnsi="Calibri" w:cs="Calibri"/>
                <w:noProof/>
                <w:color w:val="auto"/>
                <w:kern w:val="0"/>
                <w:sz w:val="22"/>
                <w:szCs w:val="22"/>
                <w14:ligatures w14:val="none"/>
              </w:rPr>
              <w:t>-1</w:t>
            </w:r>
            <w:r w:rsidRPr="004A32B4">
              <w:rPr>
                <w:rStyle w:val="Hyperlink"/>
                <w:rFonts w:ascii="Calibri" w:eastAsia="MS Gothic" w:hAnsi="Calibri" w:cs="Calibri"/>
                <w:noProof/>
                <w:color w:val="auto"/>
                <w:kern w:val="0"/>
                <w:sz w:val="22"/>
                <w:szCs w:val="22"/>
                <w:lang w:eastAsia="en-US"/>
                <w14:ligatures w14:val="none"/>
              </w:rPr>
              <w:t xml:space="preserve"> and 10 for different seasons.</w:t>
            </w:r>
            <w:r w:rsidRPr="004A32B4">
              <w:rPr>
                <w:rFonts w:ascii="Calibri" w:hAnsi="Calibri" w:cs="Calibri"/>
                <w:noProof/>
                <w:webHidden/>
                <w:sz w:val="22"/>
                <w:szCs w:val="22"/>
              </w:rPr>
              <w:tab/>
            </w:r>
            <w:r w:rsidRPr="004A32B4">
              <w:rPr>
                <w:rFonts w:ascii="Calibri" w:hAnsi="Calibri" w:cs="Calibri"/>
                <w:noProof/>
                <w:webHidden/>
                <w:sz w:val="22"/>
                <w:szCs w:val="22"/>
              </w:rPr>
              <w:fldChar w:fldCharType="begin"/>
            </w:r>
            <w:r w:rsidRPr="004A32B4">
              <w:rPr>
                <w:rFonts w:ascii="Calibri" w:hAnsi="Calibri" w:cs="Calibri"/>
                <w:noProof/>
                <w:webHidden/>
                <w:sz w:val="22"/>
                <w:szCs w:val="22"/>
              </w:rPr>
              <w:instrText xml:space="preserve"> PAGEREF _Toc241702905 \h </w:instrText>
            </w:r>
            <w:r w:rsidRPr="004A32B4">
              <w:rPr>
                <w:rFonts w:ascii="Calibri" w:hAnsi="Calibri" w:cs="Calibri"/>
                <w:noProof/>
                <w:webHidden/>
                <w:sz w:val="22"/>
                <w:szCs w:val="22"/>
              </w:rPr>
            </w:r>
            <w:r w:rsidRPr="004A32B4">
              <w:rPr>
                <w:rFonts w:ascii="Calibri" w:hAnsi="Calibri" w:cs="Calibri"/>
                <w:noProof/>
                <w:webHidden/>
                <w:sz w:val="22"/>
                <w:szCs w:val="22"/>
              </w:rPr>
              <w:fldChar w:fldCharType="separate"/>
            </w:r>
            <w:r w:rsidRPr="004A32B4">
              <w:rPr>
                <w:rFonts w:ascii="Calibri" w:hAnsi="Calibri" w:cs="Calibri"/>
                <w:noProof/>
                <w:webHidden/>
                <w:sz w:val="22"/>
                <w:szCs w:val="22"/>
              </w:rPr>
              <w:t>5</w:t>
            </w:r>
            <w:r w:rsidRPr="004A32B4">
              <w:rPr>
                <w:rFonts w:ascii="Calibri" w:hAnsi="Calibri" w:cs="Calibri"/>
                <w:noProof/>
                <w:webHidden/>
                <w:sz w:val="22"/>
                <w:szCs w:val="22"/>
              </w:rPr>
              <w:fldChar w:fldCharType="end"/>
            </w:r>
          </w:hyperlink>
        </w:p>
        <w:p w14:paraId="1EAA0268" w14:textId="0331F238" w:rsidR="00876AC7" w:rsidRPr="004A32B4" w:rsidRDefault="00876AC7">
          <w:pPr>
            <w:pStyle w:val="TOC2"/>
            <w:tabs>
              <w:tab w:val="right" w:leader="dot" w:pos="9350"/>
            </w:tabs>
            <w:rPr>
              <w:rFonts w:ascii="Calibri" w:hAnsi="Calibri" w:cs="Calibri"/>
              <w:noProof/>
              <w:sz w:val="22"/>
              <w:szCs w:val="22"/>
            </w:rPr>
          </w:pPr>
          <w:hyperlink w:anchor="_Toc241702906" w:history="1">
            <w:r w:rsidRPr="004A32B4">
              <w:rPr>
                <w:rStyle w:val="Hyperlink"/>
                <w:rFonts w:ascii="Calibri" w:eastAsia="MS Gothic" w:hAnsi="Calibri" w:cs="Calibri"/>
                <w:noProof/>
                <w:color w:val="auto"/>
                <w:kern w:val="0"/>
                <w:sz w:val="22"/>
                <w:szCs w:val="22"/>
                <w:lang w:eastAsia="en-US"/>
                <w14:ligatures w14:val="none"/>
              </w:rPr>
              <w:t>Supplementary Fig. 3 | Dominant attribution of coastal mCDR efficiency for different seasons.</w:t>
            </w:r>
            <w:r w:rsidRPr="004A32B4">
              <w:rPr>
                <w:rFonts w:ascii="Calibri" w:hAnsi="Calibri" w:cs="Calibri"/>
                <w:noProof/>
                <w:webHidden/>
                <w:sz w:val="22"/>
                <w:szCs w:val="22"/>
              </w:rPr>
              <w:tab/>
            </w:r>
            <w:r w:rsidRPr="004A32B4">
              <w:rPr>
                <w:rFonts w:ascii="Calibri" w:hAnsi="Calibri" w:cs="Calibri"/>
                <w:noProof/>
                <w:webHidden/>
                <w:sz w:val="22"/>
                <w:szCs w:val="22"/>
              </w:rPr>
              <w:fldChar w:fldCharType="begin"/>
            </w:r>
            <w:r w:rsidRPr="004A32B4">
              <w:rPr>
                <w:rFonts w:ascii="Calibri" w:hAnsi="Calibri" w:cs="Calibri"/>
                <w:noProof/>
                <w:webHidden/>
                <w:sz w:val="22"/>
                <w:szCs w:val="22"/>
              </w:rPr>
              <w:instrText xml:space="preserve"> PAGEREF _Toc241702906 \h </w:instrText>
            </w:r>
            <w:r w:rsidRPr="004A32B4">
              <w:rPr>
                <w:rFonts w:ascii="Calibri" w:hAnsi="Calibri" w:cs="Calibri"/>
                <w:noProof/>
                <w:webHidden/>
                <w:sz w:val="22"/>
                <w:szCs w:val="22"/>
              </w:rPr>
            </w:r>
            <w:r w:rsidRPr="004A32B4">
              <w:rPr>
                <w:rFonts w:ascii="Calibri" w:hAnsi="Calibri" w:cs="Calibri"/>
                <w:noProof/>
                <w:webHidden/>
                <w:sz w:val="22"/>
                <w:szCs w:val="22"/>
              </w:rPr>
              <w:fldChar w:fldCharType="separate"/>
            </w:r>
            <w:r w:rsidRPr="004A32B4">
              <w:rPr>
                <w:rFonts w:ascii="Calibri" w:hAnsi="Calibri" w:cs="Calibri"/>
                <w:noProof/>
                <w:webHidden/>
                <w:sz w:val="22"/>
                <w:szCs w:val="22"/>
              </w:rPr>
              <w:t>6</w:t>
            </w:r>
            <w:r w:rsidRPr="004A32B4">
              <w:rPr>
                <w:rFonts w:ascii="Calibri" w:hAnsi="Calibri" w:cs="Calibri"/>
                <w:noProof/>
                <w:webHidden/>
                <w:sz w:val="22"/>
                <w:szCs w:val="22"/>
              </w:rPr>
              <w:fldChar w:fldCharType="end"/>
            </w:r>
          </w:hyperlink>
        </w:p>
        <w:p w14:paraId="7B2AFFA8" w14:textId="02F2A909" w:rsidR="00876AC7" w:rsidRPr="004A32B4" w:rsidRDefault="00876AC7">
          <w:pPr>
            <w:pStyle w:val="TOC2"/>
            <w:tabs>
              <w:tab w:val="right" w:leader="dot" w:pos="9350"/>
            </w:tabs>
            <w:rPr>
              <w:rFonts w:ascii="Calibri" w:hAnsi="Calibri" w:cs="Calibri"/>
              <w:noProof/>
              <w:sz w:val="22"/>
              <w:szCs w:val="22"/>
            </w:rPr>
          </w:pPr>
          <w:hyperlink w:anchor="_Toc241702907" w:history="1">
            <w:r w:rsidRPr="004A32B4">
              <w:rPr>
                <w:rStyle w:val="Hyperlink"/>
                <w:rFonts w:ascii="Calibri" w:eastAsia="MS Gothic" w:hAnsi="Calibri" w:cs="Calibri"/>
                <w:noProof/>
                <w:color w:val="auto"/>
                <w:kern w:val="0"/>
                <w:sz w:val="22"/>
                <w:szCs w:val="22"/>
                <w:lang w:eastAsia="en-US"/>
                <w14:ligatures w14:val="none"/>
              </w:rPr>
              <w:t xml:space="preserve">Supplementary Fig. </w:t>
            </w:r>
            <w:r w:rsidRPr="004A32B4">
              <w:rPr>
                <w:rStyle w:val="Hyperlink"/>
                <w:rFonts w:ascii="Calibri" w:eastAsia="SimSun" w:hAnsi="Calibri" w:cs="Calibri"/>
                <w:noProof/>
                <w:color w:val="auto"/>
                <w:kern w:val="0"/>
                <w:sz w:val="22"/>
                <w:szCs w:val="22"/>
                <w14:ligatures w14:val="none"/>
              </w:rPr>
              <w:t>4</w:t>
            </w:r>
            <w:r w:rsidRPr="004A32B4">
              <w:rPr>
                <w:rStyle w:val="Hyperlink"/>
                <w:rFonts w:ascii="Calibri" w:eastAsia="MS Gothic" w:hAnsi="Calibri" w:cs="Calibri"/>
                <w:noProof/>
                <w:color w:val="auto"/>
                <w:kern w:val="0"/>
                <w:sz w:val="22"/>
                <w:szCs w:val="22"/>
                <w:lang w:eastAsia="en-US"/>
                <w14:ligatures w14:val="none"/>
              </w:rPr>
              <w:t xml:space="preserve"> | Sensitivity of absorber-approach efficiency error to the gamma scaling and mixed layer depth clip.</w:t>
            </w:r>
            <w:r w:rsidRPr="004A32B4">
              <w:rPr>
                <w:rFonts w:ascii="Calibri" w:hAnsi="Calibri" w:cs="Calibri"/>
                <w:noProof/>
                <w:webHidden/>
                <w:sz w:val="22"/>
                <w:szCs w:val="22"/>
              </w:rPr>
              <w:tab/>
            </w:r>
            <w:r w:rsidRPr="004A32B4">
              <w:rPr>
                <w:rFonts w:ascii="Calibri" w:hAnsi="Calibri" w:cs="Calibri"/>
                <w:noProof/>
                <w:webHidden/>
                <w:sz w:val="22"/>
                <w:szCs w:val="22"/>
              </w:rPr>
              <w:fldChar w:fldCharType="begin"/>
            </w:r>
            <w:r w:rsidRPr="004A32B4">
              <w:rPr>
                <w:rFonts w:ascii="Calibri" w:hAnsi="Calibri" w:cs="Calibri"/>
                <w:noProof/>
                <w:webHidden/>
                <w:sz w:val="22"/>
                <w:szCs w:val="22"/>
              </w:rPr>
              <w:instrText xml:space="preserve"> PAGEREF _Toc241702907 \h </w:instrText>
            </w:r>
            <w:r w:rsidRPr="004A32B4">
              <w:rPr>
                <w:rFonts w:ascii="Calibri" w:hAnsi="Calibri" w:cs="Calibri"/>
                <w:noProof/>
                <w:webHidden/>
                <w:sz w:val="22"/>
                <w:szCs w:val="22"/>
              </w:rPr>
            </w:r>
            <w:r w:rsidRPr="004A32B4">
              <w:rPr>
                <w:rFonts w:ascii="Calibri" w:hAnsi="Calibri" w:cs="Calibri"/>
                <w:noProof/>
                <w:webHidden/>
                <w:sz w:val="22"/>
                <w:szCs w:val="22"/>
              </w:rPr>
              <w:fldChar w:fldCharType="separate"/>
            </w:r>
            <w:r w:rsidRPr="004A32B4">
              <w:rPr>
                <w:rFonts w:ascii="Calibri" w:hAnsi="Calibri" w:cs="Calibri"/>
                <w:noProof/>
                <w:webHidden/>
                <w:sz w:val="22"/>
                <w:szCs w:val="22"/>
              </w:rPr>
              <w:t>7</w:t>
            </w:r>
            <w:r w:rsidRPr="004A32B4">
              <w:rPr>
                <w:rFonts w:ascii="Calibri" w:hAnsi="Calibri" w:cs="Calibri"/>
                <w:noProof/>
                <w:webHidden/>
                <w:sz w:val="22"/>
                <w:szCs w:val="22"/>
              </w:rPr>
              <w:fldChar w:fldCharType="end"/>
            </w:r>
          </w:hyperlink>
        </w:p>
        <w:p w14:paraId="3B9ED2DB" w14:textId="151AC9C2" w:rsidR="00876AC7" w:rsidRPr="004A32B4" w:rsidRDefault="00876AC7">
          <w:pPr>
            <w:pStyle w:val="TOC2"/>
            <w:tabs>
              <w:tab w:val="right" w:leader="dot" w:pos="9350"/>
            </w:tabs>
            <w:rPr>
              <w:rFonts w:ascii="Calibri" w:hAnsi="Calibri" w:cs="Calibri"/>
              <w:noProof/>
              <w:sz w:val="22"/>
              <w:szCs w:val="22"/>
            </w:rPr>
          </w:pPr>
          <w:hyperlink w:anchor="_Toc241702908" w:history="1">
            <w:r w:rsidRPr="004A32B4">
              <w:rPr>
                <w:rStyle w:val="Hyperlink"/>
                <w:rFonts w:ascii="Calibri" w:eastAsia="MS Gothic" w:hAnsi="Calibri" w:cs="Calibri"/>
                <w:noProof/>
                <w:color w:val="auto"/>
                <w:kern w:val="0"/>
                <w:sz w:val="22"/>
                <w:szCs w:val="22"/>
                <w:lang w:eastAsia="en-US"/>
                <w14:ligatures w14:val="none"/>
              </w:rPr>
              <w:t xml:space="preserve">Supplementary Fig. </w:t>
            </w:r>
            <w:r w:rsidRPr="004A32B4">
              <w:rPr>
                <w:rStyle w:val="Hyperlink"/>
                <w:rFonts w:ascii="Calibri" w:eastAsia="SimSun" w:hAnsi="Calibri" w:cs="Calibri"/>
                <w:noProof/>
                <w:color w:val="auto"/>
                <w:kern w:val="0"/>
                <w:sz w:val="22"/>
                <w:szCs w:val="22"/>
                <w14:ligatures w14:val="none"/>
              </w:rPr>
              <w:t xml:space="preserve">5 </w:t>
            </w:r>
            <w:r w:rsidRPr="004A32B4">
              <w:rPr>
                <w:rStyle w:val="Hyperlink"/>
                <w:rFonts w:ascii="Calibri" w:eastAsia="MS Gothic" w:hAnsi="Calibri" w:cs="Calibri"/>
                <w:noProof/>
                <w:color w:val="auto"/>
                <w:kern w:val="0"/>
                <w:sz w:val="22"/>
                <w:szCs w:val="22"/>
                <w:lang w:eastAsia="en-US"/>
                <w14:ligatures w14:val="none"/>
              </w:rPr>
              <w:t>| Sensitivity of mCDR efficiency calculated with the absorber approach to the number of absorbers used to assess mCDR efficiency.</w:t>
            </w:r>
            <w:r w:rsidRPr="004A32B4">
              <w:rPr>
                <w:rFonts w:ascii="Calibri" w:hAnsi="Calibri" w:cs="Calibri"/>
                <w:noProof/>
                <w:webHidden/>
                <w:sz w:val="22"/>
                <w:szCs w:val="22"/>
              </w:rPr>
              <w:tab/>
            </w:r>
            <w:r w:rsidRPr="004A32B4">
              <w:rPr>
                <w:rFonts w:ascii="Calibri" w:hAnsi="Calibri" w:cs="Calibri"/>
                <w:noProof/>
                <w:webHidden/>
                <w:sz w:val="22"/>
                <w:szCs w:val="22"/>
              </w:rPr>
              <w:fldChar w:fldCharType="begin"/>
            </w:r>
            <w:r w:rsidRPr="004A32B4">
              <w:rPr>
                <w:rFonts w:ascii="Calibri" w:hAnsi="Calibri" w:cs="Calibri"/>
                <w:noProof/>
                <w:webHidden/>
                <w:sz w:val="22"/>
                <w:szCs w:val="22"/>
              </w:rPr>
              <w:instrText xml:space="preserve"> PAGEREF _Toc241702908 \h </w:instrText>
            </w:r>
            <w:r w:rsidRPr="004A32B4">
              <w:rPr>
                <w:rFonts w:ascii="Calibri" w:hAnsi="Calibri" w:cs="Calibri"/>
                <w:noProof/>
                <w:webHidden/>
                <w:sz w:val="22"/>
                <w:szCs w:val="22"/>
              </w:rPr>
            </w:r>
            <w:r w:rsidRPr="004A32B4">
              <w:rPr>
                <w:rFonts w:ascii="Calibri" w:hAnsi="Calibri" w:cs="Calibri"/>
                <w:noProof/>
                <w:webHidden/>
                <w:sz w:val="22"/>
                <w:szCs w:val="22"/>
              </w:rPr>
              <w:fldChar w:fldCharType="separate"/>
            </w:r>
            <w:r w:rsidRPr="004A32B4">
              <w:rPr>
                <w:rFonts w:ascii="Calibri" w:hAnsi="Calibri" w:cs="Calibri"/>
                <w:noProof/>
                <w:webHidden/>
                <w:sz w:val="22"/>
                <w:szCs w:val="22"/>
              </w:rPr>
              <w:t>8</w:t>
            </w:r>
            <w:r w:rsidRPr="004A32B4">
              <w:rPr>
                <w:rFonts w:ascii="Calibri" w:hAnsi="Calibri" w:cs="Calibri"/>
                <w:noProof/>
                <w:webHidden/>
                <w:sz w:val="22"/>
                <w:szCs w:val="22"/>
              </w:rPr>
              <w:fldChar w:fldCharType="end"/>
            </w:r>
          </w:hyperlink>
        </w:p>
        <w:p w14:paraId="5C471E44" w14:textId="3FBAE6AD" w:rsidR="00876AC7" w:rsidRDefault="00876AC7">
          <w:r w:rsidRPr="004A32B4">
            <w:rPr>
              <w:rFonts w:ascii="Calibri" w:hAnsi="Calibri" w:cs="Calibri"/>
              <w:sz w:val="22"/>
              <w:szCs w:val="22"/>
              <w:lang w:val="en-GB"/>
            </w:rPr>
            <w:fldChar w:fldCharType="end"/>
          </w:r>
        </w:p>
      </w:sdtContent>
    </w:sdt>
    <w:p w14:paraId="0F177043" w14:textId="7E659D7A" w:rsidR="0001609D" w:rsidRPr="0001609D" w:rsidRDefault="0001609D" w:rsidP="0001609D">
      <w:pPr>
        <w:keepNext/>
        <w:keepLines/>
        <w:spacing w:before="320" w:line="259" w:lineRule="auto"/>
        <w:outlineLvl w:val="0"/>
        <w:rPr>
          <w:rFonts w:ascii="Calibri" w:eastAsia="SimSun" w:hAnsi="Calibri" w:cs="Times New Roman"/>
          <w:b/>
          <w:bCs/>
          <w:color w:val="000000"/>
          <w:kern w:val="0"/>
          <w:sz w:val="32"/>
          <w:szCs w:val="32"/>
          <w14:ligatures w14:val="none"/>
        </w:rPr>
      </w:pPr>
    </w:p>
    <w:p w14:paraId="5EEF7061" w14:textId="77777777" w:rsidR="00B27C8E" w:rsidRDefault="00B27C8E">
      <w:pPr>
        <w:rPr>
          <w:rFonts w:ascii="Calibri" w:eastAsia="MS Gothic" w:hAnsi="Calibri" w:cs="Times New Roman"/>
          <w:b/>
          <w:bCs/>
          <w:color w:val="000000"/>
          <w:kern w:val="0"/>
          <w:sz w:val="26"/>
          <w:szCs w:val="26"/>
          <w:lang w:eastAsia="en-US"/>
          <w14:ligatures w14:val="none"/>
        </w:rPr>
      </w:pPr>
      <w:r>
        <w:rPr>
          <w:rFonts w:ascii="Calibri" w:eastAsia="MS Gothic" w:hAnsi="Calibri" w:cs="Times New Roman"/>
          <w:b/>
          <w:bCs/>
          <w:color w:val="000000"/>
          <w:kern w:val="0"/>
          <w:sz w:val="26"/>
          <w:szCs w:val="26"/>
          <w:lang w:eastAsia="en-US"/>
          <w14:ligatures w14:val="none"/>
        </w:rPr>
        <w:br w:type="page"/>
      </w:r>
    </w:p>
    <w:p w14:paraId="113A79A8" w14:textId="05F9E5BE" w:rsidR="0001609D" w:rsidRPr="0001609D" w:rsidRDefault="0001609D" w:rsidP="0001609D">
      <w:pPr>
        <w:keepNext/>
        <w:keepLines/>
        <w:spacing w:before="240" w:after="120" w:line="259" w:lineRule="auto"/>
        <w:outlineLvl w:val="1"/>
        <w:rPr>
          <w:rFonts w:ascii="Calibri" w:eastAsia="SimSun" w:hAnsi="Calibri" w:cs="Times New Roman"/>
          <w:b/>
          <w:bCs/>
          <w:color w:val="000000"/>
          <w:kern w:val="0"/>
          <w:sz w:val="26"/>
          <w:szCs w:val="26"/>
          <w14:ligatures w14:val="none"/>
        </w:rPr>
      </w:pPr>
      <w:bookmarkStart w:id="0" w:name="_Toc241702901"/>
      <w:r w:rsidRPr="0001609D">
        <w:rPr>
          <w:rFonts w:ascii="Calibri" w:eastAsia="MS Gothic" w:hAnsi="Calibri" w:cs="Times New Roman"/>
          <w:b/>
          <w:bCs/>
          <w:color w:val="000000"/>
          <w:kern w:val="0"/>
          <w:sz w:val="26"/>
          <w:szCs w:val="26"/>
          <w:lang w:eastAsia="en-US"/>
          <w14:ligatures w14:val="none"/>
        </w:rPr>
        <w:lastRenderedPageBreak/>
        <w:t xml:space="preserve">Supplementary </w:t>
      </w:r>
      <w:r w:rsidRPr="0001609D">
        <w:rPr>
          <w:rFonts w:ascii="Calibri" w:eastAsia="SimSun" w:hAnsi="Calibri" w:cs="Times New Roman"/>
          <w:b/>
          <w:bCs/>
          <w:color w:val="000000"/>
          <w:kern w:val="0"/>
          <w:sz w:val="26"/>
          <w:szCs w:val="26"/>
          <w:lang w:eastAsia="en-US"/>
          <w14:ligatures w14:val="none"/>
        </w:rPr>
        <w:t>Text 1</w:t>
      </w:r>
      <w:r w:rsidRPr="0001609D">
        <w:rPr>
          <w:rFonts w:ascii="Calibri" w:eastAsia="SimSun" w:hAnsi="Calibri" w:cs="Times New Roman"/>
          <w:b/>
          <w:bCs/>
          <w:color w:val="000000"/>
          <w:kern w:val="0"/>
          <w:sz w:val="26"/>
          <w:szCs w:val="26"/>
          <w14:ligatures w14:val="none"/>
        </w:rPr>
        <w:t xml:space="preserve">: </w:t>
      </w:r>
      <w:r w:rsidRPr="0001609D">
        <w:rPr>
          <w:rFonts w:ascii="Calibri" w:eastAsia="MS Gothic" w:hAnsi="Calibri" w:cs="Times New Roman"/>
          <w:b/>
          <w:bCs/>
          <w:color w:val="000000"/>
          <w:kern w:val="0"/>
          <w:sz w:val="26"/>
          <w:szCs w:val="26"/>
          <w:lang w:eastAsia="en-US"/>
          <w14:ligatures w14:val="none"/>
        </w:rPr>
        <w:t>Computational cost relative to conventional modelling</w:t>
      </w:r>
      <w:bookmarkEnd w:id="0"/>
    </w:p>
    <w:p w14:paraId="0B59E82B" w14:textId="77777777" w:rsidR="0001609D" w:rsidRPr="0001609D" w:rsidRDefault="0001609D" w:rsidP="0001609D">
      <w:pPr>
        <w:spacing w:line="259" w:lineRule="auto"/>
        <w:rPr>
          <w:rFonts w:ascii="Cambria" w:eastAsia="SimSun" w:hAnsi="Cambria" w:cs="Arial"/>
          <w:kern w:val="0"/>
          <w:sz w:val="22"/>
          <w:szCs w:val="22"/>
          <w14:ligatures w14:val="none"/>
        </w:rPr>
      </w:pPr>
      <w:r w:rsidRPr="0001609D">
        <w:rPr>
          <w:rFonts w:ascii="Calibri" w:eastAsia="SimSun" w:hAnsi="Calibri" w:cs="Times New Roman"/>
          <w:kern w:val="0"/>
          <w:sz w:val="22"/>
          <w:szCs w:val="22"/>
          <w:lang w:eastAsia="en-US"/>
          <w14:ligatures w14:val="none"/>
        </w:rPr>
        <w:t xml:space="preserve">We estimated the market-rate replacement cost of ACCESS-OM2 simulations using published model-performance data and benchmarked HPC pricing. </w:t>
      </w:r>
      <w:r w:rsidRPr="0001609D">
        <w:rPr>
          <w:rFonts w:ascii="Calibri" w:eastAsia="SimSun" w:hAnsi="Calibri" w:cs="Times New Roman"/>
          <w:kern w:val="0"/>
          <w:sz w:val="22"/>
          <w:szCs w:val="22"/>
          <w14:ligatures w14:val="none"/>
        </w:rPr>
        <w:fldChar w:fldCharType="begin"/>
      </w:r>
      <w:r w:rsidRPr="0001609D">
        <w:rPr>
          <w:rFonts w:ascii="Calibri" w:eastAsia="SimSun" w:hAnsi="Calibri" w:cs="Times New Roman"/>
          <w:kern w:val="0"/>
          <w:sz w:val="22"/>
          <w:szCs w:val="22"/>
          <w14:ligatures w14:val="none"/>
        </w:rPr>
        <w:instrText xml:space="preserve"> ADDIN ZOTERO_ITEM CSL_CITATION {"citationID":"wq048mse","properties":{"unsorted":false,"formattedCitation":"(Kiss et al. 2020)","plainCitation":"(Kiss et al. 2020)","dontUpdate":true,"noteIndex":0},"citationItems":[{"id":83,"uris":["http://zotero.org/users/9950558/items/HWXQ4A3F"],"itemData":{"id":83,"type":"article-journal","abstract":"Abstract. We introduce ACCESS-OM2, a new version of the ocean–sea ice model of the Australian Community Climate and Earth System Simulator.\nACCESS-OM2 is driven by a prescribed atmosphere (JRA55-do) but has been designed to form the ocean–sea ice component of the fully coupled (atmosphere–land–ocean–sea ice) ACCESS-CM2 model.\nImportantly, the model is available at three different horizontal resolutions: a coarse resolution (nominally 1</w:instrText>
      </w:r>
      <w:r w:rsidRPr="0001609D">
        <w:rPr>
          <w:rFonts w:ascii="Cambria Math" w:eastAsia="SimSun" w:hAnsi="Cambria Math" w:cs="Cambria Math"/>
          <w:kern w:val="0"/>
          <w:sz w:val="22"/>
          <w:szCs w:val="22"/>
          <w14:ligatures w14:val="none"/>
        </w:rPr>
        <w:instrText>∘</w:instrText>
      </w:r>
      <w:r w:rsidRPr="0001609D">
        <w:rPr>
          <w:rFonts w:ascii="Calibri" w:eastAsia="SimSun" w:hAnsi="Calibri" w:cs="Times New Roman"/>
          <w:kern w:val="0"/>
          <w:sz w:val="22"/>
          <w:szCs w:val="22"/>
          <w14:ligatures w14:val="none"/>
        </w:rPr>
        <w:instrText xml:space="preserve"> horizontal grid spacing), an eddy-permitting resolution (nominally 0.25</w:instrText>
      </w:r>
      <w:r w:rsidRPr="0001609D">
        <w:rPr>
          <w:rFonts w:ascii="Cambria Math" w:eastAsia="SimSun" w:hAnsi="Cambria Math" w:cs="Cambria Math"/>
          <w:kern w:val="0"/>
          <w:sz w:val="22"/>
          <w:szCs w:val="22"/>
          <w14:ligatures w14:val="none"/>
        </w:rPr>
        <w:instrText>∘</w:instrText>
      </w:r>
      <w:r w:rsidRPr="0001609D">
        <w:rPr>
          <w:rFonts w:ascii="Calibri" w:eastAsia="SimSun" w:hAnsi="Calibri" w:cs="Times New Roman"/>
          <w:kern w:val="0"/>
          <w:sz w:val="22"/>
          <w:szCs w:val="22"/>
          <w14:ligatures w14:val="none"/>
        </w:rPr>
        <w:instrText>), and an eddy-rich resolution (0.1</w:instrText>
      </w:r>
      <w:r w:rsidRPr="0001609D">
        <w:rPr>
          <w:rFonts w:ascii="Cambria Math" w:eastAsia="SimSun" w:hAnsi="Cambria Math" w:cs="Cambria Math"/>
          <w:kern w:val="0"/>
          <w:sz w:val="22"/>
          <w:szCs w:val="22"/>
          <w14:ligatures w14:val="none"/>
        </w:rPr>
        <w:instrText>∘</w:instrText>
      </w:r>
      <w:r w:rsidRPr="0001609D">
        <w:rPr>
          <w:rFonts w:ascii="Calibri" w:eastAsia="SimSun" w:hAnsi="Calibri" w:cs="Times New Roman"/>
          <w:kern w:val="0"/>
          <w:sz w:val="22"/>
          <w:szCs w:val="22"/>
          <w14:ligatures w14:val="none"/>
        </w:rPr>
        <w:instrText xml:space="preserve"> with 75 vertical levels); the eddy-rich model is designed to be incorporated into the Bluelink operational ocean prediction and reanalysis system.\nThe different resolutions have been developed simultaneously, both to allow for testing at lower resolutions and to permit comparison across resolutions.\nIn this paper, the model is introduced and the individual components are documented.\nThe model performance is evaluated across the three different resolutions, highlighting the relative advantages and disadvantages of running ocean–sea ice models at higher resolution.\nWe find that higher resolution is an advantage in resolving flow through small straits, the structure of western boundary currents, and the abyssal overturning cell but that there is scope for improvements in sub-grid-scale parameterizations at the highest resolution.","container-title":"Geoscientific Model Development","DOI":"10.5194/gmd-13-401-2020","ISSN":"1991-9603","issue":"2","journalAbbreviation":"Geosci. Model Dev.","language":"en","page":"401-442","source":"DOI.org (Crossref)","title":"ACCESS-OM2 v1.0: a global ocean–sea ice model at three resolutions","title-short":"ACCESS-OM2 v1.0","volume":"13","author":[{"family":"Kiss","given":"Andrew E."},{"family":"Hogg","given":"Andrew McC."},{"family":"Hannah","given":"Nicholas"},{"family":"Boeira Dias","given":"Fabio"},{"family":"Brassington","given":"Gary B."},{"family":"Chamberlain","given":"Matthew A."},{"family":"Chapman","given":"Christopher"},{"family":"Dobrohotoff","given":"Peter"},{"family":"Domingues","given":"Catia M."},{"family":"Duran","given":"Earl R."},{"family":"England","given":"Matthew H."},{"family":"Fiedler","given":"Russell"},{"family":"Griffies","given":"Stephen M."},{"family":"Heerdegen","given":"Aidan"},{"family":"Heil","given":"Petra"},{"family":"Holmes","given":"Ryan M."},{"family":"Klocker","given":"Andreas"},{"family":"Marsland","given":"Simon J."},{"family":"Morrison","given":"Adele K."},{"family":"Munroe","given":"James"},{"family":"Nikurashin","given":"Maxim"},{"family":"Oke","given":"Peter R."},{"family":"Pilo","given":"Gabriela S."},{"family":"Richet","given":"Océane"},{"family":"Savita","given":"Abhishek"},{"family":"Spence","given":"Paul"},{"family":"Stewart","given":"Kial D."},{"family":"Ward","given":"Marshall L."},{"family":"Wu","given":"Fanghua"},{"family":"Zhang","given":"Xihan"}],"issued":{"date-parts":[["2020",2,5]]}}}],"schema":"https://github.com/citation-style-language/schema/raw/master/csl-citation.json"} </w:instrText>
      </w:r>
      <w:r w:rsidRPr="0001609D">
        <w:rPr>
          <w:rFonts w:ascii="Calibri" w:eastAsia="SimSun" w:hAnsi="Calibri" w:cs="Times New Roman"/>
          <w:kern w:val="0"/>
          <w:sz w:val="22"/>
          <w:szCs w:val="22"/>
          <w14:ligatures w14:val="none"/>
        </w:rPr>
        <w:fldChar w:fldCharType="separate"/>
      </w:r>
      <w:r w:rsidRPr="0001609D">
        <w:rPr>
          <w:rFonts w:ascii="Calibri" w:eastAsia="MS Mincho" w:hAnsi="Calibri" w:cs="Calibri"/>
          <w:kern w:val="0"/>
          <w:sz w:val="22"/>
          <w:szCs w:val="22"/>
          <w:lang w:eastAsia="en-US"/>
          <w14:ligatures w14:val="none"/>
        </w:rPr>
        <w:t xml:space="preserve">Kiss et al. </w:t>
      </w:r>
      <w:r w:rsidRPr="0001609D">
        <w:rPr>
          <w:rFonts w:ascii="Calibri" w:eastAsia="SimSun" w:hAnsi="Calibri" w:cs="Calibri"/>
          <w:kern w:val="0"/>
          <w:sz w:val="22"/>
          <w:szCs w:val="22"/>
          <w:lang w:eastAsia="en-US"/>
          <w14:ligatures w14:val="none"/>
        </w:rPr>
        <w:t>(</w:t>
      </w:r>
      <w:r w:rsidRPr="0001609D">
        <w:rPr>
          <w:rFonts w:ascii="Calibri" w:eastAsia="MS Mincho" w:hAnsi="Calibri" w:cs="Calibri"/>
          <w:kern w:val="0"/>
          <w:sz w:val="22"/>
          <w:szCs w:val="22"/>
          <w:lang w:eastAsia="en-US"/>
          <w14:ligatures w14:val="none"/>
        </w:rPr>
        <w:t>2020)</w:t>
      </w:r>
      <w:r w:rsidRPr="0001609D">
        <w:rPr>
          <w:rFonts w:ascii="Calibri" w:eastAsia="SimSun" w:hAnsi="Calibri" w:cs="Times New Roman"/>
          <w:kern w:val="0"/>
          <w:sz w:val="22"/>
          <w:szCs w:val="22"/>
          <w14:ligatures w14:val="none"/>
        </w:rPr>
        <w:fldChar w:fldCharType="end"/>
      </w:r>
      <w:r w:rsidRPr="0001609D">
        <w:rPr>
          <w:rFonts w:ascii="Calibri" w:eastAsia="SimSun" w:hAnsi="Calibri" w:cs="Times New Roman"/>
          <w:kern w:val="0"/>
          <w:sz w:val="22"/>
          <w:szCs w:val="22"/>
          <w:lang w:eastAsia="en-US"/>
          <w14:ligatures w14:val="none"/>
        </w:rPr>
        <w:t xml:space="preserve"> report that ACCESS-OM2 requires approximately 118 CPU-hours per simulated year at 1° resolution and 118,000 CPU-hours per simulated year at 0.1° resolution. For a 10-year simulation, this corresponds to 1,180 and 1,180,000 CPU-hours, respectively. We converted CPU-hours to monetary cost using published HPC/cloud benchmark rates from </w:t>
      </w:r>
      <w:r w:rsidRPr="0001609D">
        <w:rPr>
          <w:rFonts w:ascii="Calibri" w:eastAsia="SimSun" w:hAnsi="Calibri" w:cs="Times New Roman"/>
          <w:kern w:val="0"/>
          <w:sz w:val="22"/>
          <w:szCs w:val="22"/>
          <w14:ligatures w14:val="none"/>
        </w:rPr>
        <w:fldChar w:fldCharType="begin"/>
      </w:r>
      <w:r w:rsidRPr="0001609D">
        <w:rPr>
          <w:rFonts w:ascii="Calibri" w:eastAsia="SimSun" w:hAnsi="Calibri" w:cs="Times New Roman"/>
          <w:kern w:val="0"/>
          <w:sz w:val="22"/>
          <w:szCs w:val="22"/>
          <w14:ligatures w14:val="none"/>
        </w:rPr>
        <w:instrText xml:space="preserve"> ADDIN ZOTERO_ITEM CSL_CITATION {"citationID":"V2mByhU9","properties":{"unsorted":false,"formattedCitation":"(Dancheva et al. 2024)","plainCitation":"(Dancheva et al. 2024)","dontUpdate":true,"noteIndex":0},"citationItems":[{"id":670,"uris":["http://zotero.org/users/9950558/items/L8ALPLRK"],"itemData":{"id":670,"type":"article-journal","abstract":"Cloud computing platforms have been continuously evolving. Features such as the Elastic Fabric Adapter (EFA) in the Amazon Web Services (AWS) platform have brought yet another revolution in the High Performance Computing (HPC) world, further accelerating the convergence of HPC and cloud computing. Other public clouds also support similar features further fueling this change. In this paper, we show how and why the performance of a large-scale computational fluid dynamics (CFD) HPC application on AWS competes very closely with the one on Beskow—a Cray XC40 supercomputer at the PDC Center for High-Performance Computing - in terms of cost-efficiency with strong scaling up to 2304 processes. We perform an extensive set of micro and macro benchmarks in both environments and conduct a comparative analysis. Until as recently as 2020 these benchmarks have notoriously yielded unsatisfactory results for the cloud platforms compared with on-premise infrastructures. Our aim is to access the HPC capabilities of the cloud, and in general to demonstrate how researchers can scale and evaluate the performance of their application in the cloud.","container-title":"Cluster Computing","DOI":"10.1007/s10586-023-04060-4","ISSN":"1573-7543","issue":"2","journalAbbreviation":"Cluster Comput","language":"en","page":"2273-2290","source":"Springer Link","title":"Cloud benchmarking and performance analysis of an HPC application in Amazon EC2","volume":"27","author":[{"family":"Dancheva","given":"Tamara"},{"family":"Alonso","given":"Unai"},{"family":"Barton","given":"Michael"}],"issued":{"date-parts":[["2024",4,1]]}}}],"schema":"https://github.com/citation-style-language/schema/raw/master/csl-citation.json"} </w:instrText>
      </w:r>
      <w:r w:rsidRPr="0001609D">
        <w:rPr>
          <w:rFonts w:ascii="Calibri" w:eastAsia="SimSun" w:hAnsi="Calibri" w:cs="Times New Roman"/>
          <w:kern w:val="0"/>
          <w:sz w:val="22"/>
          <w:szCs w:val="22"/>
          <w14:ligatures w14:val="none"/>
        </w:rPr>
        <w:fldChar w:fldCharType="separate"/>
      </w:r>
      <w:r w:rsidRPr="0001609D">
        <w:rPr>
          <w:rFonts w:ascii="Calibri" w:eastAsia="MS Mincho" w:hAnsi="Calibri" w:cs="Calibri"/>
          <w:kern w:val="0"/>
          <w:sz w:val="22"/>
          <w:szCs w:val="22"/>
          <w:lang w:eastAsia="en-US"/>
          <w14:ligatures w14:val="none"/>
        </w:rPr>
        <w:t xml:space="preserve">Dancheva et al. </w:t>
      </w:r>
      <w:r w:rsidRPr="0001609D">
        <w:rPr>
          <w:rFonts w:ascii="Calibri" w:eastAsia="SimSun" w:hAnsi="Calibri" w:cs="Calibri"/>
          <w:kern w:val="0"/>
          <w:sz w:val="22"/>
          <w:szCs w:val="22"/>
          <w:lang w:eastAsia="en-US"/>
          <w14:ligatures w14:val="none"/>
        </w:rPr>
        <w:t>(</w:t>
      </w:r>
      <w:r w:rsidRPr="0001609D">
        <w:rPr>
          <w:rFonts w:ascii="Calibri" w:eastAsia="MS Mincho" w:hAnsi="Calibri" w:cs="Calibri"/>
          <w:kern w:val="0"/>
          <w:sz w:val="22"/>
          <w:szCs w:val="22"/>
          <w:lang w:eastAsia="en-US"/>
          <w14:ligatures w14:val="none"/>
        </w:rPr>
        <w:t>2024)</w:t>
      </w:r>
      <w:r w:rsidRPr="0001609D">
        <w:rPr>
          <w:rFonts w:ascii="Calibri" w:eastAsia="SimSun" w:hAnsi="Calibri" w:cs="Times New Roman"/>
          <w:kern w:val="0"/>
          <w:sz w:val="22"/>
          <w:szCs w:val="22"/>
          <w14:ligatures w14:val="none"/>
        </w:rPr>
        <w:fldChar w:fldCharType="end"/>
      </w:r>
      <w:r w:rsidRPr="0001609D">
        <w:rPr>
          <w:rFonts w:ascii="Calibri" w:eastAsia="SimSun" w:hAnsi="Calibri" w:cs="Times New Roman"/>
          <w:kern w:val="0"/>
          <w:sz w:val="22"/>
          <w:szCs w:val="22"/>
          <w:lang w:eastAsia="en-US"/>
          <w14:ligatures w14:val="none"/>
        </w:rPr>
        <w:t>, who report approximately USD 0.027–0.053 per core-hour for comparable academic supercomputing and cloud-HPC resources. This gives an indicative replacement cost of approximately USD 30–60 for a 10-year 1° simulation and USD 30,000–60,000 for a 10-year 0.1° simulation.</w:t>
      </w:r>
      <w:r w:rsidRPr="0001609D">
        <w:rPr>
          <w:rFonts w:ascii="Cambria" w:eastAsia="SimSun" w:hAnsi="Cambria" w:cs="Arial"/>
          <w:kern w:val="0"/>
          <w:sz w:val="22"/>
          <w:szCs w:val="22"/>
          <w:lang w:eastAsia="en-US"/>
          <w14:ligatures w14:val="none"/>
        </w:rPr>
        <w:t xml:space="preserve"> </w:t>
      </w:r>
    </w:p>
    <w:p w14:paraId="132C6DB3" w14:textId="77777777" w:rsidR="0001609D" w:rsidRPr="0001609D" w:rsidRDefault="0001609D" w:rsidP="0001609D">
      <w:pPr>
        <w:spacing w:line="259" w:lineRule="auto"/>
        <w:rPr>
          <w:rFonts w:ascii="Calibri" w:eastAsia="SimSun" w:hAnsi="Calibri" w:cs="Times New Roman"/>
          <w:kern w:val="0"/>
          <w:sz w:val="22"/>
          <w:szCs w:val="22"/>
          <w14:ligatures w14:val="none"/>
        </w:rPr>
      </w:pPr>
      <w:r w:rsidRPr="0001609D">
        <w:rPr>
          <w:rFonts w:ascii="Calibri" w:eastAsia="SimSun" w:hAnsi="Calibri" w:cs="Times New Roman"/>
          <w:kern w:val="0"/>
          <w:sz w:val="22"/>
          <w:szCs w:val="22"/>
          <w:lang w:eastAsia="en-US"/>
          <w14:ligatures w14:val="none"/>
        </w:rPr>
        <w:t xml:space="preserve">Relative to </w:t>
      </w:r>
      <w:r w:rsidRPr="0001609D">
        <w:rPr>
          <w:rFonts w:ascii="Calibri" w:eastAsia="MS Mincho" w:hAnsi="Calibri" w:cs="Times New Roman"/>
          <w:kern w:val="0"/>
          <w:sz w:val="22"/>
          <w:szCs w:val="22"/>
          <w:lang w:eastAsia="en-US"/>
          <w14:ligatures w14:val="none"/>
        </w:rPr>
        <w:t xml:space="preserve">conventional </w:t>
      </w:r>
      <w:r w:rsidRPr="0001609D">
        <w:rPr>
          <w:rFonts w:ascii="Calibri" w:eastAsia="SimSun" w:hAnsi="Calibri" w:cs="Times New Roman"/>
          <w:kern w:val="0"/>
          <w:sz w:val="22"/>
          <w:szCs w:val="22"/>
          <w14:ligatures w14:val="none"/>
        </w:rPr>
        <w:t>model</w:t>
      </w:r>
      <w:r w:rsidRPr="0001609D">
        <w:rPr>
          <w:rFonts w:ascii="Calibri" w:eastAsia="SimSun" w:hAnsi="Calibri" w:cs="Times New Roman"/>
          <w:kern w:val="0"/>
          <w:sz w:val="22"/>
          <w:szCs w:val="22"/>
          <w:lang w:eastAsia="en-US"/>
          <w14:ligatures w14:val="none"/>
        </w:rPr>
        <w:t xml:space="preserve"> mCDR simulations, the computational advantage of the absorber approach depends on resolution (Supplementary Fig. 6). At 1° resolution with monthly forcing, the method is lightweight: CESM2 and ACCESS-OM2 experiments required median costs of only 0.19-0.26 Processor Element (PE, i.e., CPU core) h site</w:t>
      </w:r>
      <w:r w:rsidRPr="0001609D">
        <w:rPr>
          <w:rFonts w:ascii="Calibri" w:eastAsia="SimSun" w:hAnsi="Calibri" w:cs="Times New Roman"/>
          <w:kern w:val="0"/>
          <w:sz w:val="22"/>
          <w:szCs w:val="22"/>
          <w:vertAlign w:val="superscript"/>
          <w:lang w:eastAsia="en-US"/>
          <w14:ligatures w14:val="none"/>
        </w:rPr>
        <w:t>-1</w:t>
      </w:r>
      <w:r w:rsidRPr="0001609D">
        <w:rPr>
          <w:rFonts w:ascii="Calibri" w:eastAsia="SimSun" w:hAnsi="Calibri" w:cs="Times New Roman"/>
          <w:kern w:val="0"/>
          <w:sz w:val="22"/>
          <w:szCs w:val="22"/>
          <w:lang w:eastAsia="en-US"/>
          <w14:ligatures w14:val="none"/>
        </w:rPr>
        <w:t xml:space="preserve"> yr</w:t>
      </w:r>
      <w:r w:rsidRPr="0001609D">
        <w:rPr>
          <w:rFonts w:ascii="Calibri" w:eastAsia="SimSun" w:hAnsi="Calibri" w:cs="Times New Roman"/>
          <w:kern w:val="0"/>
          <w:sz w:val="22"/>
          <w:szCs w:val="22"/>
          <w:vertAlign w:val="superscript"/>
          <w:lang w:eastAsia="en-US"/>
          <w14:ligatures w14:val="none"/>
        </w:rPr>
        <w:t xml:space="preserve">-1 </w:t>
      </w:r>
      <w:r w:rsidRPr="0001609D">
        <w:rPr>
          <w:rFonts w:ascii="Calibri" w:eastAsia="SimSun" w:hAnsi="Calibri" w:cs="Times New Roman"/>
          <w:kern w:val="0"/>
          <w:sz w:val="22"/>
          <w:szCs w:val="22"/>
          <w:lang w:eastAsia="en-US"/>
          <w14:ligatures w14:val="none"/>
        </w:rPr>
        <w:t xml:space="preserve">with 3,000-10,000 absorbers per site, low enough for desktop-scale sensitivity tests while still giving median speed-up factors of 435-5,000 relative to comparable conventional simulations </w:t>
      </w:r>
      <w:r w:rsidRPr="0001609D">
        <w:rPr>
          <w:rFonts w:ascii="Calibri" w:eastAsia="SimSun" w:hAnsi="Calibri" w:cs="Times New Roman"/>
          <w:kern w:val="0"/>
          <w:sz w:val="22"/>
          <w:szCs w:val="22"/>
          <w14:ligatures w14:val="none"/>
        </w:rPr>
        <w:fldChar w:fldCharType="begin"/>
      </w:r>
      <w:r w:rsidRPr="0001609D">
        <w:rPr>
          <w:rFonts w:ascii="Calibri" w:eastAsia="SimSun" w:hAnsi="Calibri" w:cs="Times New Roman"/>
          <w:kern w:val="0"/>
          <w:sz w:val="22"/>
          <w:szCs w:val="22"/>
          <w14:ligatures w14:val="none"/>
        </w:rPr>
        <w:instrText xml:space="preserve"> ADDIN ZOTERO_ITEM CSL_CITATION {"citationID":"lUdoNqUC","properties":{"unsorted":false,"formattedCitation":"\\super 15,16\\nosupersub{}","plainCitation":"15,16","noteIndex":0},"citationItems":[{"id":83,"uris":["http://zotero.org/users/9950558/items/HWXQ4A3F"],"itemData":{"id":83,"type":"article-journal","abstract":"Abstract. We introduce ACCESS-OM2, a new version of the ocean–sea ice model of the Australian Community Climate and Earth System Simulator.\nACCESS-OM2 is driven by a prescribed atmosphere (JRA55-do) but has been designed to form the ocean–sea ice component of the fully coupled (atmosphere–land–ocean–sea ice) ACCESS-CM2 model.\nImportantly, the model is available at three different horizontal resolutions: a coarse resolution (nominally 1</w:instrText>
      </w:r>
      <w:r w:rsidRPr="0001609D">
        <w:rPr>
          <w:rFonts w:ascii="Cambria Math" w:eastAsia="SimSun" w:hAnsi="Cambria Math" w:cs="Cambria Math"/>
          <w:kern w:val="0"/>
          <w:sz w:val="22"/>
          <w:szCs w:val="22"/>
          <w14:ligatures w14:val="none"/>
        </w:rPr>
        <w:instrText>∘</w:instrText>
      </w:r>
      <w:r w:rsidRPr="0001609D">
        <w:rPr>
          <w:rFonts w:ascii="Calibri" w:eastAsia="SimSun" w:hAnsi="Calibri" w:cs="Times New Roman"/>
          <w:kern w:val="0"/>
          <w:sz w:val="22"/>
          <w:szCs w:val="22"/>
          <w14:ligatures w14:val="none"/>
        </w:rPr>
        <w:instrText xml:space="preserve"> horizontal grid spacing), an eddy-permitting resolution (nominally 0.25</w:instrText>
      </w:r>
      <w:r w:rsidRPr="0001609D">
        <w:rPr>
          <w:rFonts w:ascii="Cambria Math" w:eastAsia="SimSun" w:hAnsi="Cambria Math" w:cs="Cambria Math"/>
          <w:kern w:val="0"/>
          <w:sz w:val="22"/>
          <w:szCs w:val="22"/>
          <w14:ligatures w14:val="none"/>
        </w:rPr>
        <w:instrText>∘</w:instrText>
      </w:r>
      <w:r w:rsidRPr="0001609D">
        <w:rPr>
          <w:rFonts w:ascii="Calibri" w:eastAsia="SimSun" w:hAnsi="Calibri" w:cs="Times New Roman"/>
          <w:kern w:val="0"/>
          <w:sz w:val="22"/>
          <w:szCs w:val="22"/>
          <w14:ligatures w14:val="none"/>
        </w:rPr>
        <w:instrText>), and an eddy-rich resolution (0.1</w:instrText>
      </w:r>
      <w:r w:rsidRPr="0001609D">
        <w:rPr>
          <w:rFonts w:ascii="Cambria Math" w:eastAsia="SimSun" w:hAnsi="Cambria Math" w:cs="Cambria Math"/>
          <w:kern w:val="0"/>
          <w:sz w:val="22"/>
          <w:szCs w:val="22"/>
          <w14:ligatures w14:val="none"/>
        </w:rPr>
        <w:instrText>∘</w:instrText>
      </w:r>
      <w:r w:rsidRPr="0001609D">
        <w:rPr>
          <w:rFonts w:ascii="Calibri" w:eastAsia="SimSun" w:hAnsi="Calibri" w:cs="Times New Roman"/>
          <w:kern w:val="0"/>
          <w:sz w:val="22"/>
          <w:szCs w:val="22"/>
          <w14:ligatures w14:val="none"/>
        </w:rPr>
        <w:instrText xml:space="preserve"> with 75 vertical levels); the eddy-rich model is designed to be incorporated into the Bluelink operational ocean prediction and reanalysis system.\nThe different resolutions have been developed simultaneously, both to allow for testing at lower resolutions and to permit comparison across resolutions.\nIn this paper, the model is introduced and the individual components are documented.\nThe model performance is evaluated across the three different resolutions, highlighting the relative advantages and disadvantages of running ocean–sea ice models at higher resolution.\nWe find that higher resolution is an advantage in resolving flow through small straits, the structure of western boundary currents, and the abyssal overturning cell but that there is scope for improvements in sub-grid-scale parameterizations at the highest resolution.","container-title":"Geoscientific Model Development","DOI":"10.5194/gmd-13-401-2020","ISSN":"1991-9603","issue":"2","journalAbbreviation":"Geosci. Model Dev.","language":"en","page":"401-442","source":"DOI.org (Crossref)","title":"ACCESS-OM2 v1.0: a global ocean–sea ice model at three resolutions","title-short":"ACCESS-OM2 v1.0","volume":"13","author":[{"family":"Kiss","given":"Andrew E."},{"family":"Hogg","given":"Andrew McC."},{"family":"Hannah","given":"Nicholas"},{"family":"Boeira Dias","given":"Fabio"},{"family":"Brassington","given":"Gary B."},{"family":"Chamberlain","given":"Matthew A."},{"family":"Chapman","given":"Christopher"},{"family":"Dobrohotoff","given":"Peter"},{"family":"Domingues","given":"Catia M."},{"family":"Duran","given":"Earl R."},{"family":"England","given":"Matthew H."},{"family":"Fiedler","given":"Russell"},{"family":"Griffies","given":"Stephen M."},{"family":"Heerdegen","given":"Aidan"},{"family":"Heil","given":"Petra"},{"family":"Holmes","given":"Ryan M."},{"family":"Klocker","given":"Andreas"},{"family":"Marsland","given":"Simon J."},{"family":"Morrison","given":"Adele K."},{"family":"Munroe","given":"James"},{"family":"Nikurashin","given":"Maxim"},{"family":"Oke","given":"Peter R."},{"family":"Pilo","given":"Gabriela S."},{"family":"Richet","given":"Océane"},{"family":"Savita","given":"Abhishek"},{"family":"Spence","given":"Paul"},{"family":"Stewart","given":"Kial D."},{"family":"Ward","given":"Marshall L."},{"family":"Wu","given":"Fanghua"},{"family":"Zhang","given":"Xihan"}],"issued":{"date-parts":[["2020",2,5]]}}},{"id":550,"uris":["http://zotero.org/users/9950558/items/6QRFICRG"],"itemData":{"id":550,"type":"report","number":"ARCHER2-eCSE03-6","title":"Porting, Testing, Optimising, and Configuring the Community Earth System Model (CESM2) on ARCHER2","URL":"https://www.archer2.ac.uk/ecse/reports/ARCHER2-eCSE03-06-technical-report.pdf","author":[{"family":"Colfescu","given":"Ioana"},{"literal":"Mike Mineter"},{"literal":"Massimo Bollasina"},{"literal":"Mark Richardson"},{"literal":"Maria Val Martin"},{"literal":"Grenville MS Lister"},{"literal":"Christopher C. Symonds"},{"literal":"David H Case"},{"literal":"Michael Bareford"}],"issued":{"date-parts":[["2022",6,30]]}}}],"schema":"https://github.com/citation-style-language/schema/raw/master/csl-citation.json"} </w:instrText>
      </w:r>
      <w:r w:rsidRPr="0001609D">
        <w:rPr>
          <w:rFonts w:ascii="Calibri" w:eastAsia="SimSun" w:hAnsi="Calibri" w:cs="Times New Roman"/>
          <w:kern w:val="0"/>
          <w:sz w:val="22"/>
          <w:szCs w:val="22"/>
          <w14:ligatures w14:val="none"/>
        </w:rPr>
        <w:fldChar w:fldCharType="separate"/>
      </w:r>
      <w:r w:rsidRPr="0001609D">
        <w:rPr>
          <w:rFonts w:ascii="Calibri" w:eastAsia="MS Mincho" w:hAnsi="Calibri" w:cs="Calibri"/>
          <w:kern w:val="0"/>
          <w:sz w:val="22"/>
          <w:szCs w:val="22"/>
          <w:vertAlign w:val="superscript"/>
          <w:lang w:eastAsia="en-US"/>
          <w14:ligatures w14:val="none"/>
        </w:rPr>
        <w:t>15,16</w:t>
      </w:r>
      <w:r w:rsidRPr="0001609D">
        <w:rPr>
          <w:rFonts w:ascii="Calibri" w:eastAsia="SimSun" w:hAnsi="Calibri" w:cs="Times New Roman"/>
          <w:kern w:val="0"/>
          <w:sz w:val="22"/>
          <w:szCs w:val="22"/>
          <w14:ligatures w14:val="none"/>
        </w:rPr>
        <w:fldChar w:fldCharType="end"/>
      </w:r>
      <w:r w:rsidRPr="0001609D">
        <w:rPr>
          <w:rFonts w:ascii="Calibri" w:eastAsia="SimSun" w:hAnsi="Calibri" w:cs="Times New Roman"/>
          <w:kern w:val="0"/>
          <w:sz w:val="22"/>
          <w:szCs w:val="22"/>
          <w:lang w:eastAsia="en-US"/>
          <w14:ligatures w14:val="none"/>
        </w:rPr>
        <w:t>. Across configurations, the along-trajectory PYCO2SYS and mCDR efficiency calculations added negligible cost compared with Lagrangian absorber tracking and sampling. At 0.1° resolution, the calculation becomes supercomputer-scale because the daily eddy-permitting fields and particle advection are substantially larger, requiring a median cost of 16.9 PE h site</w:t>
      </w:r>
      <w:r w:rsidRPr="0001609D">
        <w:rPr>
          <w:rFonts w:ascii="Calibri" w:eastAsia="SimSun" w:hAnsi="Calibri" w:cs="Times New Roman"/>
          <w:kern w:val="0"/>
          <w:sz w:val="22"/>
          <w:szCs w:val="22"/>
          <w:vertAlign w:val="superscript"/>
          <w:lang w:eastAsia="en-US"/>
          <w14:ligatures w14:val="none"/>
        </w:rPr>
        <w:t>-1</w:t>
      </w:r>
      <w:r w:rsidRPr="0001609D">
        <w:rPr>
          <w:rFonts w:ascii="Calibri" w:eastAsia="SimSun" w:hAnsi="Calibri" w:cs="Times New Roman"/>
          <w:kern w:val="0"/>
          <w:sz w:val="22"/>
          <w:szCs w:val="22"/>
          <w:lang w:eastAsia="en-US"/>
          <w14:ligatures w14:val="none"/>
        </w:rPr>
        <w:t xml:space="preserve"> yr</w:t>
      </w:r>
      <w:r w:rsidRPr="0001609D">
        <w:rPr>
          <w:rFonts w:ascii="Calibri" w:eastAsia="SimSun" w:hAnsi="Calibri" w:cs="Times New Roman"/>
          <w:kern w:val="0"/>
          <w:sz w:val="22"/>
          <w:szCs w:val="22"/>
          <w:vertAlign w:val="superscript"/>
          <w:lang w:eastAsia="en-US"/>
          <w14:ligatures w14:val="none"/>
        </w:rPr>
        <w:t xml:space="preserve">-1 </w:t>
      </w:r>
      <w:r w:rsidRPr="0001609D">
        <w:rPr>
          <w:rFonts w:ascii="Calibri" w:eastAsia="SimSun" w:hAnsi="Calibri" w:cs="Times New Roman"/>
          <w:kern w:val="0"/>
          <w:sz w:val="22"/>
          <w:szCs w:val="22"/>
          <w:lang w:eastAsia="en-US"/>
          <w14:ligatures w14:val="none"/>
        </w:rPr>
        <w:t xml:space="preserve">for the 112-site benchmark experiment with typically 3,000 absorbers per site. However, this still corresponds to a median 7,000-fold reduction in cost relative to an equivalent 0.1° </w:t>
      </w:r>
      <w:r w:rsidRPr="0001609D">
        <w:rPr>
          <w:rFonts w:ascii="Calibri" w:eastAsia="MS Mincho" w:hAnsi="Calibri" w:cs="Times New Roman"/>
          <w:kern w:val="0"/>
          <w:sz w:val="22"/>
          <w:szCs w:val="22"/>
          <w:lang w:eastAsia="en-US"/>
          <w14:ligatures w14:val="none"/>
        </w:rPr>
        <w:t>conventional</w:t>
      </w:r>
      <w:r w:rsidRPr="0001609D">
        <w:rPr>
          <w:rFonts w:ascii="Calibri" w:eastAsia="SimSun" w:hAnsi="Calibri" w:cs="Times New Roman"/>
          <w:kern w:val="0"/>
          <w:sz w:val="22"/>
          <w:szCs w:val="22"/>
          <w:lang w:eastAsia="en-US"/>
          <w14:ligatures w14:val="none"/>
        </w:rPr>
        <w:t xml:space="preserve"> simulation </w:t>
      </w:r>
      <w:r w:rsidRPr="0001609D">
        <w:rPr>
          <w:rFonts w:ascii="Calibri" w:eastAsia="SimSun" w:hAnsi="Calibri" w:cs="Times New Roman"/>
          <w:kern w:val="0"/>
          <w:sz w:val="22"/>
          <w:szCs w:val="22"/>
          <w14:ligatures w14:val="none"/>
        </w:rPr>
        <w:fldChar w:fldCharType="begin"/>
      </w:r>
      <w:r w:rsidRPr="0001609D">
        <w:rPr>
          <w:rFonts w:ascii="Calibri" w:eastAsia="SimSun" w:hAnsi="Calibri" w:cs="Times New Roman"/>
          <w:kern w:val="0"/>
          <w:sz w:val="22"/>
          <w:szCs w:val="22"/>
          <w14:ligatures w14:val="none"/>
        </w:rPr>
        <w:instrText xml:space="preserve"> ADDIN ZOTERO_ITEM CSL_CITATION {"citationID":"3euLceX8","properties":{"unsorted":false,"formattedCitation":"\\super 15\\nosupersub{}","plainCitation":"15","noteIndex":0},"citationItems":[{"id":83,"uris":["http://zotero.org/users/9950558/items/HWXQ4A3F"],"itemData":{"id":83,"type":"article-journal","abstract":"Abstract. We introduce ACCESS-OM2, a new version of the ocean–sea ice model of the Australian Community Climate and Earth System Simulator.\nACCESS-OM2 is driven by a prescribed atmosphere (JRA55-do) but has been designed to form the ocean–sea ice component of the fully coupled (atmosphere–land–ocean–sea ice) ACCESS-CM2 model.\nImportantly, the model is available at three different horizontal resolutions: a coarse resolution (nominally 1</w:instrText>
      </w:r>
      <w:r w:rsidRPr="0001609D">
        <w:rPr>
          <w:rFonts w:ascii="Cambria Math" w:eastAsia="SimSun" w:hAnsi="Cambria Math" w:cs="Cambria Math"/>
          <w:kern w:val="0"/>
          <w:sz w:val="22"/>
          <w:szCs w:val="22"/>
          <w14:ligatures w14:val="none"/>
        </w:rPr>
        <w:instrText>∘</w:instrText>
      </w:r>
      <w:r w:rsidRPr="0001609D">
        <w:rPr>
          <w:rFonts w:ascii="Calibri" w:eastAsia="SimSun" w:hAnsi="Calibri" w:cs="Times New Roman"/>
          <w:kern w:val="0"/>
          <w:sz w:val="22"/>
          <w:szCs w:val="22"/>
          <w14:ligatures w14:val="none"/>
        </w:rPr>
        <w:instrText xml:space="preserve"> horizontal grid spacing), an eddy-permitting resolution (nominally 0.25</w:instrText>
      </w:r>
      <w:r w:rsidRPr="0001609D">
        <w:rPr>
          <w:rFonts w:ascii="Cambria Math" w:eastAsia="SimSun" w:hAnsi="Cambria Math" w:cs="Cambria Math"/>
          <w:kern w:val="0"/>
          <w:sz w:val="22"/>
          <w:szCs w:val="22"/>
          <w14:ligatures w14:val="none"/>
        </w:rPr>
        <w:instrText>∘</w:instrText>
      </w:r>
      <w:r w:rsidRPr="0001609D">
        <w:rPr>
          <w:rFonts w:ascii="Calibri" w:eastAsia="SimSun" w:hAnsi="Calibri" w:cs="Times New Roman"/>
          <w:kern w:val="0"/>
          <w:sz w:val="22"/>
          <w:szCs w:val="22"/>
          <w14:ligatures w14:val="none"/>
        </w:rPr>
        <w:instrText>), and an eddy-rich resolution (0.1</w:instrText>
      </w:r>
      <w:r w:rsidRPr="0001609D">
        <w:rPr>
          <w:rFonts w:ascii="Cambria Math" w:eastAsia="SimSun" w:hAnsi="Cambria Math" w:cs="Cambria Math"/>
          <w:kern w:val="0"/>
          <w:sz w:val="22"/>
          <w:szCs w:val="22"/>
          <w14:ligatures w14:val="none"/>
        </w:rPr>
        <w:instrText>∘</w:instrText>
      </w:r>
      <w:r w:rsidRPr="0001609D">
        <w:rPr>
          <w:rFonts w:ascii="Calibri" w:eastAsia="SimSun" w:hAnsi="Calibri" w:cs="Times New Roman"/>
          <w:kern w:val="0"/>
          <w:sz w:val="22"/>
          <w:szCs w:val="22"/>
          <w14:ligatures w14:val="none"/>
        </w:rPr>
        <w:instrText xml:space="preserve"> with 75 vertical levels); the eddy-rich model is designed to be incorporated into the Bluelink operational ocean prediction and reanalysis system.\nThe different resolutions have been developed simultaneously, both to allow for testing at lower resolutions and to permit comparison across resolutions.\nIn this paper, the model is introduced and the individual components are documented.\nThe model performance is evaluated across the three different resolutions, highlighting the relative advantages and disadvantages of running ocean–sea ice models at higher resolution.\nWe find that higher resolution is an advantage in resolving flow through small straits, the structure of western boundary currents, and the abyssal overturning cell but that there is scope for improvements in sub-grid-scale parameterizations at the highest resolution.","container-title":"Geoscientific Model Development","DOI":"10.5194/gmd-13-401-2020","ISSN":"1991-9603","issue":"2","journalAbbreviation":"Geosci. Model Dev.","language":"en","page":"401-442","source":"DOI.org (Crossref)","title":"ACCESS-OM2 v1.0: a global ocean–sea ice model at three resolutions","title-short":"ACCESS-OM2 v1.0","volume":"13","author":[{"family":"Kiss","given":"Andrew E."},{"family":"Hogg","given":"Andrew McC."},{"family":"Hannah","given":"Nicholas"},{"family":"Boeira Dias","given":"Fabio"},{"family":"Brassington","given":"Gary B."},{"family":"Chamberlain","given":"Matthew A."},{"family":"Chapman","given":"Christopher"},{"family":"Dobrohotoff","given":"Peter"},{"family":"Domingues","given":"Catia M."},{"family":"Duran","given":"Earl R."},{"family":"England","given":"Matthew H."},{"family":"Fiedler","given":"Russell"},{"family":"Griffies","given":"Stephen M."},{"family":"Heerdegen","given":"Aidan"},{"family":"Heil","given":"Petra"},{"family":"Holmes","given":"Ryan M."},{"family":"Klocker","given":"Andreas"},{"family":"Marsland","given":"Simon J."},{"family":"Morrison","given":"Adele K."},{"family":"Munroe","given":"James"},{"family":"Nikurashin","given":"Maxim"},{"family":"Oke","given":"Peter R."},{"family":"Pilo","given":"Gabriela S."},{"family":"Richet","given":"Océane"},{"family":"Savita","given":"Abhishek"},{"family":"Spence","given":"Paul"},{"family":"Stewart","given":"Kial D."},{"family":"Ward","given":"Marshall L."},{"family":"Wu","given":"Fanghua"},{"family":"Zhang","given":"Xihan"}],"issued":{"date-parts":[["2020",2,5]]}}}],"schema":"https://github.com/citation-style-language/schema/raw/master/csl-citation.json"} </w:instrText>
      </w:r>
      <w:r w:rsidRPr="0001609D">
        <w:rPr>
          <w:rFonts w:ascii="Calibri" w:eastAsia="SimSun" w:hAnsi="Calibri" w:cs="Times New Roman"/>
          <w:kern w:val="0"/>
          <w:sz w:val="22"/>
          <w:szCs w:val="22"/>
          <w14:ligatures w14:val="none"/>
        </w:rPr>
        <w:fldChar w:fldCharType="separate"/>
      </w:r>
      <w:r w:rsidRPr="0001609D">
        <w:rPr>
          <w:rFonts w:ascii="Calibri" w:eastAsia="MS Mincho" w:hAnsi="Calibri" w:cs="Calibri"/>
          <w:kern w:val="0"/>
          <w:sz w:val="22"/>
          <w:szCs w:val="22"/>
          <w:vertAlign w:val="superscript"/>
          <w:lang w:eastAsia="en-US"/>
          <w14:ligatures w14:val="none"/>
        </w:rPr>
        <w:t>15</w:t>
      </w:r>
      <w:r w:rsidRPr="0001609D">
        <w:rPr>
          <w:rFonts w:ascii="Calibri" w:eastAsia="SimSun" w:hAnsi="Calibri" w:cs="Times New Roman"/>
          <w:kern w:val="0"/>
          <w:sz w:val="22"/>
          <w:szCs w:val="22"/>
          <w14:ligatures w14:val="none"/>
        </w:rPr>
        <w:fldChar w:fldCharType="end"/>
      </w:r>
      <w:r w:rsidRPr="0001609D">
        <w:rPr>
          <w:rFonts w:ascii="Calibri" w:eastAsia="SimSun" w:hAnsi="Calibri" w:cs="Times New Roman"/>
          <w:kern w:val="0"/>
          <w:sz w:val="22"/>
          <w:szCs w:val="22"/>
          <w:lang w:eastAsia="en-US"/>
          <w14:ligatures w14:val="none"/>
        </w:rPr>
        <w:t xml:space="preserve">, while providing the best agreement with </w:t>
      </w:r>
      <w:r w:rsidRPr="0001609D">
        <w:rPr>
          <w:rFonts w:ascii="Calibri" w:eastAsia="MS Mincho" w:hAnsi="Calibri" w:cs="Times New Roman"/>
          <w:kern w:val="0"/>
          <w:sz w:val="22"/>
          <w:szCs w:val="22"/>
          <w:lang w:eastAsia="en-US"/>
          <w14:ligatures w14:val="none"/>
        </w:rPr>
        <w:t xml:space="preserve">conventional </w:t>
      </w:r>
      <w:r w:rsidRPr="0001609D">
        <w:rPr>
          <w:rFonts w:ascii="Calibri" w:eastAsia="SimSun" w:hAnsi="Calibri" w:cs="Times New Roman"/>
          <w:kern w:val="0"/>
          <w:sz w:val="22"/>
          <w:szCs w:val="22"/>
          <w14:ligatures w14:val="none"/>
        </w:rPr>
        <w:t>model</w:t>
      </w:r>
      <w:r w:rsidRPr="0001609D">
        <w:rPr>
          <w:rFonts w:ascii="Calibri" w:eastAsia="SimSun" w:hAnsi="Calibri" w:cs="Times New Roman"/>
          <w:kern w:val="0"/>
          <w:sz w:val="22"/>
          <w:szCs w:val="22"/>
          <w:lang w:eastAsia="en-US"/>
          <w14:ligatures w14:val="none"/>
        </w:rPr>
        <w:t xml:space="preserve"> estimates (Fig. 2f). For the dense global coastal application, the computational saving is even more decisive: sampling 170,798 coastal sites (including 21,227 north pole sites not used in the research) with 31 absorbers per site required a median cost of only 0.02 PE h site</w:t>
      </w:r>
      <w:r w:rsidRPr="0001609D">
        <w:rPr>
          <w:rFonts w:ascii="Calibri" w:eastAsia="SimSun" w:hAnsi="Calibri" w:cs="Times New Roman"/>
          <w:kern w:val="0"/>
          <w:sz w:val="22"/>
          <w:szCs w:val="22"/>
          <w:vertAlign w:val="superscript"/>
          <w:lang w:eastAsia="en-US"/>
          <w14:ligatures w14:val="none"/>
        </w:rPr>
        <w:t>-1</w:t>
      </w:r>
      <w:r w:rsidRPr="0001609D">
        <w:rPr>
          <w:rFonts w:ascii="Calibri" w:eastAsia="SimSun" w:hAnsi="Calibri" w:cs="Times New Roman"/>
          <w:kern w:val="0"/>
          <w:sz w:val="22"/>
          <w:szCs w:val="22"/>
          <w:lang w:eastAsia="en-US"/>
          <w14:ligatures w14:val="none"/>
        </w:rPr>
        <w:t xml:space="preserve"> yr</w:t>
      </w:r>
      <w:r w:rsidRPr="0001609D">
        <w:rPr>
          <w:rFonts w:ascii="Calibri" w:eastAsia="SimSun" w:hAnsi="Calibri" w:cs="Times New Roman"/>
          <w:kern w:val="0"/>
          <w:sz w:val="22"/>
          <w:szCs w:val="22"/>
          <w:vertAlign w:val="superscript"/>
          <w:lang w:eastAsia="en-US"/>
          <w14:ligatures w14:val="none"/>
        </w:rPr>
        <w:t>-1</w:t>
      </w:r>
      <w:r w:rsidRPr="0001609D">
        <w:rPr>
          <w:rFonts w:ascii="Calibri" w:eastAsia="SimSun" w:hAnsi="Calibri" w:cs="Times New Roman"/>
          <w:kern w:val="0"/>
          <w:sz w:val="22"/>
          <w:szCs w:val="22"/>
          <w:lang w:eastAsia="en-US"/>
          <w14:ligatures w14:val="none"/>
        </w:rPr>
        <w:t>, equivalent to a median 5,040,000 -fold speed-up relative to the conventional 0.1° simulations. Even when normalized to 3,000 absorbers per site, the inferred median cost remains only 1.93 PE h site</w:t>
      </w:r>
      <w:r w:rsidRPr="0001609D">
        <w:rPr>
          <w:rFonts w:ascii="Calibri" w:eastAsia="SimSun" w:hAnsi="Calibri" w:cs="Times New Roman"/>
          <w:kern w:val="0"/>
          <w:sz w:val="22"/>
          <w:szCs w:val="22"/>
          <w:vertAlign w:val="superscript"/>
          <w:lang w:eastAsia="en-US"/>
          <w14:ligatures w14:val="none"/>
        </w:rPr>
        <w:t>-1</w:t>
      </w:r>
      <w:r w:rsidRPr="0001609D">
        <w:rPr>
          <w:rFonts w:ascii="Calibri" w:eastAsia="SimSun" w:hAnsi="Calibri" w:cs="Times New Roman"/>
          <w:kern w:val="0"/>
          <w:sz w:val="22"/>
          <w:szCs w:val="22"/>
          <w:lang w:eastAsia="en-US"/>
          <w14:ligatures w14:val="none"/>
        </w:rPr>
        <w:t xml:space="preserve"> yr</w:t>
      </w:r>
      <w:r w:rsidRPr="0001609D">
        <w:rPr>
          <w:rFonts w:ascii="Calibri" w:eastAsia="SimSun" w:hAnsi="Calibri" w:cs="Times New Roman"/>
          <w:kern w:val="0"/>
          <w:sz w:val="22"/>
          <w:szCs w:val="22"/>
          <w:vertAlign w:val="superscript"/>
          <w:lang w:eastAsia="en-US"/>
          <w14:ligatures w14:val="none"/>
        </w:rPr>
        <w:t>-1</w:t>
      </w:r>
      <w:r w:rsidRPr="0001609D">
        <w:rPr>
          <w:rFonts w:ascii="Calibri" w:eastAsia="SimSun" w:hAnsi="Calibri" w:cs="Times New Roman"/>
          <w:kern w:val="0"/>
          <w:sz w:val="22"/>
          <w:szCs w:val="22"/>
          <w:lang w:eastAsia="en-US"/>
          <w14:ligatures w14:val="none"/>
        </w:rPr>
        <w:t>, equivalent to a median 5.21 x 10</w:t>
      </w:r>
      <w:r w:rsidRPr="0001609D">
        <w:rPr>
          <w:rFonts w:ascii="Calibri" w:eastAsia="SimSun" w:hAnsi="Calibri" w:cs="Times New Roman"/>
          <w:kern w:val="0"/>
          <w:sz w:val="22"/>
          <w:szCs w:val="22"/>
          <w:vertAlign w:val="superscript"/>
          <w:lang w:eastAsia="en-US"/>
          <w14:ligatures w14:val="none"/>
        </w:rPr>
        <w:t>4</w:t>
      </w:r>
      <w:r w:rsidRPr="0001609D">
        <w:rPr>
          <w:rFonts w:ascii="Calibri" w:eastAsia="SimSun" w:hAnsi="Calibri" w:cs="Times New Roman"/>
          <w:kern w:val="0"/>
          <w:sz w:val="22"/>
          <w:szCs w:val="22"/>
          <w:lang w:eastAsia="en-US"/>
          <w14:ligatures w14:val="none"/>
        </w:rPr>
        <w:t xml:space="preserve">-fold speed-up. Thus, the 1° implementation enables low-cost screening, whereas the 0.1° implementation makes globally dense, </w:t>
      </w:r>
      <w:r w:rsidRPr="0001609D">
        <w:rPr>
          <w:rFonts w:ascii="Calibri" w:eastAsia="MS Mincho" w:hAnsi="Calibri" w:cs="Times New Roman"/>
          <w:kern w:val="0"/>
          <w:sz w:val="22"/>
          <w:szCs w:val="22"/>
          <w:lang w:eastAsia="en-US"/>
          <w14:ligatures w14:val="none"/>
        </w:rPr>
        <w:t xml:space="preserve">conventional </w:t>
      </w:r>
      <w:r w:rsidRPr="0001609D">
        <w:rPr>
          <w:rFonts w:ascii="Calibri" w:eastAsia="SimSun" w:hAnsi="Calibri" w:cs="Times New Roman"/>
          <w:kern w:val="0"/>
          <w:sz w:val="22"/>
          <w:szCs w:val="22"/>
          <w14:ligatures w14:val="none"/>
        </w:rPr>
        <w:t>model</w:t>
      </w:r>
      <w:r w:rsidRPr="0001609D">
        <w:rPr>
          <w:rFonts w:ascii="Calibri" w:eastAsia="SimSun" w:hAnsi="Calibri" w:cs="Times New Roman"/>
          <w:kern w:val="0"/>
          <w:sz w:val="22"/>
          <w:szCs w:val="22"/>
          <w:lang w:eastAsia="en-US"/>
          <w14:ligatures w14:val="none"/>
        </w:rPr>
        <w:t>-consistent coastal mCDR assessment computationally feasible. Compared with the 112-site sensitivity tests, the 170,798-site main experiment achieved higher single-absorber tracking efficiency, and therefore a larger overall median speed-up factor.</w:t>
      </w:r>
    </w:p>
    <w:p w14:paraId="2A7928B9" w14:textId="77777777" w:rsidR="0001609D" w:rsidRPr="0001609D" w:rsidRDefault="0001609D" w:rsidP="0001609D">
      <w:pPr>
        <w:spacing w:line="259" w:lineRule="auto"/>
        <w:rPr>
          <w:rFonts w:ascii="Calibri" w:eastAsia="SimSun" w:hAnsi="Calibri" w:cs="Times New Roman"/>
          <w:kern w:val="0"/>
          <w:sz w:val="22"/>
          <w:szCs w:val="22"/>
          <w:lang w:eastAsia="en-US"/>
          <w14:ligatures w14:val="none"/>
        </w:rPr>
      </w:pPr>
    </w:p>
    <w:p w14:paraId="051BF9A2" w14:textId="77777777" w:rsidR="0001609D" w:rsidRPr="0001609D" w:rsidRDefault="0001609D" w:rsidP="0001609D">
      <w:pPr>
        <w:spacing w:after="200" w:line="276" w:lineRule="auto"/>
        <w:rPr>
          <w:rFonts w:ascii="Calibri" w:eastAsia="MS Gothic" w:hAnsi="Calibri" w:cs="Times New Roman"/>
          <w:b/>
          <w:bCs/>
          <w:color w:val="000000"/>
          <w:kern w:val="0"/>
          <w:sz w:val="26"/>
          <w:szCs w:val="26"/>
          <w:lang w:eastAsia="en-US"/>
          <w14:ligatures w14:val="none"/>
        </w:rPr>
      </w:pPr>
      <w:r w:rsidRPr="0001609D">
        <w:rPr>
          <w:rFonts w:ascii="Calibri" w:eastAsia="MS Gothic" w:hAnsi="Calibri" w:cs="Times New Roman"/>
          <w:b/>
          <w:bCs/>
          <w:color w:val="000000"/>
          <w:kern w:val="0"/>
          <w:sz w:val="26"/>
          <w:szCs w:val="26"/>
          <w:lang w:eastAsia="en-US"/>
          <w14:ligatures w14:val="none"/>
        </w:rPr>
        <w:br w:type="page"/>
      </w:r>
    </w:p>
    <w:p w14:paraId="1D4466B7" w14:textId="77777777" w:rsidR="0001609D" w:rsidRPr="0001609D" w:rsidRDefault="0001609D" w:rsidP="0001609D">
      <w:pPr>
        <w:spacing w:line="259" w:lineRule="auto"/>
        <w:outlineLvl w:val="1"/>
        <w:rPr>
          <w:rFonts w:ascii="Calibri" w:eastAsia="SimSun" w:hAnsi="Calibri" w:cs="Times New Roman"/>
          <w:b/>
          <w:bCs/>
          <w:color w:val="000000"/>
          <w:kern w:val="0"/>
          <w:sz w:val="26"/>
          <w:szCs w:val="26"/>
          <w14:ligatures w14:val="none"/>
        </w:rPr>
      </w:pPr>
      <w:bookmarkStart w:id="1" w:name="_Toc241702902"/>
      <w:r w:rsidRPr="0001609D">
        <w:rPr>
          <w:rFonts w:ascii="Calibri" w:eastAsia="MS Gothic" w:hAnsi="Calibri" w:cs="Times New Roman"/>
          <w:b/>
          <w:bCs/>
          <w:color w:val="000000"/>
          <w:kern w:val="0"/>
          <w:sz w:val="26"/>
          <w:szCs w:val="26"/>
          <w:lang w:eastAsia="en-US"/>
          <w14:ligatures w14:val="none"/>
        </w:rPr>
        <w:lastRenderedPageBreak/>
        <w:t xml:space="preserve">Supplementary Text </w:t>
      </w:r>
      <w:r w:rsidRPr="0001609D">
        <w:rPr>
          <w:rFonts w:ascii="Calibri" w:eastAsia="SimSun" w:hAnsi="Calibri" w:cs="Times New Roman"/>
          <w:b/>
          <w:bCs/>
          <w:color w:val="000000"/>
          <w:kern w:val="0"/>
          <w:sz w:val="26"/>
          <w:szCs w:val="26"/>
          <w14:ligatures w14:val="none"/>
        </w:rPr>
        <w:t>2</w:t>
      </w:r>
      <w:r w:rsidRPr="0001609D">
        <w:rPr>
          <w:rFonts w:ascii="Calibri" w:eastAsia="MS Gothic" w:hAnsi="Calibri" w:cs="Times New Roman"/>
          <w:b/>
          <w:bCs/>
          <w:color w:val="000000"/>
          <w:kern w:val="0"/>
          <w:sz w:val="26"/>
          <w:szCs w:val="26"/>
          <w:lang w:eastAsia="en-US"/>
          <w14:ligatures w14:val="none"/>
        </w:rPr>
        <w:t>:</w:t>
      </w:r>
      <w:r w:rsidRPr="0001609D">
        <w:rPr>
          <w:rFonts w:ascii="Calibri" w:eastAsia="SimSun" w:hAnsi="Calibri" w:cs="Times New Roman"/>
          <w:b/>
          <w:bCs/>
          <w:color w:val="000000"/>
          <w:kern w:val="0"/>
          <w:sz w:val="26"/>
          <w:szCs w:val="26"/>
          <w14:ligatures w14:val="none"/>
        </w:rPr>
        <w:t xml:space="preserve"> Definition of absorber height</w:t>
      </w:r>
      <w:bookmarkEnd w:id="1"/>
    </w:p>
    <w:p w14:paraId="64252A0F" w14:textId="77777777" w:rsidR="0001609D" w:rsidRPr="0001609D" w:rsidRDefault="0001609D" w:rsidP="0001609D">
      <w:pPr>
        <w:spacing w:line="259" w:lineRule="auto"/>
        <w:rPr>
          <w:rFonts w:ascii="Calibri" w:eastAsia="SimSun" w:hAnsi="Calibri" w:cs="Times New Roman"/>
          <w:kern w:val="0"/>
          <w:sz w:val="22"/>
          <w:szCs w:val="22"/>
          <w14:ligatures w14:val="none"/>
        </w:rPr>
      </w:pPr>
      <w:r w:rsidRPr="0001609D">
        <w:rPr>
          <w:rFonts w:ascii="Calibri" w:eastAsia="MS Mincho" w:hAnsi="Calibri" w:cs="Times New Roman"/>
          <w:kern w:val="0"/>
          <w:sz w:val="22"/>
          <w:szCs w:val="22"/>
          <w:lang w:eastAsia="en-US"/>
          <w14:ligatures w14:val="none"/>
        </w:rPr>
        <w:t xml:space="preserve">The virtual-absorber release depth, </w:t>
      </w:r>
      <w:r w:rsidRPr="0001609D">
        <w:rPr>
          <w:rFonts w:ascii="Calibri" w:eastAsia="SimSun" w:hAnsi="Calibri" w:cs="Times New Roman"/>
          <w:kern w:val="0"/>
          <w:sz w:val="22"/>
          <w:szCs w:val="22"/>
          <w14:ligatures w14:val="none"/>
        </w:rPr>
        <w:t>Z</w:t>
      </w:r>
      <w:r w:rsidRPr="0001609D">
        <w:rPr>
          <w:rFonts w:ascii="Calibri" w:eastAsia="SimSun" w:hAnsi="Calibri" w:cs="Times New Roman"/>
          <w:kern w:val="0"/>
          <w:sz w:val="22"/>
          <w:szCs w:val="22"/>
          <w:vertAlign w:val="subscript"/>
          <w14:ligatures w14:val="none"/>
        </w:rPr>
        <w:t>release</w:t>
      </w:r>
      <w:r w:rsidRPr="0001609D">
        <w:rPr>
          <w:rFonts w:ascii="Calibri" w:eastAsia="SimSun" w:hAnsi="Calibri" w:cs="Times New Roman"/>
          <w:kern w:val="0"/>
          <w:sz w:val="22"/>
          <w:szCs w:val="22"/>
          <w14:ligatures w14:val="none"/>
        </w:rPr>
        <w:t>,</w:t>
      </w:r>
      <w:r w:rsidRPr="0001609D">
        <w:rPr>
          <w:rFonts w:ascii="Calibri" w:eastAsia="MS Mincho" w:hAnsi="Calibri" w:cs="Times New Roman"/>
          <w:kern w:val="0"/>
          <w:sz w:val="22"/>
          <w:szCs w:val="22"/>
          <w:lang w:eastAsia="en-US"/>
          <w14:ligatures w14:val="none"/>
        </w:rPr>
        <w:t xml:space="preserve"> was 2.3 m for both 1° and 0.1° ACCESS-OM2, corresponding to the uppermost and second-uppermost model layers, respectively. For 1° CESM2, which has a thicker uppermost layer, half of the absorbers were released at 5 m and the other half at 7 m, giving a mean release depth of 6 m. To define the vertical extent of each virtual absorber, we assign it a geometric height, </w:t>
      </w:r>
      <w:r w:rsidRPr="0001609D">
        <w:rPr>
          <w:rFonts w:ascii="Calibri" w:eastAsia="SimSun" w:hAnsi="Calibri" w:cs="Times New Roman"/>
          <w:kern w:val="0"/>
          <w:sz w:val="22"/>
          <w:szCs w:val="22"/>
          <w14:ligatures w14:val="none"/>
        </w:rPr>
        <w:t>h</w:t>
      </w:r>
      <w:r w:rsidRPr="0001609D">
        <w:rPr>
          <w:rFonts w:ascii="Calibri" w:eastAsia="SimSun" w:hAnsi="Calibri" w:cs="Times New Roman"/>
          <w:kern w:val="0"/>
          <w:sz w:val="22"/>
          <w:szCs w:val="22"/>
          <w:vertAlign w:val="subscript"/>
          <w14:ligatures w14:val="none"/>
        </w:rPr>
        <w:t>absorber</w:t>
      </w:r>
      <w:r w:rsidRPr="0001609D">
        <w:rPr>
          <w:rFonts w:ascii="Calibri" w:eastAsia="MS Mincho" w:hAnsi="Calibri" w:cs="Times New Roman"/>
          <w:kern w:val="0"/>
          <w:sz w:val="22"/>
          <w:szCs w:val="22"/>
          <w:lang w:eastAsia="en-US"/>
          <w14:ligatures w14:val="none"/>
        </w:rPr>
        <w:t xml:space="preserve">. We treat the release depth as the absorber’s vertical centre. Assuming that the absorber extends downward from the sea surface, its geometric height is therefore </w:t>
      </w:r>
      <w:r w:rsidRPr="0001609D">
        <w:rPr>
          <w:rFonts w:ascii="Calibri" w:eastAsia="SimSun" w:hAnsi="Calibri" w:cs="Times New Roman"/>
          <w:kern w:val="0"/>
          <w:sz w:val="22"/>
          <w:szCs w:val="22"/>
          <w14:ligatures w14:val="none"/>
        </w:rPr>
        <w:t>h</w:t>
      </w:r>
      <w:r w:rsidRPr="0001609D">
        <w:rPr>
          <w:rFonts w:ascii="Calibri" w:eastAsia="SimSun" w:hAnsi="Calibri" w:cs="Times New Roman"/>
          <w:kern w:val="0"/>
          <w:sz w:val="22"/>
          <w:szCs w:val="22"/>
          <w:vertAlign w:val="subscript"/>
          <w14:ligatures w14:val="none"/>
        </w:rPr>
        <w:t>absorber</w:t>
      </w:r>
      <w:r w:rsidRPr="0001609D">
        <w:rPr>
          <w:rFonts w:ascii="Calibri" w:eastAsia="MS Mincho" w:hAnsi="Calibri" w:cs="Times New Roman"/>
          <w:kern w:val="0"/>
          <w:sz w:val="22"/>
          <w:szCs w:val="22"/>
          <w:lang w:eastAsia="en-US"/>
          <w14:ligatures w14:val="none"/>
        </w:rPr>
        <w:t xml:space="preserve"> = </w:t>
      </w:r>
      <w:r w:rsidRPr="0001609D">
        <w:rPr>
          <w:rFonts w:ascii="Calibri" w:eastAsia="SimSun" w:hAnsi="Calibri" w:cs="Times New Roman"/>
          <w:kern w:val="0"/>
          <w:sz w:val="22"/>
          <w:szCs w:val="22"/>
          <w14:ligatures w14:val="none"/>
        </w:rPr>
        <w:t>2Z</w:t>
      </w:r>
      <w:r w:rsidRPr="0001609D">
        <w:rPr>
          <w:rFonts w:ascii="Calibri" w:eastAsia="SimSun" w:hAnsi="Calibri" w:cs="Times New Roman"/>
          <w:kern w:val="0"/>
          <w:sz w:val="22"/>
          <w:szCs w:val="22"/>
          <w:vertAlign w:val="subscript"/>
          <w14:ligatures w14:val="none"/>
        </w:rPr>
        <w:t>release</w:t>
      </w:r>
      <w:r w:rsidRPr="0001609D">
        <w:rPr>
          <w:rFonts w:ascii="Calibri" w:eastAsia="MS Mincho" w:hAnsi="Calibri" w:cs="Times New Roman"/>
          <w:kern w:val="0"/>
          <w:sz w:val="22"/>
          <w:szCs w:val="22"/>
          <w:lang w:eastAsia="en-US"/>
          <w14:ligatures w14:val="none"/>
        </w:rPr>
        <w:t>.</w:t>
      </w:r>
    </w:p>
    <w:p w14:paraId="00CB6868" w14:textId="77777777" w:rsidR="0001609D" w:rsidRPr="0001609D" w:rsidRDefault="0001609D" w:rsidP="0001609D">
      <w:pPr>
        <w:spacing w:line="259" w:lineRule="auto"/>
        <w:rPr>
          <w:rFonts w:ascii="Calibri" w:eastAsia="SimSun" w:hAnsi="Calibri" w:cs="Times New Roman"/>
          <w:kern w:val="0"/>
          <w:sz w:val="22"/>
          <w:szCs w:val="22"/>
          <w14:ligatures w14:val="none"/>
        </w:rPr>
      </w:pPr>
    </w:p>
    <w:p w14:paraId="167100ED" w14:textId="77777777" w:rsidR="0001609D" w:rsidRPr="0001609D" w:rsidRDefault="0001609D" w:rsidP="0001609D">
      <w:pPr>
        <w:spacing w:line="259" w:lineRule="auto"/>
        <w:outlineLvl w:val="1"/>
        <w:rPr>
          <w:rFonts w:ascii="Calibri" w:eastAsia="SimSun" w:hAnsi="Calibri" w:cs="Times New Roman"/>
          <w:b/>
          <w:bCs/>
          <w:color w:val="000000"/>
          <w:kern w:val="0"/>
          <w:sz w:val="26"/>
          <w:szCs w:val="26"/>
          <w14:ligatures w14:val="none"/>
        </w:rPr>
      </w:pPr>
      <w:bookmarkStart w:id="2" w:name="_Toc241702903"/>
      <w:r w:rsidRPr="0001609D">
        <w:rPr>
          <w:rFonts w:ascii="Calibri" w:eastAsia="MS Gothic" w:hAnsi="Calibri" w:cs="Times New Roman"/>
          <w:b/>
          <w:bCs/>
          <w:color w:val="000000"/>
          <w:kern w:val="0"/>
          <w:sz w:val="26"/>
          <w:szCs w:val="26"/>
          <w:lang w:eastAsia="en-US"/>
          <w14:ligatures w14:val="none"/>
        </w:rPr>
        <w:t xml:space="preserve">Supplementary Text </w:t>
      </w:r>
      <w:r w:rsidRPr="0001609D">
        <w:rPr>
          <w:rFonts w:ascii="Calibri" w:eastAsia="SimSun" w:hAnsi="Calibri" w:cs="Times New Roman"/>
          <w:b/>
          <w:bCs/>
          <w:color w:val="000000"/>
          <w:kern w:val="0"/>
          <w:sz w:val="26"/>
          <w:szCs w:val="26"/>
          <w14:ligatures w14:val="none"/>
        </w:rPr>
        <w:t>3</w:t>
      </w:r>
      <w:r w:rsidRPr="0001609D">
        <w:rPr>
          <w:rFonts w:ascii="Calibri" w:eastAsia="MS Gothic" w:hAnsi="Calibri" w:cs="Times New Roman"/>
          <w:b/>
          <w:bCs/>
          <w:color w:val="000000"/>
          <w:kern w:val="0"/>
          <w:sz w:val="26"/>
          <w:szCs w:val="26"/>
          <w:lang w:eastAsia="en-US"/>
          <w14:ligatures w14:val="none"/>
        </w:rPr>
        <w:t>:</w:t>
      </w:r>
      <w:bookmarkEnd w:id="2"/>
    </w:p>
    <w:p w14:paraId="083D3ED9" w14:textId="77777777" w:rsidR="0001609D" w:rsidRPr="0001609D" w:rsidRDefault="0001609D" w:rsidP="0001609D">
      <w:pPr>
        <w:spacing w:line="259" w:lineRule="auto"/>
        <w:rPr>
          <w:rFonts w:ascii="Calibri" w:eastAsia="SimSun" w:hAnsi="Calibri" w:cs="Times New Roman"/>
          <w:kern w:val="0"/>
          <w:sz w:val="22"/>
          <w:szCs w:val="22"/>
          <w14:ligatures w14:val="none"/>
        </w:rPr>
      </w:pPr>
      <w:r w:rsidRPr="0001609D">
        <w:rPr>
          <w:rFonts w:ascii="Calibri" w:eastAsia="MS Mincho" w:hAnsi="Calibri" w:cs="Times New Roman"/>
          <w:kern w:val="0"/>
          <w:sz w:val="22"/>
          <w:szCs w:val="22"/>
          <w:lang w:eastAsia="en-US"/>
          <w14:ligatures w14:val="none"/>
        </w:rPr>
        <w:t xml:space="preserve">For each trajectory </w:t>
      </w:r>
      <w:r w:rsidRPr="0001609D">
        <w:rPr>
          <w:rFonts w:ascii="Calibri" w:eastAsia="MS Mincho" w:hAnsi="Calibri" w:cs="Times New Roman"/>
          <w:i/>
          <w:iCs/>
          <w:kern w:val="0"/>
          <w:sz w:val="22"/>
          <w:szCs w:val="22"/>
          <w:lang w:eastAsia="en-US"/>
          <w14:ligatures w14:val="none"/>
        </w:rPr>
        <w:t>i</w:t>
      </w:r>
      <w:r w:rsidRPr="0001609D">
        <w:rPr>
          <w:rFonts w:ascii="Calibri" w:eastAsia="MS Mincho" w:hAnsi="Calibri" w:cs="Times New Roman"/>
          <w:kern w:val="0"/>
          <w:sz w:val="22"/>
          <w:szCs w:val="22"/>
          <w:lang w:eastAsia="en-US"/>
          <w14:ligatures w14:val="none"/>
        </w:rPr>
        <w:t xml:space="preserve"> and time step </w:t>
      </w:r>
      <w:r w:rsidRPr="0001609D">
        <w:rPr>
          <w:rFonts w:ascii="Calibri" w:eastAsia="MS Mincho" w:hAnsi="Calibri" w:cs="Times New Roman"/>
          <w:i/>
          <w:iCs/>
          <w:kern w:val="0"/>
          <w:sz w:val="22"/>
          <w:szCs w:val="22"/>
          <w:lang w:eastAsia="en-US"/>
          <w14:ligatures w14:val="none"/>
        </w:rPr>
        <w:t>t</w:t>
      </w:r>
      <w:r w:rsidRPr="0001609D">
        <w:rPr>
          <w:rFonts w:ascii="Calibri" w:eastAsia="MS Mincho" w:hAnsi="Calibri" w:cs="Times New Roman"/>
          <w:kern w:val="0"/>
          <w:sz w:val="22"/>
          <w:szCs w:val="22"/>
          <w:lang w:eastAsia="en-US"/>
          <w14:ligatures w14:val="none"/>
        </w:rPr>
        <w:t>, mixed-layer depth in the 0.1° daily experiments constrained to the inclusive range 50–1000</w:t>
      </w:r>
      <w:r w:rsidRPr="0001609D">
        <w:rPr>
          <w:rFonts w:ascii="Calibri" w:eastAsia="SimSun" w:hAnsi="Calibri" w:cs="Times New Roman"/>
          <w:kern w:val="0"/>
          <w:sz w:val="22"/>
          <w:szCs w:val="22"/>
          <w14:ligatures w14:val="none"/>
        </w:rPr>
        <w:t xml:space="preserve"> m</w:t>
      </w:r>
      <w:r w:rsidRPr="0001609D">
        <w:rPr>
          <w:rFonts w:ascii="Calibri" w:eastAsia="MS Mincho" w:hAnsi="Calibri" w:cs="Times New Roman"/>
          <w:kern w:val="0"/>
          <w:sz w:val="22"/>
          <w:szCs w:val="22"/>
          <w:lang w:eastAsia="en-US"/>
          <w14:ligatures w14:val="none"/>
        </w:rPr>
        <w:t xml:space="preserve"> to avoid excessively strong air-sea exchange under </w:t>
      </w:r>
      <w:r w:rsidRPr="0001609D">
        <w:rPr>
          <w:rFonts w:ascii="Calibri" w:eastAsia="SimSun" w:hAnsi="Calibri" w:cs="Times New Roman"/>
          <w:kern w:val="0"/>
          <w:sz w:val="22"/>
          <w:szCs w:val="22"/>
          <w14:ligatures w14:val="none"/>
        </w:rPr>
        <w:t>very</w:t>
      </w:r>
      <w:r w:rsidRPr="0001609D">
        <w:rPr>
          <w:rFonts w:ascii="Calibri" w:eastAsia="MS Mincho" w:hAnsi="Calibri" w:cs="Times New Roman"/>
          <w:kern w:val="0"/>
          <w:sz w:val="22"/>
          <w:szCs w:val="22"/>
          <w:lang w:eastAsia="en-US"/>
          <w14:ligatures w14:val="none"/>
        </w:rPr>
        <w:t xml:space="preserve"> shallow mixed layers while limiting anomalously deep mixed-layer values:</w:t>
      </w:r>
    </w:p>
    <w:p w14:paraId="30A0B308" w14:textId="77777777" w:rsidR="0001609D" w:rsidRPr="0001609D" w:rsidRDefault="007D1435" w:rsidP="0001609D">
      <w:pPr>
        <w:spacing w:line="259" w:lineRule="auto"/>
        <w:jc w:val="center"/>
        <w:rPr>
          <w:rFonts w:ascii="Calibri" w:eastAsia="SimSun" w:hAnsi="Calibri" w:cs="Times New Roman"/>
          <w:kern w:val="0"/>
          <w:sz w:val="22"/>
          <w:szCs w:val="22"/>
          <w14:ligatures w14:val="none"/>
        </w:rPr>
      </w:pPr>
      <m:oMath>
        <m:sSub>
          <m:sSubPr>
            <m:ctrlPr>
              <w:rPr>
                <w:rFonts w:ascii="Cambria Math" w:eastAsia="SimSun" w:hAnsi="Cambria Math" w:cs="Calibri"/>
                <w:i/>
                <w:kern w:val="0"/>
                <w:sz w:val="22"/>
                <w:szCs w:val="22"/>
                <w14:ligatures w14:val="none"/>
              </w:rPr>
            </m:ctrlPr>
          </m:sSubPr>
          <m:e>
            <m:r>
              <w:rPr>
                <w:rFonts w:ascii="Cambria Math" w:eastAsia="SimSun" w:hAnsi="Cambria Math" w:cs="Calibri"/>
                <w:kern w:val="0"/>
                <w:sz w:val="22"/>
                <w:szCs w:val="22"/>
                <w14:ligatures w14:val="none"/>
              </w:rPr>
              <m:t>H</m:t>
            </m:r>
          </m:e>
          <m:sub>
            <m:r>
              <w:rPr>
                <w:rFonts w:ascii="Cambria Math" w:eastAsia="SimSun" w:hAnsi="Cambria Math" w:cs="Calibri"/>
                <w:kern w:val="0"/>
                <w:sz w:val="22"/>
                <w:szCs w:val="22"/>
                <w14:ligatures w14:val="none"/>
              </w:rPr>
              <m:t>i,t</m:t>
            </m:r>
          </m:sub>
        </m:sSub>
        <m:r>
          <w:rPr>
            <w:rFonts w:ascii="Cambria Math" w:eastAsia="SimSun" w:hAnsi="Cambria Math" w:cs="Calibri"/>
            <w:kern w:val="0"/>
            <w:sz w:val="22"/>
            <w:szCs w:val="22"/>
            <w14:ligatures w14:val="none"/>
          </w:rPr>
          <m:t>= min(1000,max(50,</m:t>
        </m:r>
        <m:sSub>
          <m:sSubPr>
            <m:ctrlPr>
              <w:rPr>
                <w:rFonts w:ascii="Cambria Math" w:eastAsia="SimSun" w:hAnsi="Cambria Math" w:cs="Calibri"/>
                <w:i/>
                <w:kern w:val="0"/>
                <w:sz w:val="22"/>
                <w:szCs w:val="22"/>
                <w14:ligatures w14:val="none"/>
              </w:rPr>
            </m:ctrlPr>
          </m:sSubPr>
          <m:e>
            <m:r>
              <w:rPr>
                <w:rFonts w:ascii="Cambria Math" w:eastAsia="SimSun" w:hAnsi="Cambria Math" w:cs="Calibri"/>
                <w:kern w:val="0"/>
                <w:sz w:val="22"/>
                <w:szCs w:val="22"/>
                <w14:ligatures w14:val="none"/>
              </w:rPr>
              <m:t xml:space="preserve">mldepth </m:t>
            </m:r>
          </m:e>
          <m:sub>
            <m:r>
              <w:rPr>
                <w:rFonts w:ascii="Cambria Math" w:eastAsia="SimSun" w:hAnsi="Cambria Math" w:cs="Calibri"/>
                <w:kern w:val="0"/>
                <w:sz w:val="22"/>
                <w:szCs w:val="22"/>
                <w14:ligatures w14:val="none"/>
              </w:rPr>
              <m:t>i,t​</m:t>
            </m:r>
          </m:sub>
        </m:sSub>
        <m:r>
          <w:rPr>
            <w:rFonts w:ascii="Cambria Math" w:eastAsia="SimSun" w:hAnsi="Cambria Math" w:cs="Calibri"/>
            <w:kern w:val="0"/>
            <w:sz w:val="22"/>
            <w:szCs w:val="22"/>
            <w14:ligatures w14:val="none"/>
          </w:rPr>
          <m:t>))</m:t>
        </m:r>
      </m:oMath>
      <w:r w:rsidR="0001609D" w:rsidRPr="0001609D">
        <w:rPr>
          <w:rFonts w:ascii="Calibri" w:eastAsia="SimSun" w:hAnsi="Calibri" w:cs="Times New Roman"/>
          <w:kern w:val="0"/>
          <w:sz w:val="22"/>
          <w:szCs w:val="22"/>
          <w14:ligatures w14:val="none"/>
        </w:rPr>
        <w:t xml:space="preserve"> (Supplementary Equation 1)</w:t>
      </w:r>
    </w:p>
    <w:p w14:paraId="200111D6" w14:textId="77777777" w:rsidR="0001609D" w:rsidRPr="0001609D" w:rsidRDefault="0001609D" w:rsidP="0001609D">
      <w:pPr>
        <w:spacing w:line="259" w:lineRule="auto"/>
        <w:rPr>
          <w:rFonts w:ascii="Calibri" w:eastAsia="SimSun" w:hAnsi="Calibri" w:cs="Times New Roman"/>
          <w:kern w:val="0"/>
          <w:sz w:val="22"/>
          <w:szCs w:val="22"/>
          <w14:ligatures w14:val="none"/>
        </w:rPr>
      </w:pPr>
      <w:r w:rsidRPr="0001609D">
        <w:rPr>
          <w:rFonts w:ascii="Calibri" w:eastAsia="SimSun" w:hAnsi="Calibri" w:cs="Times New Roman"/>
          <w:kern w:val="0"/>
          <w:sz w:val="22"/>
          <w:szCs w:val="22"/>
          <w14:ligatures w14:val="none"/>
        </w:rPr>
        <w:t>Specifically, the 50 m</w:t>
      </w:r>
      <w:r w:rsidRPr="0001609D">
        <w:rPr>
          <w:rFonts w:ascii="Calibri" w:eastAsia="MS Mincho" w:hAnsi="Calibri" w:cs="Times New Roman"/>
          <w:kern w:val="0"/>
          <w:sz w:val="22"/>
          <w:szCs w:val="22"/>
          <w:lang w:eastAsia="en-US"/>
          <w14:ligatures w14:val="none"/>
        </w:rPr>
        <w:t xml:space="preserve"> lower bound compensates for differences between our mixed-layer shuffling scheme and tracer mixing in conventional models. Sensitivity tests showed that this threshold produced mCDR efficiencies most consistent with the </w:t>
      </w:r>
      <w:r w:rsidRPr="0001609D">
        <w:rPr>
          <w:rFonts w:ascii="Calibri" w:eastAsia="SimSun" w:hAnsi="Calibri" w:cs="Times New Roman"/>
          <w:kern w:val="0"/>
          <w:sz w:val="22"/>
          <w:szCs w:val="22"/>
          <w14:ligatures w14:val="none"/>
        </w:rPr>
        <w:t xml:space="preserve">conventional </w:t>
      </w:r>
      <w:r w:rsidRPr="0001609D">
        <w:rPr>
          <w:rFonts w:ascii="Calibri" w:eastAsia="MS Mincho" w:hAnsi="Calibri" w:cs="Times New Roman"/>
          <w:kern w:val="0"/>
          <w:sz w:val="22"/>
          <w:szCs w:val="22"/>
          <w:lang w:eastAsia="en-US"/>
          <w14:ligatures w14:val="none"/>
        </w:rPr>
        <w:t>model results</w:t>
      </w:r>
      <w:r w:rsidRPr="0001609D">
        <w:rPr>
          <w:rFonts w:ascii="Calibri" w:eastAsia="SimSun" w:hAnsi="Calibri" w:cs="Times New Roman"/>
          <w:kern w:val="0"/>
          <w:sz w:val="22"/>
          <w:szCs w:val="22"/>
          <w14:ligatures w14:val="none"/>
        </w:rPr>
        <w:t xml:space="preserve"> (Supplementary Fig. 6)</w:t>
      </w:r>
      <w:r w:rsidRPr="0001609D">
        <w:rPr>
          <w:rFonts w:ascii="Calibri" w:eastAsia="MS Mincho" w:hAnsi="Calibri" w:cs="Times New Roman"/>
          <w:kern w:val="0"/>
          <w:sz w:val="22"/>
          <w:szCs w:val="22"/>
          <w:lang w:eastAsia="en-US"/>
          <w14:ligatures w14:val="none"/>
        </w:rPr>
        <w:t>.</w:t>
      </w:r>
      <w:r w:rsidRPr="0001609D">
        <w:rPr>
          <w:rFonts w:ascii="Calibri" w:eastAsia="SimSun" w:hAnsi="Calibri" w:cs="Times New Roman"/>
          <w:kern w:val="0"/>
          <w:sz w:val="22"/>
          <w:szCs w:val="22"/>
          <w14:ligatures w14:val="none"/>
        </w:rPr>
        <w:t xml:space="preserve"> </w:t>
      </w:r>
      <w:r w:rsidRPr="0001609D">
        <w:rPr>
          <w:rFonts w:ascii="Calibri" w:eastAsia="MS Mincho" w:hAnsi="Calibri" w:cs="Times New Roman"/>
          <w:kern w:val="0"/>
          <w:sz w:val="22"/>
          <w:szCs w:val="22"/>
          <w:lang w:eastAsia="en-US"/>
          <w14:ligatures w14:val="none"/>
        </w:rPr>
        <w:t>For the 1° monthly experiments, the lower bound of the mixed-layer depth</w:t>
      </w:r>
      <w:r w:rsidRPr="0001609D">
        <w:rPr>
          <w:rFonts w:ascii="Calibri" w:eastAsia="SimSun" w:hAnsi="Calibri" w:cs="Times New Roman"/>
          <w:kern w:val="0"/>
          <w:sz w:val="22"/>
          <w:szCs w:val="22"/>
          <w14:ligatures w14:val="none"/>
        </w:rPr>
        <w:t xml:space="preserve"> </w:t>
      </w:r>
      <w:r w:rsidRPr="0001609D">
        <w:rPr>
          <w:rFonts w:ascii="Calibri" w:eastAsia="MS Mincho" w:hAnsi="Calibri" w:cs="Times New Roman"/>
          <w:kern w:val="0"/>
          <w:sz w:val="22"/>
          <w:szCs w:val="22"/>
          <w:lang w:eastAsia="en-US"/>
          <w14:ligatures w14:val="none"/>
        </w:rPr>
        <w:t xml:space="preserve">was </w:t>
      </w:r>
      <w:r w:rsidRPr="0001609D">
        <w:rPr>
          <w:rFonts w:ascii="Calibri" w:eastAsia="SimSun" w:hAnsi="Calibri" w:cs="Times New Roman"/>
          <w:kern w:val="0"/>
          <w:sz w:val="22"/>
          <w:szCs w:val="22"/>
          <w14:ligatures w14:val="none"/>
        </w:rPr>
        <w:t>deepened</w:t>
      </w:r>
      <w:r w:rsidRPr="0001609D">
        <w:rPr>
          <w:rFonts w:ascii="Calibri" w:eastAsia="MS Mincho" w:hAnsi="Calibri" w:cs="Times New Roman"/>
          <w:kern w:val="0"/>
          <w:sz w:val="22"/>
          <w:szCs w:val="22"/>
          <w:lang w:eastAsia="en-US"/>
          <w14:ligatures w14:val="none"/>
        </w:rPr>
        <w:t xml:space="preserve"> to 100</w:t>
      </w:r>
      <w:r w:rsidRPr="0001609D">
        <w:rPr>
          <w:rFonts w:ascii="Calibri" w:eastAsia="SimSun" w:hAnsi="Calibri" w:cs="Times New Roman"/>
          <w:kern w:val="0"/>
          <w:sz w:val="22"/>
          <w:szCs w:val="22"/>
          <w14:ligatures w14:val="none"/>
        </w:rPr>
        <w:t xml:space="preserve"> </w:t>
      </w:r>
      <w:r w:rsidRPr="0001609D">
        <w:rPr>
          <w:rFonts w:ascii="Calibri" w:eastAsia="MS Mincho" w:hAnsi="Calibri" w:cs="Times New Roman"/>
          <w:kern w:val="0"/>
          <w:sz w:val="22"/>
          <w:szCs w:val="22"/>
          <w:lang w:eastAsia="en-US"/>
          <w14:ligatures w14:val="none"/>
        </w:rPr>
        <w:t xml:space="preserve">m to </w:t>
      </w:r>
      <w:r w:rsidRPr="0001609D">
        <w:rPr>
          <w:rFonts w:ascii="Calibri" w:eastAsia="SimSun" w:hAnsi="Calibri" w:cs="Times New Roman"/>
          <w:kern w:val="0"/>
          <w:sz w:val="22"/>
          <w:szCs w:val="22"/>
          <w14:ligatures w14:val="none"/>
        </w:rPr>
        <w:t xml:space="preserve">further </w:t>
      </w:r>
      <w:r w:rsidRPr="0001609D">
        <w:rPr>
          <w:rFonts w:ascii="Calibri" w:eastAsia="MS Mincho" w:hAnsi="Calibri" w:cs="Times New Roman"/>
          <w:kern w:val="0"/>
          <w:sz w:val="22"/>
          <w:szCs w:val="22"/>
          <w:lang w:eastAsia="en-US"/>
          <w14:ligatures w14:val="none"/>
        </w:rPr>
        <w:t>reduce the risk that absorbers perform unrealistically large air-sea CO</w:t>
      </w:r>
      <w:r w:rsidRPr="0001609D">
        <w:rPr>
          <w:rFonts w:ascii="Calibri" w:eastAsia="MS Mincho" w:hAnsi="Calibri" w:cs="Times New Roman"/>
          <w:kern w:val="0"/>
          <w:sz w:val="22"/>
          <w:szCs w:val="22"/>
          <w:vertAlign w:val="subscript"/>
          <w:lang w:eastAsia="en-US"/>
          <w14:ligatures w14:val="none"/>
        </w:rPr>
        <w:t>2</w:t>
      </w:r>
      <w:r w:rsidRPr="0001609D">
        <w:rPr>
          <w:rFonts w:ascii="Calibri" w:eastAsia="MS Mincho" w:hAnsi="Calibri" w:cs="Times New Roman"/>
          <w:kern w:val="0"/>
          <w:sz w:val="22"/>
          <w:szCs w:val="22"/>
          <w:lang w:eastAsia="en-US"/>
          <w14:ligatures w14:val="none"/>
        </w:rPr>
        <w:t xml:space="preserve"> exchange along shallow trajectories in coarse, low-frequency fields </w:t>
      </w:r>
      <w:r w:rsidRPr="0001609D">
        <w:rPr>
          <w:rFonts w:ascii="Calibri" w:eastAsia="SimSun" w:hAnsi="Calibri" w:cs="Times New Roman"/>
          <w:kern w:val="0"/>
          <w:sz w:val="22"/>
          <w:szCs w:val="22"/>
          <w14:ligatures w14:val="none"/>
        </w:rPr>
        <w:t>(Supplementary Fig. 4)</w:t>
      </w:r>
      <w:r w:rsidRPr="0001609D">
        <w:rPr>
          <w:rFonts w:ascii="Calibri" w:eastAsia="MS Mincho" w:hAnsi="Calibri" w:cs="Times New Roman"/>
          <w:kern w:val="0"/>
          <w:sz w:val="22"/>
          <w:szCs w:val="22"/>
          <w:lang w:eastAsia="en-US"/>
          <w14:ligatures w14:val="none"/>
        </w:rPr>
        <w:t>.</w:t>
      </w:r>
    </w:p>
    <w:p w14:paraId="64160B5B" w14:textId="77777777" w:rsidR="0001609D" w:rsidRPr="0001609D" w:rsidRDefault="0001609D" w:rsidP="0001609D">
      <w:pPr>
        <w:spacing w:after="200" w:line="259" w:lineRule="auto"/>
        <w:rPr>
          <w:rFonts w:ascii="Calibri" w:eastAsia="MS Gothic" w:hAnsi="Calibri" w:cs="Times New Roman"/>
          <w:b/>
          <w:bCs/>
          <w:color w:val="000000"/>
          <w:kern w:val="0"/>
          <w:sz w:val="26"/>
          <w:szCs w:val="26"/>
          <w:lang w:eastAsia="en-US"/>
          <w14:ligatures w14:val="none"/>
        </w:rPr>
      </w:pPr>
      <w:r w:rsidRPr="0001609D">
        <w:rPr>
          <w:rFonts w:ascii="Cambria" w:eastAsia="MS Mincho" w:hAnsi="Cambria" w:cs="Arial"/>
          <w:kern w:val="0"/>
          <w:sz w:val="22"/>
          <w:szCs w:val="22"/>
          <w:lang w:eastAsia="en-US"/>
          <w14:ligatures w14:val="none"/>
        </w:rPr>
        <w:br w:type="page"/>
      </w:r>
    </w:p>
    <w:p w14:paraId="3CBE84A1" w14:textId="63F1BC7F" w:rsidR="0001609D" w:rsidRPr="0001609D" w:rsidRDefault="0001609D" w:rsidP="0001609D">
      <w:pPr>
        <w:keepNext/>
        <w:keepLines/>
        <w:spacing w:before="240" w:after="120" w:line="259" w:lineRule="auto"/>
        <w:outlineLvl w:val="1"/>
        <w:rPr>
          <w:rFonts w:ascii="Calibri" w:eastAsia="MS Gothic" w:hAnsi="Calibri" w:cs="Times New Roman"/>
          <w:b/>
          <w:bCs/>
          <w:color w:val="000000"/>
          <w:kern w:val="0"/>
          <w:sz w:val="26"/>
          <w:szCs w:val="26"/>
          <w:lang w:eastAsia="en-US"/>
          <w14:ligatures w14:val="none"/>
        </w:rPr>
      </w:pPr>
      <w:bookmarkStart w:id="3" w:name="_Toc241702904"/>
      <w:r w:rsidRPr="0001609D">
        <w:rPr>
          <w:rFonts w:ascii="Calibri" w:eastAsia="MS Gothic" w:hAnsi="Calibri" w:cs="Times New Roman"/>
          <w:b/>
          <w:bCs/>
          <w:color w:val="000000"/>
          <w:kern w:val="0"/>
          <w:sz w:val="26"/>
          <w:szCs w:val="26"/>
          <w:lang w:eastAsia="en-US"/>
          <w14:ligatures w14:val="none"/>
        </w:rPr>
        <w:lastRenderedPageBreak/>
        <w:t>Supplementary Fig</w:t>
      </w:r>
      <w:r w:rsidR="00C417DA">
        <w:rPr>
          <w:rFonts w:ascii="Calibri" w:hAnsi="Calibri" w:cs="Times New Roman" w:hint="eastAsia"/>
          <w:b/>
          <w:bCs/>
          <w:color w:val="000000"/>
          <w:kern w:val="0"/>
          <w:sz w:val="26"/>
          <w:szCs w:val="26"/>
          <w14:ligatures w14:val="none"/>
        </w:rPr>
        <w:t>ure 1:</w:t>
      </w:r>
      <w:r w:rsidRPr="0001609D">
        <w:rPr>
          <w:rFonts w:ascii="Calibri" w:eastAsia="MS Gothic" w:hAnsi="Calibri" w:cs="Times New Roman"/>
          <w:b/>
          <w:bCs/>
          <w:color w:val="000000"/>
          <w:kern w:val="0"/>
          <w:sz w:val="26"/>
          <w:szCs w:val="26"/>
          <w:lang w:eastAsia="en-US"/>
          <w14:ligatures w14:val="none"/>
        </w:rPr>
        <w:t xml:space="preserve"> Time evolution of four-season mean coastal mCDR efficiency.</w:t>
      </w:r>
      <w:bookmarkEnd w:id="3"/>
    </w:p>
    <w:p w14:paraId="73F2D91F" w14:textId="77777777" w:rsidR="0001609D" w:rsidRPr="0001609D" w:rsidRDefault="0001609D" w:rsidP="0001609D">
      <w:pPr>
        <w:spacing w:line="259" w:lineRule="auto"/>
        <w:rPr>
          <w:rFonts w:ascii="Calibri" w:eastAsia="MS Mincho" w:hAnsi="Calibri" w:cs="Times New Roman"/>
          <w:kern w:val="0"/>
          <w:sz w:val="19"/>
          <w:szCs w:val="19"/>
          <w:lang w:eastAsia="en-US"/>
          <w14:ligatures w14:val="none"/>
        </w:rPr>
      </w:pPr>
      <w:r w:rsidRPr="0001609D">
        <w:rPr>
          <w:rFonts w:ascii="Cambria" w:eastAsia="MS Mincho" w:hAnsi="Cambria" w:cs="Arial"/>
          <w:noProof/>
          <w:color w:val="4F81BD"/>
          <w:kern w:val="0"/>
          <w:sz w:val="19"/>
          <w:szCs w:val="19"/>
          <w:lang w:eastAsia="en-US"/>
          <w14:ligatures w14:val="none"/>
        </w:rPr>
        <w:drawing>
          <wp:anchor distT="0" distB="0" distL="114300" distR="114300" simplePos="0" relativeHeight="251661312" behindDoc="0" locked="0" layoutInCell="1" allowOverlap="1" wp14:anchorId="61CAF761" wp14:editId="3295D47E">
            <wp:simplePos x="0" y="0"/>
            <wp:positionH relativeFrom="margin">
              <wp:posOffset>24765</wp:posOffset>
            </wp:positionH>
            <wp:positionV relativeFrom="paragraph">
              <wp:posOffset>848995</wp:posOffset>
            </wp:positionV>
            <wp:extent cx="5894449" cy="2019300"/>
            <wp:effectExtent l="0" t="0" r="0" b="0"/>
            <wp:wrapTopAndBottom/>
            <wp:docPr id="10528520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206" r="4327"/>
                    <a:stretch>
                      <a:fillRect/>
                    </a:stretch>
                  </pic:blipFill>
                  <pic:spPr bwMode="auto">
                    <a:xfrm>
                      <a:off x="0" y="0"/>
                      <a:ext cx="5894449" cy="2019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609D">
        <w:rPr>
          <w:rFonts w:ascii="Calibri" w:eastAsia="MS Mincho" w:hAnsi="Calibri" w:cs="Times New Roman"/>
          <w:kern w:val="0"/>
          <w:sz w:val="19"/>
          <w:szCs w:val="19"/>
          <w:lang w:eastAsia="en-US"/>
          <w14:ligatures w14:val="none"/>
        </w:rPr>
        <w:t>Four-season mean mCDR efficiency after 1 and 10 years. The year 10 plot</w:t>
      </w:r>
      <w:r w:rsidRPr="0001609D">
        <w:rPr>
          <w:rFonts w:ascii="Calibri" w:eastAsia="SimSun" w:hAnsi="Calibri" w:cs="Times New Roman"/>
          <w:kern w:val="0"/>
          <w:sz w:val="19"/>
          <w:szCs w:val="19"/>
          <w14:ligatures w14:val="none"/>
        </w:rPr>
        <w:t xml:space="preserve"> shown here is the same as in Fig. 3a and shown to facilitate comparison with year 1 mCDR efficiency. All coloured data is averaged by data points in coastal bins using a 100 km coastal mask. For each 100 km coastal mask, regions within 185 km of the coast were coloured on global maps for better visibility.</w:t>
      </w:r>
    </w:p>
    <w:p w14:paraId="468062C9" w14:textId="77777777" w:rsidR="0001609D" w:rsidRPr="0001609D" w:rsidRDefault="0001609D" w:rsidP="0001609D">
      <w:pPr>
        <w:spacing w:after="200" w:line="259" w:lineRule="auto"/>
        <w:jc w:val="center"/>
        <w:rPr>
          <w:rFonts w:ascii="Calibri" w:eastAsia="MS Mincho" w:hAnsi="Calibri" w:cs="Times New Roman"/>
          <w:kern w:val="0"/>
          <w:sz w:val="22"/>
          <w:szCs w:val="22"/>
          <w:lang w:eastAsia="en-US"/>
          <w14:ligatures w14:val="none"/>
        </w:rPr>
      </w:pPr>
    </w:p>
    <w:p w14:paraId="465AA1D8" w14:textId="77777777" w:rsidR="0001609D" w:rsidRPr="0001609D" w:rsidRDefault="0001609D" w:rsidP="0001609D">
      <w:pPr>
        <w:spacing w:after="200" w:line="259" w:lineRule="auto"/>
        <w:rPr>
          <w:rFonts w:ascii="Calibri" w:eastAsia="MS Gothic" w:hAnsi="Calibri" w:cs="Times New Roman"/>
          <w:b/>
          <w:bCs/>
          <w:color w:val="000000"/>
          <w:kern w:val="0"/>
          <w:sz w:val="26"/>
          <w:szCs w:val="26"/>
          <w:lang w:eastAsia="en-US"/>
          <w14:ligatures w14:val="none"/>
        </w:rPr>
      </w:pPr>
      <w:r w:rsidRPr="0001609D">
        <w:rPr>
          <w:rFonts w:ascii="Calibri" w:eastAsia="MS Mincho" w:hAnsi="Calibri" w:cs="Times New Roman"/>
          <w:kern w:val="0"/>
          <w:sz w:val="22"/>
          <w:szCs w:val="22"/>
          <w:lang w:eastAsia="en-US"/>
          <w14:ligatures w14:val="none"/>
        </w:rPr>
        <w:br w:type="page"/>
      </w:r>
    </w:p>
    <w:p w14:paraId="1DFFB9BB" w14:textId="3E36E798" w:rsidR="0001609D" w:rsidRPr="0001609D" w:rsidRDefault="0001609D" w:rsidP="0001609D">
      <w:pPr>
        <w:keepNext/>
        <w:keepLines/>
        <w:spacing w:before="240" w:after="120" w:line="259" w:lineRule="auto"/>
        <w:outlineLvl w:val="1"/>
        <w:rPr>
          <w:rFonts w:ascii="Calibri" w:eastAsia="MS Gothic" w:hAnsi="Calibri" w:cs="Times New Roman"/>
          <w:b/>
          <w:bCs/>
          <w:color w:val="000000"/>
          <w:kern w:val="0"/>
          <w:sz w:val="26"/>
          <w:szCs w:val="26"/>
          <w:lang w:eastAsia="en-US"/>
          <w14:ligatures w14:val="none"/>
        </w:rPr>
      </w:pPr>
      <w:bookmarkStart w:id="4" w:name="_Toc241702905"/>
      <w:r w:rsidRPr="0001609D">
        <w:rPr>
          <w:rFonts w:ascii="Calibri" w:eastAsia="MS Gothic" w:hAnsi="Calibri" w:cs="Times New Roman"/>
          <w:b/>
          <w:bCs/>
          <w:color w:val="000000"/>
          <w:kern w:val="0"/>
          <w:sz w:val="26"/>
          <w:szCs w:val="26"/>
          <w:lang w:eastAsia="en-US"/>
          <w14:ligatures w14:val="none"/>
        </w:rPr>
        <w:lastRenderedPageBreak/>
        <w:t>Supplementary Fig</w:t>
      </w:r>
      <w:r w:rsidR="00061AB1">
        <w:rPr>
          <w:rFonts w:ascii="Calibri" w:hAnsi="Calibri" w:cs="Times New Roman" w:hint="eastAsia"/>
          <w:b/>
          <w:bCs/>
          <w:color w:val="000000"/>
          <w:kern w:val="0"/>
          <w:sz w:val="26"/>
          <w:szCs w:val="26"/>
          <w14:ligatures w14:val="none"/>
        </w:rPr>
        <w:t xml:space="preserve">ure 2: </w:t>
      </w:r>
      <w:r w:rsidRPr="0001609D">
        <w:rPr>
          <w:rFonts w:ascii="Calibri" w:eastAsia="MS Gothic" w:hAnsi="Calibri" w:cs="Times New Roman"/>
          <w:b/>
          <w:bCs/>
          <w:color w:val="000000"/>
          <w:kern w:val="0"/>
          <w:sz w:val="26"/>
          <w:szCs w:val="26"/>
          <w:lang w:eastAsia="en-US"/>
          <w14:ligatures w14:val="none"/>
        </w:rPr>
        <w:t>Coastal mCDR efficiency at year</w:t>
      </w:r>
      <w:r w:rsidRPr="0001609D">
        <w:rPr>
          <w:rFonts w:ascii="Calibri" w:eastAsia="SimSun" w:hAnsi="Calibri" w:cs="Times New Roman"/>
          <w:b/>
          <w:bCs/>
          <w:color w:val="000000"/>
          <w:kern w:val="0"/>
          <w:sz w:val="26"/>
          <w:szCs w:val="26"/>
          <w14:ligatures w14:val="none"/>
        </w:rPr>
        <w:t>-1</w:t>
      </w:r>
      <w:r w:rsidRPr="0001609D">
        <w:rPr>
          <w:rFonts w:ascii="Calibri" w:eastAsia="MS Gothic" w:hAnsi="Calibri" w:cs="Times New Roman"/>
          <w:b/>
          <w:bCs/>
          <w:color w:val="000000"/>
          <w:kern w:val="0"/>
          <w:sz w:val="26"/>
          <w:szCs w:val="26"/>
          <w:lang w:eastAsia="en-US"/>
          <w14:ligatures w14:val="none"/>
        </w:rPr>
        <w:t xml:space="preserve"> and 10 for different seasons.</w:t>
      </w:r>
      <w:bookmarkEnd w:id="4"/>
    </w:p>
    <w:p w14:paraId="768501BD" w14:textId="77777777" w:rsidR="0001609D" w:rsidRPr="0001609D" w:rsidRDefault="0001609D" w:rsidP="0001609D">
      <w:pPr>
        <w:spacing w:line="259" w:lineRule="auto"/>
        <w:rPr>
          <w:rFonts w:ascii="Calibri" w:eastAsia="MS Mincho" w:hAnsi="Calibri" w:cs="Times New Roman"/>
          <w:kern w:val="0"/>
          <w:sz w:val="19"/>
          <w:szCs w:val="19"/>
          <w:lang w:eastAsia="en-US"/>
          <w14:ligatures w14:val="none"/>
        </w:rPr>
      </w:pPr>
      <w:r w:rsidRPr="0001609D">
        <w:rPr>
          <w:rFonts w:ascii="Calibri" w:eastAsia="SimSun" w:hAnsi="Calibri" w:cs="Times New Roman"/>
          <w:kern w:val="0"/>
          <w:sz w:val="19"/>
          <w:szCs w:val="19"/>
          <w14:ligatures w14:val="none"/>
        </w:rPr>
        <w:t>(</w:t>
      </w:r>
      <w:r w:rsidRPr="0001609D">
        <w:rPr>
          <w:rFonts w:ascii="Calibri" w:eastAsia="MS Mincho" w:hAnsi="Calibri" w:cs="Times New Roman"/>
          <w:kern w:val="0"/>
          <w:sz w:val="19"/>
          <w:szCs w:val="19"/>
          <w:lang w:eastAsia="en-US"/>
          <w14:ligatures w14:val="none"/>
        </w:rPr>
        <w:t>a-d</w:t>
      </w:r>
      <w:r w:rsidRPr="0001609D">
        <w:rPr>
          <w:rFonts w:ascii="Calibri" w:eastAsia="SimSun" w:hAnsi="Calibri" w:cs="Times New Roman"/>
          <w:kern w:val="0"/>
          <w:sz w:val="19"/>
          <w:szCs w:val="19"/>
          <w14:ligatures w14:val="none"/>
        </w:rPr>
        <w:t>)</w:t>
      </w:r>
      <w:r w:rsidRPr="0001609D">
        <w:rPr>
          <w:rFonts w:ascii="Calibri" w:eastAsia="MS Mincho" w:hAnsi="Calibri" w:cs="Times New Roman"/>
          <w:kern w:val="0"/>
          <w:sz w:val="19"/>
          <w:szCs w:val="19"/>
          <w:lang w:eastAsia="en-US"/>
          <w14:ligatures w14:val="none"/>
        </w:rPr>
        <w:t xml:space="preserve"> January, April, July and October efficiency in year </w:t>
      </w:r>
      <w:r w:rsidRPr="0001609D">
        <w:rPr>
          <w:rFonts w:ascii="Calibri" w:eastAsia="SimSun" w:hAnsi="Calibri" w:cs="Times New Roman"/>
          <w:kern w:val="0"/>
          <w:sz w:val="19"/>
          <w:szCs w:val="19"/>
          <w14:ligatures w14:val="none"/>
        </w:rPr>
        <w:t>1</w:t>
      </w:r>
      <w:r w:rsidRPr="0001609D">
        <w:rPr>
          <w:rFonts w:ascii="Calibri" w:eastAsia="MS Mincho" w:hAnsi="Calibri" w:cs="Times New Roman"/>
          <w:kern w:val="0"/>
          <w:sz w:val="19"/>
          <w:szCs w:val="19"/>
          <w:lang w:eastAsia="en-US"/>
          <w14:ligatures w14:val="none"/>
        </w:rPr>
        <w:t xml:space="preserve">. </w:t>
      </w:r>
      <w:r w:rsidRPr="0001609D">
        <w:rPr>
          <w:rFonts w:ascii="Calibri" w:eastAsia="SimSun" w:hAnsi="Calibri" w:cs="Times New Roman"/>
          <w:kern w:val="0"/>
          <w:sz w:val="19"/>
          <w:szCs w:val="19"/>
          <w14:ligatures w14:val="none"/>
        </w:rPr>
        <w:t>(</w:t>
      </w:r>
      <w:r w:rsidRPr="0001609D">
        <w:rPr>
          <w:rFonts w:ascii="Calibri" w:eastAsia="MS Mincho" w:hAnsi="Calibri" w:cs="Times New Roman"/>
          <w:kern w:val="0"/>
          <w:sz w:val="19"/>
          <w:szCs w:val="19"/>
          <w:lang w:eastAsia="en-US"/>
          <w14:ligatures w14:val="none"/>
        </w:rPr>
        <w:t>e-h</w:t>
      </w:r>
      <w:r w:rsidRPr="0001609D">
        <w:rPr>
          <w:rFonts w:ascii="Calibri" w:eastAsia="SimSun" w:hAnsi="Calibri" w:cs="Times New Roman"/>
          <w:kern w:val="0"/>
          <w:sz w:val="19"/>
          <w:szCs w:val="19"/>
          <w14:ligatures w14:val="none"/>
        </w:rPr>
        <w:t>)</w:t>
      </w:r>
      <w:r w:rsidRPr="0001609D">
        <w:rPr>
          <w:rFonts w:ascii="Calibri" w:eastAsia="MS Mincho" w:hAnsi="Calibri" w:cs="Times New Roman"/>
          <w:kern w:val="0"/>
          <w:sz w:val="19"/>
          <w:szCs w:val="19"/>
          <w:lang w:eastAsia="en-US"/>
          <w14:ligatures w14:val="none"/>
        </w:rPr>
        <w:t xml:space="preserve"> The same release months in year 10.</w:t>
      </w:r>
      <w:r w:rsidRPr="0001609D">
        <w:rPr>
          <w:rFonts w:ascii="Calibri" w:eastAsia="SimSun" w:hAnsi="Calibri" w:cs="Times New Roman"/>
          <w:kern w:val="0"/>
          <w:sz w:val="19"/>
          <w:szCs w:val="19"/>
          <w14:ligatures w14:val="none"/>
        </w:rPr>
        <w:t xml:space="preserve"> All coloured data is averaged by data points in coastal bins using a 100 km coastal mask. For each 100 km coastal mask, regions within 185 km of the coast were coloured on global maps for better visibility.</w:t>
      </w:r>
    </w:p>
    <w:p w14:paraId="67A0A273" w14:textId="77777777" w:rsidR="0001609D" w:rsidRPr="0001609D" w:rsidRDefault="0001609D" w:rsidP="0001609D">
      <w:pPr>
        <w:spacing w:after="200" w:line="259" w:lineRule="auto"/>
        <w:jc w:val="center"/>
        <w:rPr>
          <w:rFonts w:ascii="Calibri" w:eastAsia="MS Mincho" w:hAnsi="Calibri" w:cs="Times New Roman"/>
          <w:kern w:val="0"/>
          <w:sz w:val="22"/>
          <w:szCs w:val="22"/>
          <w:lang w:eastAsia="en-US"/>
          <w14:ligatures w14:val="none"/>
        </w:rPr>
      </w:pPr>
      <w:r w:rsidRPr="0001609D">
        <w:rPr>
          <w:rFonts w:ascii="Cambria" w:eastAsia="MS Mincho" w:hAnsi="Cambria" w:cs="Arial"/>
          <w:noProof/>
          <w:kern w:val="0"/>
          <w:sz w:val="22"/>
          <w:szCs w:val="22"/>
          <w:lang w:eastAsia="en-US"/>
          <w14:ligatures w14:val="none"/>
        </w:rPr>
        <w:drawing>
          <wp:inline distT="0" distB="0" distL="0" distR="0" wp14:anchorId="7287C79A" wp14:editId="5E01528F">
            <wp:extent cx="5760719" cy="6659392"/>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a:stretch>
                      <a:fillRect/>
                    </a:stretch>
                  </pic:blipFill>
                  <pic:spPr>
                    <a:xfrm>
                      <a:off x="0" y="0"/>
                      <a:ext cx="5760719" cy="6659392"/>
                    </a:xfrm>
                    <a:prstGeom prst="rect">
                      <a:avLst/>
                    </a:prstGeom>
                  </pic:spPr>
                </pic:pic>
              </a:graphicData>
            </a:graphic>
          </wp:inline>
        </w:drawing>
      </w:r>
    </w:p>
    <w:p w14:paraId="1884FA1C" w14:textId="25747ECC" w:rsidR="0001609D" w:rsidRPr="0001609D" w:rsidRDefault="0001609D" w:rsidP="0001609D">
      <w:pPr>
        <w:keepNext/>
        <w:keepLines/>
        <w:spacing w:before="240" w:after="120" w:line="259" w:lineRule="auto"/>
        <w:outlineLvl w:val="1"/>
        <w:rPr>
          <w:rFonts w:ascii="Calibri" w:eastAsia="MS Gothic" w:hAnsi="Calibri" w:cs="Times New Roman"/>
          <w:b/>
          <w:bCs/>
          <w:color w:val="000000"/>
          <w:kern w:val="0"/>
          <w:sz w:val="26"/>
          <w:szCs w:val="26"/>
          <w:lang w:eastAsia="en-US"/>
          <w14:ligatures w14:val="none"/>
        </w:rPr>
      </w:pPr>
      <w:bookmarkStart w:id="5" w:name="_Toc241702906"/>
      <w:r w:rsidRPr="0001609D">
        <w:rPr>
          <w:rFonts w:ascii="Calibri" w:eastAsia="MS Gothic" w:hAnsi="Calibri" w:cs="Times New Roman"/>
          <w:b/>
          <w:bCs/>
          <w:color w:val="000000"/>
          <w:kern w:val="0"/>
          <w:sz w:val="26"/>
          <w:szCs w:val="26"/>
          <w:lang w:eastAsia="en-US"/>
          <w14:ligatures w14:val="none"/>
        </w:rPr>
        <w:lastRenderedPageBreak/>
        <w:t>Supplementary Fig</w:t>
      </w:r>
      <w:r w:rsidR="00FB302C">
        <w:rPr>
          <w:rFonts w:ascii="Calibri" w:hAnsi="Calibri" w:cs="Times New Roman" w:hint="eastAsia"/>
          <w:b/>
          <w:bCs/>
          <w:color w:val="000000"/>
          <w:kern w:val="0"/>
          <w:sz w:val="26"/>
          <w:szCs w:val="26"/>
          <w14:ligatures w14:val="none"/>
        </w:rPr>
        <w:t>ure 3:</w:t>
      </w:r>
      <w:r w:rsidRPr="0001609D">
        <w:rPr>
          <w:rFonts w:ascii="Calibri" w:eastAsia="MS Gothic" w:hAnsi="Calibri" w:cs="Times New Roman"/>
          <w:b/>
          <w:bCs/>
          <w:color w:val="000000"/>
          <w:kern w:val="0"/>
          <w:sz w:val="26"/>
          <w:szCs w:val="26"/>
          <w:lang w:eastAsia="en-US"/>
          <w14:ligatures w14:val="none"/>
        </w:rPr>
        <w:t xml:space="preserve"> Dominant attribution of coastal mCDR efficiency for different seasons.</w:t>
      </w:r>
      <w:bookmarkEnd w:id="5"/>
    </w:p>
    <w:p w14:paraId="407BBFF7" w14:textId="77777777" w:rsidR="0001609D" w:rsidRPr="0001609D" w:rsidRDefault="0001609D" w:rsidP="0001609D">
      <w:pPr>
        <w:spacing w:line="259" w:lineRule="auto"/>
        <w:rPr>
          <w:rFonts w:ascii="Calibri" w:eastAsia="MS Mincho" w:hAnsi="Calibri" w:cs="Times New Roman"/>
          <w:kern w:val="0"/>
          <w:sz w:val="19"/>
          <w:szCs w:val="19"/>
          <w:lang w:eastAsia="en-US"/>
          <w14:ligatures w14:val="none"/>
        </w:rPr>
      </w:pPr>
      <w:r w:rsidRPr="0001609D">
        <w:rPr>
          <w:rFonts w:ascii="Cambria" w:eastAsia="MS Mincho" w:hAnsi="Cambria" w:cs="Arial"/>
          <w:noProof/>
          <w:color w:val="4F81BD"/>
          <w:kern w:val="0"/>
          <w:sz w:val="19"/>
          <w:szCs w:val="19"/>
          <w:lang w:eastAsia="en-US"/>
          <w14:ligatures w14:val="none"/>
        </w:rPr>
        <w:drawing>
          <wp:anchor distT="0" distB="0" distL="114300" distR="114300" simplePos="0" relativeHeight="251662336" behindDoc="0" locked="0" layoutInCell="1" allowOverlap="1" wp14:anchorId="73C91C46" wp14:editId="054EB1F4">
            <wp:simplePos x="0" y="0"/>
            <wp:positionH relativeFrom="margin">
              <wp:posOffset>167640</wp:posOffset>
            </wp:positionH>
            <wp:positionV relativeFrom="paragraph">
              <wp:posOffset>697755</wp:posOffset>
            </wp:positionV>
            <wp:extent cx="5608800" cy="5160027"/>
            <wp:effectExtent l="0" t="0" r="0" b="254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I-mCDR_dominant_attribution-1_100km_100nmi_1000dpi.png"/>
                    <pic:cNvPicPr/>
                  </pic:nvPicPr>
                  <pic:blipFill rotWithShape="1">
                    <a:blip r:embed="rId10"/>
                    <a:srcRect b="42115"/>
                    <a:stretch>
                      <a:fillRect/>
                    </a:stretch>
                  </pic:blipFill>
                  <pic:spPr bwMode="auto">
                    <a:xfrm>
                      <a:off x="0" y="0"/>
                      <a:ext cx="5608800" cy="51600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609D">
        <w:rPr>
          <w:rFonts w:ascii="Calibri" w:eastAsia="MS Mincho" w:hAnsi="Calibri" w:cs="Times New Roman"/>
          <w:kern w:val="0"/>
          <w:sz w:val="19"/>
          <w:szCs w:val="19"/>
          <w:lang w:eastAsia="en-US"/>
          <w14:ligatures w14:val="none"/>
        </w:rPr>
        <w:t>Dominant attribution for January, April, July and October 10-year efficiency.</w:t>
      </w:r>
      <w:r w:rsidRPr="0001609D">
        <w:rPr>
          <w:rFonts w:ascii="Calibri" w:eastAsia="SimSun" w:hAnsi="Calibri" w:cs="Times New Roman"/>
          <w:kern w:val="0"/>
          <w:sz w:val="19"/>
          <w:szCs w:val="19"/>
          <w14:ligatures w14:val="none"/>
        </w:rPr>
        <w:t xml:space="preserve"> All coloured data is averaged by data points in coastal bins using a 100 km coastal mask. For each 100 km coastal mask, regions within 185 km of the coast were coloured on global maps for better visibility.</w:t>
      </w:r>
    </w:p>
    <w:p w14:paraId="66803E9F" w14:textId="77777777" w:rsidR="0001609D" w:rsidRPr="0001609D" w:rsidRDefault="0001609D" w:rsidP="0001609D">
      <w:pPr>
        <w:spacing w:after="200" w:line="259" w:lineRule="auto"/>
        <w:jc w:val="center"/>
        <w:rPr>
          <w:rFonts w:ascii="Calibri" w:eastAsia="SimSun" w:hAnsi="Calibri" w:cs="Times New Roman"/>
          <w:kern w:val="0"/>
          <w:sz w:val="22"/>
          <w:szCs w:val="22"/>
          <w14:ligatures w14:val="none"/>
        </w:rPr>
      </w:pPr>
    </w:p>
    <w:p w14:paraId="60EF3612" w14:textId="77777777" w:rsidR="0001609D" w:rsidRPr="0001609D" w:rsidRDefault="0001609D" w:rsidP="0001609D">
      <w:pPr>
        <w:spacing w:after="200" w:line="276" w:lineRule="auto"/>
        <w:rPr>
          <w:rFonts w:ascii="Calibri" w:eastAsia="MS Gothic" w:hAnsi="Calibri" w:cs="Times New Roman"/>
          <w:b/>
          <w:bCs/>
          <w:color w:val="000000"/>
          <w:kern w:val="0"/>
          <w:sz w:val="26"/>
          <w:szCs w:val="26"/>
          <w:lang w:eastAsia="en-US"/>
          <w14:ligatures w14:val="none"/>
        </w:rPr>
      </w:pPr>
      <w:r w:rsidRPr="0001609D">
        <w:rPr>
          <w:rFonts w:ascii="Cambria" w:eastAsia="MS Mincho" w:hAnsi="Cambria" w:cs="Arial"/>
          <w:kern w:val="0"/>
          <w:sz w:val="22"/>
          <w:szCs w:val="22"/>
          <w:lang w:eastAsia="en-US"/>
          <w14:ligatures w14:val="none"/>
        </w:rPr>
        <w:br w:type="page"/>
      </w:r>
    </w:p>
    <w:p w14:paraId="53FA4859" w14:textId="177A7638" w:rsidR="0001609D" w:rsidRPr="0001609D" w:rsidRDefault="0001609D" w:rsidP="0001609D">
      <w:pPr>
        <w:keepNext/>
        <w:keepLines/>
        <w:spacing w:before="240" w:after="120" w:line="259" w:lineRule="auto"/>
        <w:outlineLvl w:val="1"/>
        <w:rPr>
          <w:rFonts w:ascii="Calibri" w:eastAsia="SimSun" w:hAnsi="Calibri" w:cs="Times New Roman"/>
          <w:b/>
          <w:bCs/>
          <w:color w:val="000000"/>
          <w:kern w:val="0"/>
          <w:sz w:val="26"/>
          <w:szCs w:val="26"/>
          <w14:ligatures w14:val="none"/>
        </w:rPr>
      </w:pPr>
      <w:bookmarkStart w:id="6" w:name="_Toc241702907"/>
      <w:r w:rsidRPr="0001609D">
        <w:rPr>
          <w:rFonts w:ascii="Calibri" w:eastAsia="MS Gothic" w:hAnsi="Calibri" w:cs="Times New Roman"/>
          <w:b/>
          <w:bCs/>
          <w:color w:val="000000"/>
          <w:kern w:val="0"/>
          <w:sz w:val="26"/>
          <w:szCs w:val="26"/>
          <w:lang w:eastAsia="en-US"/>
          <w14:ligatures w14:val="none"/>
        </w:rPr>
        <w:lastRenderedPageBreak/>
        <w:t>Supplementary Fig</w:t>
      </w:r>
      <w:r w:rsidR="00EA312D">
        <w:rPr>
          <w:rFonts w:ascii="Calibri" w:hAnsi="Calibri" w:cs="Times New Roman" w:hint="eastAsia"/>
          <w:b/>
          <w:bCs/>
          <w:color w:val="000000"/>
          <w:kern w:val="0"/>
          <w:sz w:val="26"/>
          <w:szCs w:val="26"/>
          <w14:ligatures w14:val="none"/>
        </w:rPr>
        <w:t>ure 4:</w:t>
      </w:r>
      <w:r w:rsidRPr="0001609D">
        <w:rPr>
          <w:rFonts w:ascii="Calibri" w:eastAsia="MS Gothic" w:hAnsi="Calibri" w:cs="Times New Roman"/>
          <w:b/>
          <w:bCs/>
          <w:color w:val="000000"/>
          <w:kern w:val="0"/>
          <w:sz w:val="26"/>
          <w:szCs w:val="26"/>
          <w:lang w:eastAsia="en-US"/>
          <w14:ligatures w14:val="none"/>
        </w:rPr>
        <w:t xml:space="preserve"> Sensitivity of absorber-approach efficiency error to the gamma scaling and mixed layer depth clip.</w:t>
      </w:r>
      <w:bookmarkEnd w:id="6"/>
    </w:p>
    <w:p w14:paraId="43B6692E" w14:textId="77777777" w:rsidR="0001609D" w:rsidRPr="0001609D" w:rsidRDefault="0001609D" w:rsidP="0001609D">
      <w:pPr>
        <w:spacing w:line="259" w:lineRule="auto"/>
        <w:rPr>
          <w:rFonts w:ascii="Calibri" w:eastAsia="SimSun" w:hAnsi="Calibri" w:cs="Times New Roman"/>
          <w:kern w:val="0"/>
          <w:sz w:val="19"/>
          <w:szCs w:val="19"/>
          <w14:ligatures w14:val="none"/>
        </w:rPr>
      </w:pPr>
      <w:r w:rsidRPr="0001609D">
        <w:rPr>
          <w:rFonts w:ascii="Calibri" w:eastAsia="MS Mincho" w:hAnsi="Calibri" w:cs="Calibri"/>
          <w:noProof/>
          <w:kern w:val="0"/>
          <w:sz w:val="19"/>
          <w:szCs w:val="19"/>
          <w:lang w:eastAsia="en-US"/>
          <w14:ligatures w14:val="none"/>
        </w:rPr>
        <w:drawing>
          <wp:anchor distT="0" distB="0" distL="114300" distR="114300" simplePos="0" relativeHeight="251659264" behindDoc="0" locked="0" layoutInCell="1" allowOverlap="1" wp14:anchorId="370D8F52" wp14:editId="1E4000AD">
            <wp:simplePos x="0" y="0"/>
            <wp:positionH relativeFrom="margin">
              <wp:posOffset>158115</wp:posOffset>
            </wp:positionH>
            <wp:positionV relativeFrom="paragraph">
              <wp:posOffset>1339215</wp:posOffset>
            </wp:positionV>
            <wp:extent cx="5608320" cy="6504940"/>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11"/>
                    <a:srcRect t="5524" b="4909"/>
                    <a:stretch>
                      <a:fillRect/>
                    </a:stretch>
                  </pic:blipFill>
                  <pic:spPr bwMode="auto">
                    <a:xfrm>
                      <a:off x="0" y="0"/>
                      <a:ext cx="5608320" cy="6504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609D">
        <w:rPr>
          <w:rFonts w:ascii="Calibri" w:eastAsia="MS Mincho" w:hAnsi="Calibri" w:cs="Times New Roman"/>
          <w:kern w:val="0"/>
          <w:sz w:val="19"/>
          <w:szCs w:val="19"/>
          <w:lang w:eastAsia="en-US"/>
          <w14:ligatures w14:val="none"/>
        </w:rPr>
        <w:t xml:space="preserve">Absolute difference between absorber-approach and conventional-model mCDR efficiency as a function of the gamma scaling for CESM2 1°, ACCESS-OM2 1° and ACCESS-OM2 0.1° benchmark configurations. Coloured curves show simulation years 1-15, while the blue and black summary lines indicate the across-year average and maximum errors, respectively. Dashed red lines mark the selected gamma guides for each configuration: CESM2 1° = 1.5, ACCESS-OM2 1° = 1.8 and ACCESS-OM2 0.1° = 1.3. Panels a-c include all benchmark sites; panels d-f repeat the comparison after excluding polar bands or sites, where sea-ice and high-latitude circulation errors can dominate the mismatch with online simulations. Panels g-j test sensitivity to alternative mixed-layer-depth or absorber-height clipping choices. </w:t>
      </w:r>
    </w:p>
    <w:p w14:paraId="47EDE44D" w14:textId="33E00C6E" w:rsidR="0001609D" w:rsidRPr="0001609D" w:rsidRDefault="0001609D" w:rsidP="0001609D">
      <w:pPr>
        <w:keepNext/>
        <w:keepLines/>
        <w:spacing w:before="240" w:after="120" w:line="259" w:lineRule="auto"/>
        <w:outlineLvl w:val="1"/>
        <w:rPr>
          <w:rFonts w:ascii="Calibri" w:eastAsia="SimSun" w:hAnsi="Calibri" w:cs="Times New Roman"/>
          <w:b/>
          <w:bCs/>
          <w:color w:val="000000"/>
          <w:kern w:val="0"/>
          <w:sz w:val="26"/>
          <w:szCs w:val="26"/>
          <w14:ligatures w14:val="none"/>
        </w:rPr>
      </w:pPr>
      <w:bookmarkStart w:id="7" w:name="_Toc241702908"/>
      <w:r w:rsidRPr="0001609D">
        <w:rPr>
          <w:rFonts w:ascii="Calibri" w:eastAsia="MS Gothic" w:hAnsi="Calibri" w:cs="Times New Roman"/>
          <w:b/>
          <w:bCs/>
          <w:color w:val="000000"/>
          <w:kern w:val="0"/>
          <w:sz w:val="26"/>
          <w:szCs w:val="26"/>
          <w:lang w:eastAsia="en-US"/>
          <w14:ligatures w14:val="none"/>
        </w:rPr>
        <w:lastRenderedPageBreak/>
        <w:t>Supplementary Fig</w:t>
      </w:r>
      <w:r w:rsidR="00EA312D">
        <w:rPr>
          <w:rFonts w:ascii="Calibri" w:hAnsi="Calibri" w:cs="Times New Roman" w:hint="eastAsia"/>
          <w:b/>
          <w:bCs/>
          <w:color w:val="000000"/>
          <w:kern w:val="0"/>
          <w:sz w:val="26"/>
          <w:szCs w:val="26"/>
          <w14:ligatures w14:val="none"/>
        </w:rPr>
        <w:t>ure 5:</w:t>
      </w:r>
      <w:r w:rsidRPr="0001609D">
        <w:rPr>
          <w:rFonts w:ascii="Calibri" w:eastAsia="MS Gothic" w:hAnsi="Calibri" w:cs="Times New Roman"/>
          <w:b/>
          <w:bCs/>
          <w:color w:val="000000"/>
          <w:kern w:val="0"/>
          <w:sz w:val="26"/>
          <w:szCs w:val="26"/>
          <w:lang w:eastAsia="en-US"/>
          <w14:ligatures w14:val="none"/>
        </w:rPr>
        <w:t xml:space="preserve"> Sensitivity of mCDR efficiency calculated with the absorber approach to the number of absorbers used to assess mCDR efficiency.</w:t>
      </w:r>
      <w:bookmarkEnd w:id="7"/>
    </w:p>
    <w:p w14:paraId="0C5C289B" w14:textId="77777777" w:rsidR="0001609D" w:rsidRPr="0001609D" w:rsidRDefault="0001609D" w:rsidP="0001609D">
      <w:pPr>
        <w:spacing w:line="259" w:lineRule="auto"/>
        <w:rPr>
          <w:rFonts w:ascii="Calibri" w:eastAsia="SimSun" w:hAnsi="Calibri" w:cs="Times New Roman"/>
          <w:kern w:val="0"/>
          <w:sz w:val="19"/>
          <w:szCs w:val="19"/>
          <w14:ligatures w14:val="none"/>
        </w:rPr>
      </w:pPr>
      <w:r w:rsidRPr="0001609D">
        <w:rPr>
          <w:rFonts w:ascii="Calibri" w:eastAsia="MS Mincho" w:hAnsi="Calibri" w:cs="Times New Roman"/>
          <w:kern w:val="0"/>
          <w:sz w:val="19"/>
          <w:szCs w:val="19"/>
          <w:lang w:eastAsia="en-US"/>
          <w14:ligatures w14:val="none"/>
        </w:rPr>
        <w:t xml:space="preserve"> </w:t>
      </w:r>
      <w:r w:rsidRPr="0001609D">
        <w:rPr>
          <w:rFonts w:ascii="Calibri" w:eastAsia="SimSun" w:hAnsi="Calibri" w:cs="Times New Roman"/>
          <w:kern w:val="0"/>
          <w:sz w:val="19"/>
          <w:szCs w:val="19"/>
          <w14:ligatures w14:val="none"/>
        </w:rPr>
        <w:t>(</w:t>
      </w:r>
      <w:r w:rsidRPr="0001609D">
        <w:rPr>
          <w:rFonts w:ascii="Calibri" w:eastAsia="MS Mincho" w:hAnsi="Calibri" w:cs="Times New Roman"/>
          <w:kern w:val="0"/>
          <w:sz w:val="19"/>
          <w:szCs w:val="19"/>
          <w:lang w:eastAsia="en-US"/>
          <w14:ligatures w14:val="none"/>
        </w:rPr>
        <w:t>a</w:t>
      </w:r>
      <w:r w:rsidRPr="0001609D">
        <w:rPr>
          <w:rFonts w:ascii="Calibri" w:eastAsia="SimSun" w:hAnsi="Calibri" w:cs="Times New Roman"/>
          <w:kern w:val="0"/>
          <w:sz w:val="19"/>
          <w:szCs w:val="19"/>
          <w14:ligatures w14:val="none"/>
        </w:rPr>
        <w:t>)</w:t>
      </w:r>
      <w:r w:rsidRPr="0001609D">
        <w:rPr>
          <w:rFonts w:ascii="Calibri" w:eastAsia="MS Mincho" w:hAnsi="Calibri" w:cs="Times New Roman"/>
          <w:kern w:val="0"/>
          <w:sz w:val="19"/>
          <w:szCs w:val="19"/>
          <w:lang w:eastAsia="en-US"/>
          <w14:ligatures w14:val="none"/>
        </w:rPr>
        <w:t xml:space="preserve"> Comparison over the 14-month window for different numbers of absorbers (ranging from 6-3100) seeded at the 100 randomly selected test sites</w:t>
      </w:r>
      <w:r w:rsidRPr="0001609D">
        <w:rPr>
          <w:rFonts w:ascii="Calibri" w:eastAsia="SimSun" w:hAnsi="Calibri" w:cs="Times New Roman"/>
          <w:kern w:val="0"/>
          <w:sz w:val="19"/>
          <w:szCs w:val="19"/>
          <w:lang w:eastAsia="en-US"/>
          <w14:ligatures w14:val="none"/>
        </w:rPr>
        <w:t>.</w:t>
      </w:r>
      <w:r w:rsidRPr="0001609D">
        <w:rPr>
          <w:rFonts w:ascii="Calibri" w:eastAsia="MS Mincho" w:hAnsi="Calibri" w:cs="Times New Roman"/>
          <w:kern w:val="0"/>
          <w:sz w:val="19"/>
          <w:szCs w:val="19"/>
          <w:lang w:eastAsia="en-US"/>
          <w14:ligatures w14:val="none"/>
        </w:rPr>
        <w:t xml:space="preserve"> </w:t>
      </w:r>
      <w:r w:rsidRPr="0001609D">
        <w:rPr>
          <w:rFonts w:ascii="Calibri" w:eastAsia="SimSun" w:hAnsi="Calibri" w:cs="Times New Roman"/>
          <w:kern w:val="0"/>
          <w:sz w:val="19"/>
          <w:szCs w:val="19"/>
          <w14:ligatures w14:val="none"/>
        </w:rPr>
        <w:t>(</w:t>
      </w:r>
      <w:r w:rsidRPr="0001609D">
        <w:rPr>
          <w:rFonts w:ascii="Calibri" w:eastAsia="MS Mincho" w:hAnsi="Calibri" w:cs="Times New Roman"/>
          <w:kern w:val="0"/>
          <w:sz w:val="19"/>
          <w:szCs w:val="19"/>
          <w:lang w:eastAsia="en-US"/>
          <w14:ligatures w14:val="none"/>
        </w:rPr>
        <w:t>b</w:t>
      </w:r>
      <w:r w:rsidRPr="0001609D">
        <w:rPr>
          <w:rFonts w:ascii="Calibri" w:eastAsia="SimSun" w:hAnsi="Calibri" w:cs="Times New Roman"/>
          <w:kern w:val="0"/>
          <w:sz w:val="19"/>
          <w:szCs w:val="19"/>
          <w14:ligatures w14:val="none"/>
        </w:rPr>
        <w:t>)</w:t>
      </w:r>
      <w:r w:rsidRPr="0001609D">
        <w:rPr>
          <w:rFonts w:ascii="Calibri" w:eastAsia="MS Mincho" w:hAnsi="Calibri" w:cs="Times New Roman"/>
          <w:kern w:val="0"/>
          <w:sz w:val="19"/>
          <w:szCs w:val="19"/>
          <w:lang w:eastAsia="en-US"/>
          <w14:ligatures w14:val="none"/>
        </w:rPr>
        <w:t xml:space="preserve"> Same as in (a) but for a 10-year time window and only for seeding of 6 to 31 absorbers.  The half width of the 95% confidence intervals were calculated from four-release mean efficiency estimates.  </w:t>
      </w:r>
    </w:p>
    <w:p w14:paraId="468E727D" w14:textId="77777777" w:rsidR="0001609D" w:rsidRPr="0001609D" w:rsidRDefault="0001609D" w:rsidP="0001609D">
      <w:pPr>
        <w:spacing w:line="259" w:lineRule="auto"/>
        <w:rPr>
          <w:rFonts w:ascii="Calibri" w:eastAsia="MS Mincho" w:hAnsi="Calibri" w:cs="Times New Roman"/>
          <w:color w:val="4F81BD"/>
          <w:kern w:val="0"/>
          <w:sz w:val="19"/>
          <w:szCs w:val="19"/>
          <w:lang w:eastAsia="en-US"/>
          <w14:ligatures w14:val="none"/>
        </w:rPr>
      </w:pPr>
      <w:r w:rsidRPr="0001609D">
        <w:rPr>
          <w:rFonts w:ascii="Calibri" w:eastAsia="MS Mincho" w:hAnsi="Calibri" w:cs="Calibri"/>
          <w:noProof/>
          <w:kern w:val="0"/>
          <w:sz w:val="22"/>
          <w:szCs w:val="22"/>
          <w:lang w:eastAsia="en-US"/>
          <w14:ligatures w14:val="none"/>
        </w:rPr>
        <w:drawing>
          <wp:anchor distT="0" distB="0" distL="114300" distR="114300" simplePos="0" relativeHeight="251660288" behindDoc="0" locked="0" layoutInCell="1" allowOverlap="1" wp14:anchorId="1866B60E" wp14:editId="3762FC52">
            <wp:simplePos x="0" y="0"/>
            <wp:positionH relativeFrom="margin">
              <wp:posOffset>0</wp:posOffset>
            </wp:positionH>
            <wp:positionV relativeFrom="paragraph">
              <wp:posOffset>300051</wp:posOffset>
            </wp:positionV>
            <wp:extent cx="5937250" cy="4865370"/>
            <wp:effectExtent l="0" t="0" r="6350" b="0"/>
            <wp:wrapTopAndBottom/>
            <wp:docPr id="163133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3969" name="Picture 1"/>
                    <pic:cNvPicPr>
                      <a:picLocks noChangeAspect="1" noChangeArrowheads="1"/>
                    </pic:cNvPicPr>
                  </pic:nvPicPr>
                  <pic:blipFill>
                    <a:blip r:embed="rId12"/>
                    <a:stretch>
                      <a:fillRect/>
                    </a:stretch>
                  </pic:blipFill>
                  <pic:spPr bwMode="auto">
                    <a:xfrm>
                      <a:off x="0" y="0"/>
                      <a:ext cx="5937250" cy="4865370"/>
                    </a:xfrm>
                    <a:prstGeom prst="rect">
                      <a:avLst/>
                    </a:prstGeom>
                    <a:noFill/>
                    <a:ln>
                      <a:noFill/>
                    </a:ln>
                  </pic:spPr>
                </pic:pic>
              </a:graphicData>
            </a:graphic>
            <wp14:sizeRelH relativeFrom="margin">
              <wp14:pctWidth>0</wp14:pctWidth>
            </wp14:sizeRelH>
          </wp:anchor>
        </w:drawing>
      </w:r>
    </w:p>
    <w:p w14:paraId="33DEBCE4" w14:textId="77777777" w:rsidR="00F330BA" w:rsidRDefault="00F330BA"/>
    <w:sectPr w:rsidR="00F330BA" w:rsidSect="0001609D">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5F949" w14:textId="77777777" w:rsidR="007D1435" w:rsidRDefault="007D1435">
      <w:pPr>
        <w:spacing w:after="0" w:line="240" w:lineRule="auto"/>
      </w:pPr>
      <w:r>
        <w:separator/>
      </w:r>
    </w:p>
  </w:endnote>
  <w:endnote w:type="continuationSeparator" w:id="0">
    <w:p w14:paraId="0EDB2A2E" w14:textId="77777777" w:rsidR="007D1435" w:rsidRDefault="007D1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01609D" w:rsidRPr="00394319" w14:paraId="0F04F034" w14:textId="77777777" w:rsidTr="7AFC41E6">
      <w:trPr>
        <w:trHeight w:val="300"/>
      </w:trPr>
      <w:tc>
        <w:tcPr>
          <w:tcW w:w="3120" w:type="dxa"/>
        </w:tcPr>
        <w:p w14:paraId="4E34A0BB" w14:textId="77777777" w:rsidR="0001609D" w:rsidRPr="00394319" w:rsidRDefault="0001609D" w:rsidP="432A8BF6">
          <w:pPr>
            <w:pStyle w:val="Header"/>
            <w:ind w:left="-115"/>
          </w:pPr>
        </w:p>
      </w:tc>
      <w:tc>
        <w:tcPr>
          <w:tcW w:w="3120" w:type="dxa"/>
        </w:tcPr>
        <w:p w14:paraId="54070CE2" w14:textId="77777777" w:rsidR="0001609D" w:rsidRPr="00394319" w:rsidRDefault="0001609D" w:rsidP="432A8BF6">
          <w:pPr>
            <w:pStyle w:val="Header"/>
            <w:jc w:val="center"/>
          </w:pPr>
        </w:p>
      </w:tc>
      <w:tc>
        <w:tcPr>
          <w:tcW w:w="3120" w:type="dxa"/>
        </w:tcPr>
        <w:p w14:paraId="2D8629F9" w14:textId="77777777" w:rsidR="0001609D" w:rsidRPr="00394319" w:rsidRDefault="0001609D" w:rsidP="432A8BF6">
          <w:pPr>
            <w:pStyle w:val="Header"/>
            <w:ind w:right="-115"/>
            <w:jc w:val="right"/>
          </w:pPr>
        </w:p>
      </w:tc>
    </w:tr>
  </w:tbl>
  <w:p w14:paraId="4B7FBDF3" w14:textId="77777777" w:rsidR="0001609D" w:rsidRPr="00394319" w:rsidRDefault="000160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84D4F" w14:textId="77777777" w:rsidR="007D1435" w:rsidRDefault="007D1435">
      <w:pPr>
        <w:spacing w:after="0" w:line="240" w:lineRule="auto"/>
      </w:pPr>
      <w:r>
        <w:separator/>
      </w:r>
    </w:p>
  </w:footnote>
  <w:footnote w:type="continuationSeparator" w:id="0">
    <w:p w14:paraId="529D3BE1" w14:textId="77777777" w:rsidR="007D1435" w:rsidRDefault="007D1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01609D" w:rsidRPr="00394319" w14:paraId="6162E074" w14:textId="77777777" w:rsidTr="7AFC41E6">
      <w:trPr>
        <w:trHeight w:val="300"/>
      </w:trPr>
      <w:tc>
        <w:tcPr>
          <w:tcW w:w="3120" w:type="dxa"/>
        </w:tcPr>
        <w:p w14:paraId="6B76A955" w14:textId="77777777" w:rsidR="0001609D" w:rsidRPr="00394319" w:rsidRDefault="0001609D" w:rsidP="432A8BF6">
          <w:pPr>
            <w:pStyle w:val="Header"/>
            <w:ind w:left="-115"/>
          </w:pPr>
        </w:p>
      </w:tc>
      <w:tc>
        <w:tcPr>
          <w:tcW w:w="3120" w:type="dxa"/>
        </w:tcPr>
        <w:p w14:paraId="424B1006" w14:textId="77777777" w:rsidR="0001609D" w:rsidRPr="00394319" w:rsidRDefault="0001609D" w:rsidP="432A8BF6">
          <w:pPr>
            <w:pStyle w:val="Header"/>
            <w:jc w:val="center"/>
          </w:pPr>
        </w:p>
      </w:tc>
      <w:tc>
        <w:tcPr>
          <w:tcW w:w="3120" w:type="dxa"/>
        </w:tcPr>
        <w:p w14:paraId="54B2909E" w14:textId="77777777" w:rsidR="0001609D" w:rsidRPr="00394319" w:rsidRDefault="0001609D" w:rsidP="432A8BF6">
          <w:pPr>
            <w:pStyle w:val="Header"/>
            <w:ind w:right="-115"/>
            <w:jc w:val="right"/>
          </w:pPr>
        </w:p>
      </w:tc>
    </w:tr>
  </w:tbl>
  <w:p w14:paraId="2949A0ED" w14:textId="77777777" w:rsidR="0001609D" w:rsidRPr="00394319" w:rsidRDefault="000160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0BA"/>
    <w:rsid w:val="0001609D"/>
    <w:rsid w:val="00061AB1"/>
    <w:rsid w:val="004A32B4"/>
    <w:rsid w:val="0064205C"/>
    <w:rsid w:val="0072423A"/>
    <w:rsid w:val="007D1435"/>
    <w:rsid w:val="00876AC7"/>
    <w:rsid w:val="00B27C8E"/>
    <w:rsid w:val="00C417DA"/>
    <w:rsid w:val="00EA312D"/>
    <w:rsid w:val="00F330BA"/>
    <w:rsid w:val="00FB302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503F8"/>
  <w15:chartTrackingRefBased/>
  <w15:docId w15:val="{6E5D367A-30D2-468A-9D14-A486813D9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30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30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30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30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30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30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0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0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0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0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30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30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30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30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30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0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0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0BA"/>
    <w:rPr>
      <w:rFonts w:eastAsiaTheme="majorEastAsia" w:cstheme="majorBidi"/>
      <w:color w:val="272727" w:themeColor="text1" w:themeTint="D8"/>
    </w:rPr>
  </w:style>
  <w:style w:type="paragraph" w:styleId="Title">
    <w:name w:val="Title"/>
    <w:basedOn w:val="Normal"/>
    <w:next w:val="Normal"/>
    <w:link w:val="TitleChar"/>
    <w:uiPriority w:val="10"/>
    <w:qFormat/>
    <w:rsid w:val="00F330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0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0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0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0BA"/>
    <w:pPr>
      <w:spacing w:before="160"/>
      <w:jc w:val="center"/>
    </w:pPr>
    <w:rPr>
      <w:i/>
      <w:iCs/>
      <w:color w:val="404040" w:themeColor="text1" w:themeTint="BF"/>
    </w:rPr>
  </w:style>
  <w:style w:type="character" w:customStyle="1" w:styleId="QuoteChar">
    <w:name w:val="Quote Char"/>
    <w:basedOn w:val="DefaultParagraphFont"/>
    <w:link w:val="Quote"/>
    <w:uiPriority w:val="29"/>
    <w:rsid w:val="00F330BA"/>
    <w:rPr>
      <w:i/>
      <w:iCs/>
      <w:color w:val="404040" w:themeColor="text1" w:themeTint="BF"/>
    </w:rPr>
  </w:style>
  <w:style w:type="paragraph" w:styleId="ListParagraph">
    <w:name w:val="List Paragraph"/>
    <w:basedOn w:val="Normal"/>
    <w:uiPriority w:val="34"/>
    <w:qFormat/>
    <w:rsid w:val="00F330BA"/>
    <w:pPr>
      <w:ind w:left="720"/>
      <w:contextualSpacing/>
    </w:pPr>
  </w:style>
  <w:style w:type="character" w:styleId="IntenseEmphasis">
    <w:name w:val="Intense Emphasis"/>
    <w:basedOn w:val="DefaultParagraphFont"/>
    <w:uiPriority w:val="21"/>
    <w:qFormat/>
    <w:rsid w:val="00F330BA"/>
    <w:rPr>
      <w:i/>
      <w:iCs/>
      <w:color w:val="0F4761" w:themeColor="accent1" w:themeShade="BF"/>
    </w:rPr>
  </w:style>
  <w:style w:type="paragraph" w:styleId="IntenseQuote">
    <w:name w:val="Intense Quote"/>
    <w:basedOn w:val="Normal"/>
    <w:next w:val="Normal"/>
    <w:link w:val="IntenseQuoteChar"/>
    <w:uiPriority w:val="30"/>
    <w:qFormat/>
    <w:rsid w:val="00F330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0BA"/>
    <w:rPr>
      <w:i/>
      <w:iCs/>
      <w:color w:val="0F4761" w:themeColor="accent1" w:themeShade="BF"/>
    </w:rPr>
  </w:style>
  <w:style w:type="character" w:styleId="IntenseReference">
    <w:name w:val="Intense Reference"/>
    <w:basedOn w:val="DefaultParagraphFont"/>
    <w:uiPriority w:val="32"/>
    <w:qFormat/>
    <w:rsid w:val="00F330BA"/>
    <w:rPr>
      <w:b/>
      <w:bCs/>
      <w:smallCaps/>
      <w:color w:val="0F4761" w:themeColor="accent1" w:themeShade="BF"/>
      <w:spacing w:val="5"/>
    </w:rPr>
  </w:style>
  <w:style w:type="paragraph" w:styleId="Header">
    <w:name w:val="header"/>
    <w:basedOn w:val="Normal"/>
    <w:link w:val="HeaderChar"/>
    <w:uiPriority w:val="99"/>
    <w:semiHidden/>
    <w:unhideWhenUsed/>
    <w:rsid w:val="0001609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1609D"/>
  </w:style>
  <w:style w:type="paragraph" w:styleId="Footer">
    <w:name w:val="footer"/>
    <w:basedOn w:val="Normal"/>
    <w:link w:val="FooterChar"/>
    <w:uiPriority w:val="99"/>
    <w:semiHidden/>
    <w:unhideWhenUsed/>
    <w:rsid w:val="0001609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1609D"/>
  </w:style>
  <w:style w:type="paragraph" w:customStyle="1" w:styleId="ManuscriptTitle">
    <w:name w:val="Manuscript Title"/>
    <w:basedOn w:val="Normal"/>
    <w:uiPriority w:val="1"/>
    <w:rsid w:val="00B27C8E"/>
    <w:pPr>
      <w:spacing w:after="240" w:line="259" w:lineRule="auto"/>
    </w:pPr>
    <w:rPr>
      <w:b/>
      <w:bCs/>
      <w:kern w:val="0"/>
      <w:sz w:val="36"/>
      <w:szCs w:val="36"/>
      <w:lang w:eastAsia="en-US"/>
      <w14:ligatures w14:val="none"/>
    </w:rPr>
  </w:style>
  <w:style w:type="paragraph" w:styleId="TOCHeading">
    <w:name w:val="TOC Heading"/>
    <w:basedOn w:val="Heading1"/>
    <w:next w:val="Normal"/>
    <w:uiPriority w:val="39"/>
    <w:unhideWhenUsed/>
    <w:qFormat/>
    <w:rsid w:val="00876AC7"/>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876AC7"/>
    <w:pPr>
      <w:spacing w:after="100"/>
      <w:ind w:left="240"/>
    </w:pPr>
  </w:style>
  <w:style w:type="character" w:styleId="Hyperlink">
    <w:name w:val="Hyperlink"/>
    <w:basedOn w:val="DefaultParagraphFont"/>
    <w:uiPriority w:val="99"/>
    <w:unhideWhenUsed/>
    <w:rsid w:val="00876AC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yinghuan.xie@utas.edu.au" TargetMode="Externa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7FE3E-C03B-4E21-BE97-0092799A9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3279</Words>
  <Characters>18692</Characters>
  <Application>Microsoft Office Word</Application>
  <DocSecurity>0</DocSecurity>
  <Lines>155</Lines>
  <Paragraphs>43</Paragraphs>
  <ScaleCrop>false</ScaleCrop>
  <Company/>
  <LinksUpToDate>false</LinksUpToDate>
  <CharactersWithSpaces>21928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Yinghuan Xie</dc:creator>
  <cp:keywords/>
  <dc:description/>
  <cp:lastModifiedBy>Yinghuan Xie</cp:lastModifiedBy>
  <cp:revision>10</cp:revision>
  <dcterms:created xsi:type="dcterms:W3CDTF">2026-10-01T03:20:00Z</dcterms:created>
  <dcterms:modified xsi:type="dcterms:W3CDTF">2026-10-01T04:07:00Z</dcterms:modified>
</cp:coreProperties>
</file>