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6D8C77" w14:textId="28BE6CFC" w:rsidR="0030317E" w:rsidRPr="0030317E" w:rsidRDefault="0030317E" w:rsidP="0030317E">
      <w:pPr>
        <w:jc w:val="center"/>
        <w:rPr>
          <w:rFonts w:cstheme="minorHAnsi"/>
          <w:b/>
          <w:bCs/>
          <w:lang w:eastAsia="ja-JP"/>
        </w:rPr>
      </w:pPr>
      <w:r w:rsidRPr="0030317E">
        <w:rPr>
          <w:rFonts w:cstheme="minorHAnsi"/>
          <w:b/>
          <w:bCs/>
          <w:lang w:eastAsia="ja-JP"/>
        </w:rPr>
        <w:t xml:space="preserve">A single-blinded, </w:t>
      </w:r>
      <w:r w:rsidR="00880C2D">
        <w:rPr>
          <w:rFonts w:cstheme="minorHAnsi"/>
          <w:b/>
          <w:bCs/>
          <w:lang w:eastAsia="ja-JP"/>
        </w:rPr>
        <w:t xml:space="preserve">IDEAL stage 3, </w:t>
      </w:r>
      <w:r w:rsidRPr="0030317E">
        <w:rPr>
          <w:rFonts w:cstheme="minorHAnsi"/>
          <w:b/>
          <w:bCs/>
          <w:lang w:eastAsia="ja-JP"/>
        </w:rPr>
        <w:t>multi-centre, randomised controlled trial of NeuroSAFE robotic-assisted radical prostatectomy versus standard robotic-assisted radical prostatectomy in men with localized prostate cancer (NeuroSAFE PROOF): a study protocol.</w:t>
      </w:r>
    </w:p>
    <w:p w14:paraId="0DD6DFA8" w14:textId="7FB28F30" w:rsidR="00753782" w:rsidRPr="0030317E" w:rsidRDefault="00753782">
      <w:pPr>
        <w:rPr>
          <w:rFonts w:cstheme="minorHAnsi"/>
        </w:rPr>
      </w:pPr>
    </w:p>
    <w:p w14:paraId="002C1C1A" w14:textId="373EC812" w:rsidR="0030317E" w:rsidRPr="0030317E" w:rsidRDefault="0030317E">
      <w:pPr>
        <w:rPr>
          <w:rFonts w:cstheme="minorHAnsi"/>
        </w:rPr>
      </w:pPr>
    </w:p>
    <w:p w14:paraId="7E8E1DF9" w14:textId="5D334649" w:rsidR="0030317E" w:rsidRPr="0030317E" w:rsidRDefault="0030317E" w:rsidP="0030317E">
      <w:pPr>
        <w:jc w:val="center"/>
        <w:rPr>
          <w:rFonts w:cstheme="minorHAnsi"/>
          <w:b/>
          <w:bCs/>
        </w:rPr>
      </w:pPr>
      <w:r w:rsidRPr="0030317E">
        <w:rPr>
          <w:rFonts w:cstheme="minorHAnsi"/>
          <w:b/>
          <w:bCs/>
        </w:rPr>
        <w:t>Supplementary Material</w:t>
      </w:r>
    </w:p>
    <w:p w14:paraId="7966794A" w14:textId="7F3B54FC" w:rsidR="00753782" w:rsidRPr="0030317E" w:rsidRDefault="00753782">
      <w:pPr>
        <w:rPr>
          <w:rFonts w:cstheme="minorHAnsi"/>
        </w:rPr>
      </w:pPr>
    </w:p>
    <w:p w14:paraId="223834CB" w14:textId="614E234A" w:rsidR="0030317E" w:rsidRPr="0030317E" w:rsidRDefault="0030317E">
      <w:pPr>
        <w:rPr>
          <w:rFonts w:cstheme="minorHAnsi"/>
        </w:rPr>
      </w:pPr>
    </w:p>
    <w:p w14:paraId="64D8F129" w14:textId="77777777" w:rsidR="0030317E" w:rsidRPr="0030317E" w:rsidRDefault="0030317E" w:rsidP="0030317E">
      <w:pPr>
        <w:rPr>
          <w:rFonts w:cstheme="minorHAnsi"/>
          <w:b/>
          <w:bCs/>
        </w:rPr>
      </w:pPr>
      <w:r w:rsidRPr="0030317E">
        <w:rPr>
          <w:rFonts w:cstheme="minorHAnsi"/>
          <w:b/>
          <w:bCs/>
        </w:rPr>
        <w:t>Data Management</w:t>
      </w:r>
    </w:p>
    <w:p w14:paraId="71A8A8BA" w14:textId="77777777" w:rsidR="0030317E" w:rsidRPr="0030317E" w:rsidRDefault="0030317E" w:rsidP="0030317E">
      <w:pPr>
        <w:rPr>
          <w:rFonts w:cstheme="minorHAnsi"/>
        </w:rPr>
      </w:pPr>
    </w:p>
    <w:p w14:paraId="6E5DEAEB" w14:textId="235E5E61" w:rsidR="0030317E" w:rsidRPr="0030317E" w:rsidRDefault="0030317E" w:rsidP="0030317E">
      <w:pPr>
        <w:rPr>
          <w:rFonts w:cstheme="minorHAnsi"/>
        </w:rPr>
      </w:pPr>
      <w:r w:rsidRPr="0030317E">
        <w:rPr>
          <w:rFonts w:cstheme="minorHAnsi"/>
        </w:rPr>
        <w:t>To ensure high-quality trial conduct, data management will be carried out according to the principles of the International Council of Harmonisation Good Clinical Practice</w:t>
      </w:r>
      <w:r w:rsidRPr="0030317E">
        <w:rPr>
          <w:rFonts w:cstheme="minorHAnsi"/>
        </w:rPr>
        <w:fldChar w:fldCharType="begin"/>
      </w:r>
      <w:r w:rsidRPr="0030317E">
        <w:rPr>
          <w:rFonts w:cstheme="minorHAnsi"/>
        </w:rPr>
        <w:instrText xml:space="preserve"> ADDIN EN.CITE &lt;EndNote&gt;&lt;Cite&gt;&lt;Author&gt;Dixon&lt;/Author&gt;&lt;Year&gt;1998&lt;/Year&gt;&lt;RecNum&gt;152&lt;/RecNum&gt;&lt;DisplayText&gt;(37)&lt;/DisplayText&gt;&lt;record&gt;&lt;rec-number&gt;152&lt;/rec-number&gt;&lt;foreign-keys&gt;&lt;key app="EN" db-id="xfteap0vte905west97555r5vw00e2axxwze" timestamp="1608148855"&gt;152&lt;/key&gt;&lt;/foreign-keys&gt;&lt;ref-type name="Journal Article"&gt;17&lt;/ref-type&gt;&lt;contributors&gt;&lt;authors&gt;&lt;author&gt;Dixon, J. R., Jr.&lt;/author&gt;&lt;/authors&gt;&lt;/contributors&gt;&lt;auth-address&gt;Triangle Pharmaceutical, Durham, NC 27707, USA.&lt;/auth-address&gt;&lt;titles&gt;&lt;title&gt;The International Conference on Harmonization Good Clinical Practice guideline&lt;/title&gt;&lt;secondary-title&gt;Qual Assur&lt;/secondary-title&gt;&lt;/titles&gt;&lt;periodical&gt;&lt;full-title&gt;Qual Assur&lt;/full-title&gt;&lt;/periodical&gt;&lt;pages&gt;65-74&lt;/pages&gt;&lt;volume&gt;6&lt;/volume&gt;&lt;number&gt;2&lt;/number&gt;&lt;edition&gt;1999/07/01&lt;/edition&gt;&lt;keywords&gt;&lt;keyword&gt;Clinical Trials as Topic/legislation &amp;amp; jurisprudence/*standards&lt;/keyword&gt;&lt;keyword&gt;Europe&lt;/keyword&gt;&lt;keyword&gt;Forms and Records Control&lt;/keyword&gt;&lt;keyword&gt;*Guidelines as Topic&lt;/keyword&gt;&lt;keyword&gt;Human Experimentation/*legislation &amp;amp; jurisprudence&lt;/keyword&gt;&lt;keyword&gt;Humans&lt;/keyword&gt;&lt;keyword&gt;Informed Consent&lt;/keyword&gt;&lt;keyword&gt;*International Cooperation&lt;/keyword&gt;&lt;keyword&gt;Investigational New Drug Application&lt;/keyword&gt;&lt;keyword&gt;Japan&lt;/keyword&gt;&lt;keyword&gt;Organizational Objectives&lt;/keyword&gt;&lt;keyword&gt;Professional Staff Committees&lt;/keyword&gt;&lt;keyword&gt;*Quality Control&lt;/keyword&gt;&lt;keyword&gt;United States&lt;/keyword&gt;&lt;/keywords&gt;&lt;dates&gt;&lt;year&gt;1998&lt;/year&gt;&lt;pub-dates&gt;&lt;date&gt;Apr-Jun&lt;/date&gt;&lt;/pub-dates&gt;&lt;/dates&gt;&lt;isbn&gt;1052-9411 (Print)&amp;#xD;1052-9411 (Linking)&lt;/isbn&gt;&lt;accession-num&gt;10386329&lt;/accession-num&gt;&lt;urls&gt;&lt;related-urls&gt;&lt;url&gt;https://www.ncbi.nlm.nih.gov/pubmed/10386329&lt;/url&gt;&lt;/related-urls&gt;&lt;/urls&gt;&lt;electronic-resource-num&gt;10.1080/105294199277860&lt;/electronic-resource-num&gt;&lt;/record&gt;&lt;/Cite&gt;&lt;/EndNote&gt;</w:instrText>
      </w:r>
      <w:r w:rsidR="00AB22B5">
        <w:rPr>
          <w:rFonts w:cstheme="minorHAnsi"/>
        </w:rPr>
        <w:fldChar w:fldCharType="separate"/>
      </w:r>
      <w:r w:rsidRPr="0030317E">
        <w:rPr>
          <w:rFonts w:cstheme="minorHAnsi"/>
        </w:rPr>
        <w:fldChar w:fldCharType="end"/>
      </w:r>
      <w:r w:rsidRPr="0030317E">
        <w:rPr>
          <w:rFonts w:cstheme="minorHAnsi"/>
        </w:rPr>
        <w:t xml:space="preserve">. Data will be entered onto a purpose-designed web-based electronic case report form (eCRF) system. Quality control is carried out routinely. Data types, entries and permitted ranges for answers to every question on the eCRFs are restricted on this web-based system. Automatic validation checks and automatic queries are raised by the system immediately to individual sites in the case of queries. Authorised individuals from the TMG may also check the data for quality and may pose manual queries to site. A proportion of the participating sites’ </w:t>
      </w:r>
      <w:proofErr w:type="spellStart"/>
      <w:r w:rsidRPr="0030317E">
        <w:rPr>
          <w:rFonts w:cstheme="minorHAnsi"/>
        </w:rPr>
        <w:t>mpMRI</w:t>
      </w:r>
      <w:proofErr w:type="spellEnd"/>
      <w:r w:rsidRPr="0030317E">
        <w:rPr>
          <w:rFonts w:cstheme="minorHAnsi"/>
        </w:rPr>
        <w:t xml:space="preserve"> and histopathology may be verified centrally.</w:t>
      </w:r>
    </w:p>
    <w:p w14:paraId="240A233F" w14:textId="77777777" w:rsidR="0030317E" w:rsidRPr="0030317E" w:rsidRDefault="0030317E" w:rsidP="0030317E">
      <w:pPr>
        <w:rPr>
          <w:rFonts w:cstheme="minorHAnsi"/>
          <w:b/>
          <w:bCs/>
        </w:rPr>
      </w:pPr>
    </w:p>
    <w:p w14:paraId="33F6F4B0" w14:textId="1DBE2A02" w:rsidR="0030317E" w:rsidRPr="0030317E" w:rsidRDefault="0030317E" w:rsidP="0030317E">
      <w:pPr>
        <w:rPr>
          <w:rFonts w:cstheme="minorHAnsi"/>
        </w:rPr>
      </w:pPr>
      <w:r w:rsidRPr="0030317E">
        <w:rPr>
          <w:rStyle w:val="Hyperlink"/>
          <w:rFonts w:cstheme="minorHAnsi"/>
          <w:color w:val="000000" w:themeColor="text1"/>
          <w:u w:val="none"/>
        </w:rPr>
        <w:t xml:space="preserve">NeuroSAFE PROOF will comply with all information governance and confidentiality guidelines for the performance of clinical research. After completion of the study, the database will be retained on the servers of University College London for ongoing analysis of secondary outcomes. </w:t>
      </w:r>
      <w:r w:rsidRPr="0030317E">
        <w:rPr>
          <w:rFonts w:cstheme="minorHAnsi"/>
        </w:rPr>
        <w:t>The identification, screening and enrolment logs, linking participant identifiable data to the pseudo-anonymised subject numbers will be held in written form in a locked filing cabinet. After completion of the study, sites will store screening and enrolment logs securely for 10 years.</w:t>
      </w:r>
    </w:p>
    <w:p w14:paraId="2415E4BF" w14:textId="77777777" w:rsidR="0030317E" w:rsidRPr="0030317E" w:rsidRDefault="0030317E" w:rsidP="0030317E">
      <w:pPr>
        <w:rPr>
          <w:rFonts w:cstheme="minorHAnsi"/>
        </w:rPr>
      </w:pPr>
    </w:p>
    <w:p w14:paraId="307E3566" w14:textId="77777777" w:rsidR="00BD3548" w:rsidRDefault="00BD3548">
      <w:pPr>
        <w:rPr>
          <w:rFonts w:eastAsia="Arial Unicode MS" w:cstheme="minorHAnsi"/>
          <w:b/>
          <w:bCs/>
        </w:rPr>
      </w:pPr>
      <w:r>
        <w:rPr>
          <w:rFonts w:cstheme="minorHAnsi"/>
          <w:b/>
          <w:bCs/>
        </w:rPr>
        <w:br w:type="page"/>
      </w:r>
    </w:p>
    <w:p w14:paraId="0A1FBBD4" w14:textId="23989AFA" w:rsidR="0030317E" w:rsidRPr="0030317E" w:rsidRDefault="0030317E" w:rsidP="0030317E">
      <w:pPr>
        <w:pStyle w:val="NormalWeb"/>
        <w:rPr>
          <w:rFonts w:asciiTheme="minorHAnsi" w:hAnsiTheme="minorHAnsi" w:cstheme="minorHAnsi"/>
          <w:b/>
          <w:bCs/>
          <w:sz w:val="24"/>
          <w:szCs w:val="24"/>
        </w:rPr>
      </w:pPr>
      <w:r w:rsidRPr="0030317E">
        <w:rPr>
          <w:rFonts w:asciiTheme="minorHAnsi" w:hAnsiTheme="minorHAnsi" w:cstheme="minorHAnsi"/>
          <w:b/>
          <w:bCs/>
          <w:sz w:val="24"/>
          <w:szCs w:val="24"/>
        </w:rPr>
        <w:lastRenderedPageBreak/>
        <w:t>Safety &amp; Harms</w:t>
      </w:r>
    </w:p>
    <w:p w14:paraId="7E755F78" w14:textId="02401D04" w:rsidR="0030317E" w:rsidRPr="0030317E" w:rsidRDefault="0030317E" w:rsidP="0030317E">
      <w:pPr>
        <w:rPr>
          <w:rFonts w:cstheme="minorHAnsi"/>
        </w:rPr>
      </w:pPr>
      <w:r w:rsidRPr="0030317E">
        <w:rPr>
          <w:rFonts w:cstheme="minorHAnsi"/>
        </w:rPr>
        <w:t xml:space="preserve">In addition to routine oncological outcome assessment by the </w:t>
      </w:r>
      <w:r w:rsidR="00C047F3">
        <w:rPr>
          <w:rFonts w:cstheme="minorHAnsi"/>
        </w:rPr>
        <w:t>I</w:t>
      </w:r>
      <w:r w:rsidRPr="0030317E">
        <w:rPr>
          <w:rFonts w:cstheme="minorHAnsi"/>
        </w:rPr>
        <w:t xml:space="preserve">DMC, the number of adverse events and serious adverse events (SAEs) will be summarised for review by the </w:t>
      </w:r>
      <w:r w:rsidR="00C047F3">
        <w:rPr>
          <w:rFonts w:cstheme="minorHAnsi"/>
        </w:rPr>
        <w:t>I</w:t>
      </w:r>
      <w:r w:rsidRPr="0030317E">
        <w:rPr>
          <w:rFonts w:cstheme="minorHAnsi"/>
        </w:rPr>
        <w:t xml:space="preserve">DMC. RARP is a major surgery that has several recognized complications and a very low risk of death (less than 1 in 1000). The TMG will ask sites to submit complication data blinded by treatment arm.  This will be assigned </w:t>
      </w:r>
      <w:proofErr w:type="spellStart"/>
      <w:r w:rsidRPr="0030317E">
        <w:rPr>
          <w:rFonts w:cstheme="minorHAnsi"/>
        </w:rPr>
        <w:t>Clavien-Dindo</w:t>
      </w:r>
      <w:proofErr w:type="spellEnd"/>
      <w:r w:rsidRPr="0030317E">
        <w:rPr>
          <w:rFonts w:cstheme="minorHAnsi"/>
        </w:rPr>
        <w:t xml:space="preserve"> classification centrally. </w:t>
      </w:r>
    </w:p>
    <w:p w14:paraId="77DC8C48" w14:textId="77777777" w:rsidR="0030317E" w:rsidRPr="0030317E" w:rsidRDefault="0030317E" w:rsidP="0030317E">
      <w:pPr>
        <w:rPr>
          <w:rFonts w:cstheme="minorHAnsi"/>
        </w:rPr>
      </w:pPr>
    </w:p>
    <w:p w14:paraId="62FE9293" w14:textId="2E8A2A2C" w:rsidR="0030317E" w:rsidRPr="00BD3548" w:rsidRDefault="0030317E" w:rsidP="0030317E">
      <w:pPr>
        <w:rPr>
          <w:rFonts w:cstheme="minorHAnsi"/>
        </w:rPr>
      </w:pPr>
      <w:r w:rsidRPr="0030317E">
        <w:rPr>
          <w:rFonts w:cstheme="minorHAnsi"/>
        </w:rPr>
        <w:t xml:space="preserve">All SAEs will be recorded in the medical records, the eCRF, the sponsor’s AE log, and an SAE form. The site principal investigator (PI) or designated individual will complete an SAE form, and the form will be sent to the trial manager within five working days of becoming aware of the event. The CI or site PI will respond to any SAE queries raised by the sponsor as soon as possible. Where the event is unexpected and thought to be related to the procedure, this must be reported by the PI to the trial unit, who will then inform the Health Research Authority within 15 days. </w:t>
      </w:r>
      <w:r w:rsidRPr="0030317E">
        <w:rPr>
          <w:rFonts w:cstheme="minorHAnsi"/>
          <w:color w:val="000000" w:themeColor="text1"/>
        </w:rPr>
        <w:t>The following are expected AEs following RARP with their corresponding likelihoods:</w:t>
      </w:r>
    </w:p>
    <w:p w14:paraId="5B4A0B4F" w14:textId="77777777" w:rsidR="0030317E" w:rsidRPr="0030317E" w:rsidRDefault="0030317E" w:rsidP="0030317E">
      <w:pPr>
        <w:rPr>
          <w:rFonts w:cstheme="minorHAnsi"/>
          <w:color w:val="000000" w:themeColor="text1"/>
        </w:rPr>
      </w:pPr>
    </w:p>
    <w:p w14:paraId="42A0C3D8" w14:textId="77777777" w:rsidR="0030317E" w:rsidRPr="0030317E" w:rsidRDefault="0030317E" w:rsidP="0030317E">
      <w:pPr>
        <w:jc w:val="both"/>
        <w:rPr>
          <w:rFonts w:cstheme="minorHAnsi"/>
          <w:bCs/>
          <w:i/>
          <w:iCs/>
          <w:color w:val="000000" w:themeColor="text1"/>
        </w:rPr>
      </w:pPr>
      <w:r w:rsidRPr="0030317E">
        <w:rPr>
          <w:rFonts w:cstheme="minorHAnsi"/>
          <w:bCs/>
          <w:i/>
          <w:iCs/>
          <w:color w:val="000000" w:themeColor="text1"/>
        </w:rPr>
        <w:t>Intra-operative</w:t>
      </w:r>
    </w:p>
    <w:p w14:paraId="2C860FC2" w14:textId="77777777" w:rsidR="0030317E" w:rsidRPr="0030317E" w:rsidRDefault="0030317E" w:rsidP="0030317E">
      <w:pPr>
        <w:ind w:left="720"/>
        <w:jc w:val="both"/>
        <w:rPr>
          <w:rFonts w:cstheme="minorHAnsi"/>
          <w:color w:val="000000" w:themeColor="text1"/>
        </w:rPr>
      </w:pPr>
      <w:r w:rsidRPr="0030317E">
        <w:rPr>
          <w:rFonts w:cstheme="minorHAnsi"/>
          <w:color w:val="000000" w:themeColor="text1"/>
        </w:rPr>
        <w:t>Bleeding  (requiring transfusion) - 1%</w:t>
      </w:r>
    </w:p>
    <w:p w14:paraId="2E175A99" w14:textId="77777777" w:rsidR="0030317E" w:rsidRPr="0030317E" w:rsidRDefault="0030317E" w:rsidP="0030317E">
      <w:pPr>
        <w:ind w:left="720"/>
        <w:jc w:val="both"/>
        <w:rPr>
          <w:rFonts w:cstheme="minorHAnsi"/>
          <w:color w:val="000000" w:themeColor="text1"/>
        </w:rPr>
      </w:pPr>
      <w:r w:rsidRPr="0030317E">
        <w:rPr>
          <w:rFonts w:cstheme="minorHAnsi"/>
          <w:color w:val="000000" w:themeColor="text1"/>
        </w:rPr>
        <w:t>Visceral injury requiring laparotomy – 1%</w:t>
      </w:r>
    </w:p>
    <w:p w14:paraId="50FB603F" w14:textId="77777777" w:rsidR="0030317E" w:rsidRPr="0030317E" w:rsidRDefault="0030317E" w:rsidP="0030317E">
      <w:pPr>
        <w:ind w:left="720"/>
        <w:jc w:val="both"/>
        <w:rPr>
          <w:rFonts w:cstheme="minorHAnsi"/>
          <w:color w:val="000000" w:themeColor="text1"/>
        </w:rPr>
      </w:pPr>
      <w:r w:rsidRPr="0030317E">
        <w:rPr>
          <w:rFonts w:cstheme="minorHAnsi"/>
          <w:color w:val="000000" w:themeColor="text1"/>
        </w:rPr>
        <w:t>Vascular injury requiring laparotomy – 1%</w:t>
      </w:r>
    </w:p>
    <w:p w14:paraId="56A8215C" w14:textId="77777777" w:rsidR="0030317E" w:rsidRPr="0030317E" w:rsidRDefault="0030317E" w:rsidP="0030317E">
      <w:pPr>
        <w:ind w:left="720"/>
        <w:jc w:val="both"/>
        <w:rPr>
          <w:rFonts w:cstheme="minorHAnsi"/>
          <w:color w:val="000000" w:themeColor="text1"/>
        </w:rPr>
      </w:pPr>
      <w:r w:rsidRPr="0030317E">
        <w:rPr>
          <w:rFonts w:cstheme="minorHAnsi"/>
          <w:color w:val="000000" w:themeColor="text1"/>
        </w:rPr>
        <w:t>Cardiac event (Myocardial infarction 0.1%, Atrial Fibrillation 1.6%, syncope 1.2%).</w:t>
      </w:r>
    </w:p>
    <w:p w14:paraId="0B14A369" w14:textId="77777777" w:rsidR="0030317E" w:rsidRPr="0030317E" w:rsidRDefault="0030317E" w:rsidP="0030317E">
      <w:pPr>
        <w:jc w:val="both"/>
        <w:rPr>
          <w:rFonts w:cstheme="minorHAnsi"/>
          <w:b/>
          <w:bCs/>
          <w:color w:val="000000" w:themeColor="text1"/>
        </w:rPr>
      </w:pPr>
    </w:p>
    <w:p w14:paraId="31CDB695" w14:textId="77777777" w:rsidR="0030317E" w:rsidRPr="0030317E" w:rsidRDefault="0030317E" w:rsidP="0030317E">
      <w:pPr>
        <w:jc w:val="both"/>
        <w:rPr>
          <w:rFonts w:cstheme="minorHAnsi"/>
          <w:i/>
          <w:iCs/>
          <w:color w:val="000000" w:themeColor="text1"/>
        </w:rPr>
      </w:pPr>
      <w:r w:rsidRPr="0030317E">
        <w:rPr>
          <w:rFonts w:cstheme="minorHAnsi"/>
          <w:i/>
          <w:iCs/>
          <w:color w:val="000000" w:themeColor="text1"/>
        </w:rPr>
        <w:t>Early post-operative</w:t>
      </w:r>
    </w:p>
    <w:p w14:paraId="3BE237E3" w14:textId="77777777" w:rsidR="0030317E" w:rsidRPr="0030317E" w:rsidRDefault="0030317E" w:rsidP="0030317E">
      <w:pPr>
        <w:ind w:left="720"/>
        <w:jc w:val="both"/>
        <w:rPr>
          <w:rFonts w:cstheme="minorHAnsi"/>
          <w:color w:val="000000" w:themeColor="text1"/>
        </w:rPr>
      </w:pPr>
      <w:r w:rsidRPr="0030317E">
        <w:rPr>
          <w:rFonts w:cstheme="minorHAnsi"/>
          <w:color w:val="000000" w:themeColor="text1"/>
        </w:rPr>
        <w:t>Wound related problems; infection (2%), incisional hernia (2%)</w:t>
      </w:r>
    </w:p>
    <w:p w14:paraId="7086DD6C" w14:textId="77777777" w:rsidR="0030317E" w:rsidRPr="0030317E" w:rsidRDefault="0030317E" w:rsidP="0030317E">
      <w:pPr>
        <w:ind w:firstLine="720"/>
        <w:jc w:val="both"/>
        <w:rPr>
          <w:rFonts w:cstheme="minorHAnsi"/>
          <w:color w:val="000000" w:themeColor="text1"/>
        </w:rPr>
      </w:pPr>
      <w:r w:rsidRPr="0030317E">
        <w:rPr>
          <w:rFonts w:cstheme="minorHAnsi"/>
          <w:color w:val="000000" w:themeColor="text1"/>
        </w:rPr>
        <w:t xml:space="preserve">Thromboembolic event (deep vein thrombosis or pulmonary embolus 0.8%)  </w:t>
      </w:r>
      <w:r w:rsidRPr="0030317E">
        <w:rPr>
          <w:rFonts w:cstheme="minorHAnsi"/>
          <w:color w:val="000000" w:themeColor="text1"/>
        </w:rPr>
        <w:tab/>
        <w:t>Lymphoedema – 1% (higher incidence when lymph node dissection performed)</w:t>
      </w:r>
    </w:p>
    <w:p w14:paraId="00E96FE6" w14:textId="77777777" w:rsidR="0030317E" w:rsidRPr="0030317E" w:rsidRDefault="0030317E" w:rsidP="0030317E">
      <w:pPr>
        <w:ind w:firstLine="720"/>
        <w:jc w:val="both"/>
        <w:rPr>
          <w:rFonts w:cstheme="minorHAnsi"/>
          <w:color w:val="000000" w:themeColor="text1"/>
        </w:rPr>
      </w:pPr>
      <w:r w:rsidRPr="0030317E">
        <w:rPr>
          <w:rFonts w:cstheme="minorHAnsi"/>
          <w:color w:val="000000" w:themeColor="text1"/>
        </w:rPr>
        <w:t>Anaesthetic problems requiring admission to intensive care unit (2%)</w:t>
      </w:r>
    </w:p>
    <w:p w14:paraId="1676812E" w14:textId="77777777" w:rsidR="0030317E" w:rsidRPr="0030317E" w:rsidRDefault="0030317E" w:rsidP="0030317E">
      <w:pPr>
        <w:ind w:firstLine="720"/>
        <w:jc w:val="both"/>
        <w:rPr>
          <w:rFonts w:cstheme="minorHAnsi"/>
          <w:color w:val="000000" w:themeColor="text1"/>
        </w:rPr>
      </w:pPr>
      <w:r w:rsidRPr="0030317E">
        <w:rPr>
          <w:rFonts w:cstheme="minorHAnsi"/>
          <w:color w:val="000000" w:themeColor="text1"/>
        </w:rPr>
        <w:t>Gastrointestinal – ileus or damage to bowel requiring temporary colostomy.</w:t>
      </w:r>
    </w:p>
    <w:p w14:paraId="5B468525" w14:textId="77777777" w:rsidR="0030317E" w:rsidRPr="0030317E" w:rsidRDefault="0030317E" w:rsidP="0030317E">
      <w:pPr>
        <w:ind w:left="720"/>
        <w:jc w:val="both"/>
        <w:rPr>
          <w:rFonts w:cstheme="minorHAnsi"/>
          <w:color w:val="000000" w:themeColor="text1"/>
        </w:rPr>
      </w:pPr>
      <w:r w:rsidRPr="0030317E">
        <w:rPr>
          <w:rFonts w:cstheme="minorHAnsi"/>
          <w:color w:val="000000" w:themeColor="text1"/>
        </w:rPr>
        <w:t>Seroma – 1%</w:t>
      </w:r>
    </w:p>
    <w:p w14:paraId="3B6ED411" w14:textId="77777777" w:rsidR="0030317E" w:rsidRPr="0030317E" w:rsidRDefault="0030317E" w:rsidP="0030317E">
      <w:pPr>
        <w:ind w:firstLine="720"/>
        <w:jc w:val="both"/>
        <w:rPr>
          <w:rFonts w:cstheme="minorHAnsi"/>
          <w:color w:val="000000" w:themeColor="text1"/>
        </w:rPr>
      </w:pPr>
      <w:r w:rsidRPr="0030317E">
        <w:rPr>
          <w:rFonts w:cstheme="minorHAnsi"/>
          <w:color w:val="000000" w:themeColor="text1"/>
        </w:rPr>
        <w:t>Urethral Stricture – 2%</w:t>
      </w:r>
    </w:p>
    <w:p w14:paraId="25CA5676" w14:textId="77777777" w:rsidR="0030317E" w:rsidRPr="0030317E" w:rsidRDefault="0030317E" w:rsidP="0030317E">
      <w:pPr>
        <w:ind w:firstLine="720"/>
        <w:jc w:val="both"/>
        <w:rPr>
          <w:rFonts w:cstheme="minorHAnsi"/>
          <w:b/>
          <w:bCs/>
          <w:color w:val="000000" w:themeColor="text1"/>
        </w:rPr>
      </w:pPr>
    </w:p>
    <w:p w14:paraId="5E63AEE1" w14:textId="77777777" w:rsidR="0030317E" w:rsidRPr="0030317E" w:rsidRDefault="0030317E" w:rsidP="0030317E">
      <w:pPr>
        <w:jc w:val="both"/>
        <w:rPr>
          <w:rFonts w:cstheme="minorHAnsi"/>
          <w:i/>
          <w:iCs/>
          <w:color w:val="000000" w:themeColor="text1"/>
        </w:rPr>
      </w:pPr>
      <w:r w:rsidRPr="0030317E">
        <w:rPr>
          <w:rFonts w:cstheme="minorHAnsi"/>
          <w:i/>
          <w:iCs/>
          <w:color w:val="000000" w:themeColor="text1"/>
        </w:rPr>
        <w:t>Longer term post-operative</w:t>
      </w:r>
    </w:p>
    <w:p w14:paraId="3138C88D" w14:textId="77777777" w:rsidR="0030317E" w:rsidRPr="0030317E" w:rsidRDefault="0030317E" w:rsidP="0030317E">
      <w:pPr>
        <w:ind w:left="720"/>
        <w:jc w:val="both"/>
        <w:rPr>
          <w:rFonts w:cstheme="minorHAnsi"/>
          <w:color w:val="000000" w:themeColor="text1"/>
        </w:rPr>
      </w:pPr>
      <w:r w:rsidRPr="0030317E">
        <w:rPr>
          <w:rFonts w:cstheme="minorHAnsi"/>
          <w:color w:val="000000" w:themeColor="text1"/>
        </w:rPr>
        <w:t>Urinary incontinence – (temporary) 100%</w:t>
      </w:r>
    </w:p>
    <w:p w14:paraId="6A72A8C1" w14:textId="77777777" w:rsidR="0030317E" w:rsidRPr="0030317E" w:rsidRDefault="0030317E" w:rsidP="0030317E">
      <w:pPr>
        <w:ind w:left="720"/>
        <w:jc w:val="both"/>
        <w:rPr>
          <w:rFonts w:cstheme="minorHAnsi"/>
          <w:color w:val="000000" w:themeColor="text1"/>
        </w:rPr>
      </w:pPr>
      <w:r w:rsidRPr="0030317E">
        <w:rPr>
          <w:rFonts w:cstheme="minorHAnsi"/>
          <w:color w:val="000000" w:themeColor="text1"/>
        </w:rPr>
        <w:t>Erectile dysfunction – (up to 100%)</w:t>
      </w:r>
    </w:p>
    <w:p w14:paraId="4BC0E4A8" w14:textId="77777777" w:rsidR="0030317E" w:rsidRPr="0030317E" w:rsidRDefault="0030317E" w:rsidP="0030317E">
      <w:pPr>
        <w:ind w:left="720"/>
        <w:jc w:val="both"/>
        <w:rPr>
          <w:rFonts w:cstheme="minorHAnsi"/>
          <w:color w:val="000000" w:themeColor="text1"/>
        </w:rPr>
      </w:pPr>
      <w:r w:rsidRPr="0030317E">
        <w:rPr>
          <w:rFonts w:cstheme="minorHAnsi"/>
          <w:color w:val="000000" w:themeColor="text1"/>
        </w:rPr>
        <w:t xml:space="preserve">Long term urine leak – 10% </w:t>
      </w:r>
    </w:p>
    <w:p w14:paraId="4210D420" w14:textId="77777777" w:rsidR="0030317E" w:rsidRPr="0030317E" w:rsidRDefault="0030317E" w:rsidP="0030317E">
      <w:pPr>
        <w:ind w:left="720"/>
        <w:jc w:val="both"/>
        <w:rPr>
          <w:rFonts w:cstheme="minorHAnsi"/>
          <w:color w:val="000000" w:themeColor="text1"/>
        </w:rPr>
      </w:pPr>
      <w:r w:rsidRPr="0030317E">
        <w:rPr>
          <w:rFonts w:cstheme="minorHAnsi"/>
          <w:color w:val="000000" w:themeColor="text1"/>
        </w:rPr>
        <w:t>Adjuvant therapies (including radiotherapy and ADT) – 30%</w:t>
      </w:r>
    </w:p>
    <w:p w14:paraId="10A5E32A" w14:textId="497533F9" w:rsidR="00BD3548" w:rsidRDefault="00BD3548">
      <w:r>
        <w:br w:type="page"/>
      </w:r>
    </w:p>
    <w:p w14:paraId="0DB76F59" w14:textId="7D327AA2" w:rsidR="009B510E" w:rsidRDefault="00A3662A">
      <w:r w:rsidRPr="009B510E">
        <w:rPr>
          <w:b/>
          <w:bCs/>
        </w:rPr>
        <w:lastRenderedPageBreak/>
        <w:t>Supplementary Material S</w:t>
      </w:r>
      <w:r>
        <w:rPr>
          <w:b/>
          <w:bCs/>
        </w:rPr>
        <w:t>1</w:t>
      </w:r>
      <w:r w:rsidRPr="009B510E">
        <w:rPr>
          <w:b/>
          <w:bCs/>
        </w:rPr>
        <w:t>.</w:t>
      </w:r>
      <w:r>
        <w:rPr>
          <w:b/>
          <w:bCs/>
        </w:rPr>
        <w:t xml:space="preserve">  </w:t>
      </w:r>
      <w:r w:rsidRPr="00A3662A">
        <w:t>Cost analysis of NeuroSAFE technique demonstrating additional cost total</w:t>
      </w:r>
      <w:r>
        <w:t xml:space="preserve"> of the procedure in the United Kingdom NHS setting according to the results of the Feasibility Study.</w:t>
      </w:r>
    </w:p>
    <w:p w14:paraId="7C9714EC" w14:textId="77777777" w:rsidR="00A3662A" w:rsidRPr="00A3662A" w:rsidRDefault="00A3662A"/>
    <w:p w14:paraId="3BAEFEF7" w14:textId="62B8F5F8" w:rsidR="00A3662A" w:rsidRDefault="00A3662A">
      <w:pPr>
        <w:rPr>
          <w:b/>
          <w:bCs/>
        </w:rPr>
      </w:pPr>
      <w:r w:rsidRPr="00342F20">
        <w:rPr>
          <w:noProof/>
        </w:rPr>
        <w:drawing>
          <wp:inline distT="0" distB="0" distL="0" distR="0" wp14:anchorId="6CC1290C" wp14:editId="25A9032C">
            <wp:extent cx="5727700" cy="3958497"/>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27700" cy="3958497"/>
                    </a:xfrm>
                    <a:prstGeom prst="rect">
                      <a:avLst/>
                    </a:prstGeom>
                    <a:noFill/>
                    <a:ln>
                      <a:noFill/>
                    </a:ln>
                  </pic:spPr>
                </pic:pic>
              </a:graphicData>
            </a:graphic>
          </wp:inline>
        </w:drawing>
      </w:r>
    </w:p>
    <w:p w14:paraId="6FF42C7F" w14:textId="77777777" w:rsidR="00A3662A" w:rsidRDefault="00A3662A">
      <w:pPr>
        <w:rPr>
          <w:b/>
          <w:bCs/>
        </w:rPr>
      </w:pPr>
    </w:p>
    <w:p w14:paraId="140040A1" w14:textId="77777777" w:rsidR="00BD3548" w:rsidRDefault="00BD3548">
      <w:pPr>
        <w:rPr>
          <w:b/>
          <w:bCs/>
        </w:rPr>
      </w:pPr>
    </w:p>
    <w:p w14:paraId="1561B95C" w14:textId="77777777" w:rsidR="00BD3548" w:rsidRDefault="00BD3548">
      <w:pPr>
        <w:rPr>
          <w:b/>
          <w:bCs/>
        </w:rPr>
      </w:pPr>
      <w:r>
        <w:rPr>
          <w:b/>
          <w:bCs/>
        </w:rPr>
        <w:br w:type="page"/>
      </w:r>
    </w:p>
    <w:p w14:paraId="56F2B737" w14:textId="68BC2844" w:rsidR="009B510E" w:rsidRDefault="009B510E">
      <w:r w:rsidRPr="009B510E">
        <w:rPr>
          <w:b/>
          <w:bCs/>
        </w:rPr>
        <w:lastRenderedPageBreak/>
        <w:t>Supplementary Material S</w:t>
      </w:r>
      <w:r w:rsidR="00A3662A">
        <w:rPr>
          <w:b/>
          <w:bCs/>
        </w:rPr>
        <w:t>2</w:t>
      </w:r>
      <w:r w:rsidRPr="009B510E">
        <w:rPr>
          <w:b/>
          <w:bCs/>
        </w:rPr>
        <w:t>.</w:t>
      </w:r>
      <w:r>
        <w:t xml:space="preserve">  Model Intra-operative Frozen Section Reporting Proforma.</w:t>
      </w:r>
    </w:p>
    <w:p w14:paraId="7DEB5572" w14:textId="77777777" w:rsidR="009B510E" w:rsidRDefault="009B510E"/>
    <w:p w14:paraId="13CDE35D" w14:textId="77777777" w:rsidR="009B510E" w:rsidRDefault="009B510E">
      <w:r>
        <w:rPr>
          <w:noProof/>
        </w:rPr>
        <w:drawing>
          <wp:inline distT="0" distB="0" distL="0" distR="0" wp14:anchorId="309D7210" wp14:editId="0C2842E6">
            <wp:extent cx="5727700" cy="8105140"/>
            <wp:effectExtent l="12700" t="12700" r="12700" b="1016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6">
                      <a:extLst>
                        <a:ext uri="{28A0092B-C50C-407E-A947-70E740481C1C}">
                          <a14:useLocalDpi xmlns:a14="http://schemas.microsoft.com/office/drawing/2010/main" val="0"/>
                        </a:ext>
                      </a:extLst>
                    </a:blip>
                    <a:stretch>
                      <a:fillRect/>
                    </a:stretch>
                  </pic:blipFill>
                  <pic:spPr>
                    <a:xfrm>
                      <a:off x="0" y="0"/>
                      <a:ext cx="5727700" cy="8105140"/>
                    </a:xfrm>
                    <a:prstGeom prst="rect">
                      <a:avLst/>
                    </a:prstGeom>
                    <a:ln>
                      <a:solidFill>
                        <a:schemeClr val="accent1"/>
                      </a:solidFill>
                    </a:ln>
                  </pic:spPr>
                </pic:pic>
              </a:graphicData>
            </a:graphic>
          </wp:inline>
        </w:drawing>
      </w:r>
    </w:p>
    <w:p w14:paraId="544C2FCA" w14:textId="77777777" w:rsidR="00BD3548" w:rsidRDefault="00BD3548">
      <w:pPr>
        <w:rPr>
          <w:b/>
          <w:bCs/>
        </w:rPr>
      </w:pPr>
    </w:p>
    <w:p w14:paraId="052B1C74" w14:textId="4DC11465" w:rsidR="009A1ED3" w:rsidRDefault="009A1ED3">
      <w:r>
        <w:rPr>
          <w:b/>
          <w:bCs/>
        </w:rPr>
        <w:lastRenderedPageBreak/>
        <w:br/>
        <w:t xml:space="preserve">Supplementary Material S3.  </w:t>
      </w:r>
      <w:r w:rsidRPr="009A1ED3">
        <w:t>Informed Consent Form.</w:t>
      </w:r>
    </w:p>
    <w:p w14:paraId="03383824" w14:textId="77777777" w:rsidR="009A1ED3" w:rsidRDefault="009A1ED3"/>
    <w:p w14:paraId="71CEC741" w14:textId="24BEF32A" w:rsidR="009A1ED3" w:rsidRPr="009A1ED3" w:rsidRDefault="009A1ED3">
      <w:r>
        <w:rPr>
          <w:b/>
          <w:bCs/>
          <w:noProof/>
        </w:rPr>
        <w:drawing>
          <wp:inline distT="0" distB="0" distL="0" distR="0" wp14:anchorId="4C83511F" wp14:editId="6E04EB3A">
            <wp:extent cx="5727700" cy="7406640"/>
            <wp:effectExtent l="12700" t="12700" r="12700" b="1016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extLst>
                        <a:ext uri="{28A0092B-C50C-407E-A947-70E740481C1C}">
                          <a14:useLocalDpi xmlns:a14="http://schemas.microsoft.com/office/drawing/2010/main" val="0"/>
                        </a:ext>
                      </a:extLst>
                    </a:blip>
                    <a:stretch>
                      <a:fillRect/>
                    </a:stretch>
                  </pic:blipFill>
                  <pic:spPr>
                    <a:xfrm>
                      <a:off x="0" y="0"/>
                      <a:ext cx="5727700" cy="7406640"/>
                    </a:xfrm>
                    <a:prstGeom prst="rect">
                      <a:avLst/>
                    </a:prstGeom>
                    <a:ln>
                      <a:solidFill>
                        <a:schemeClr val="tx1"/>
                      </a:solidFill>
                    </a:ln>
                  </pic:spPr>
                </pic:pic>
              </a:graphicData>
            </a:graphic>
          </wp:inline>
        </w:drawing>
      </w:r>
    </w:p>
    <w:p w14:paraId="154BF4C7" w14:textId="77777777" w:rsidR="009A1ED3" w:rsidRDefault="009A1ED3">
      <w:pPr>
        <w:rPr>
          <w:b/>
          <w:bCs/>
        </w:rPr>
      </w:pPr>
    </w:p>
    <w:p w14:paraId="02862FC5" w14:textId="64426C01" w:rsidR="009A1ED3" w:rsidRDefault="009A1ED3">
      <w:pPr>
        <w:rPr>
          <w:b/>
          <w:bCs/>
        </w:rPr>
        <w:sectPr w:rsidR="009A1ED3" w:rsidSect="009B510E">
          <w:pgSz w:w="11900" w:h="16840"/>
          <w:pgMar w:top="1440" w:right="1440" w:bottom="1440" w:left="1440" w:header="708" w:footer="708" w:gutter="0"/>
          <w:cols w:space="708"/>
          <w:docGrid w:linePitch="360"/>
        </w:sectPr>
      </w:pPr>
      <w:r>
        <w:rPr>
          <w:b/>
          <w:bCs/>
          <w:noProof/>
        </w:rPr>
        <w:lastRenderedPageBreak/>
        <w:drawing>
          <wp:inline distT="0" distB="0" distL="0" distR="0" wp14:anchorId="66DFAAA4" wp14:editId="734D4BE6">
            <wp:extent cx="5727700" cy="7403465"/>
            <wp:effectExtent l="12700" t="12700" r="12700" b="133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extLst>
                        <a:ext uri="{28A0092B-C50C-407E-A947-70E740481C1C}">
                          <a14:useLocalDpi xmlns:a14="http://schemas.microsoft.com/office/drawing/2010/main" val="0"/>
                        </a:ext>
                      </a:extLst>
                    </a:blip>
                    <a:stretch>
                      <a:fillRect/>
                    </a:stretch>
                  </pic:blipFill>
                  <pic:spPr>
                    <a:xfrm>
                      <a:off x="0" y="0"/>
                      <a:ext cx="5727700" cy="7403465"/>
                    </a:xfrm>
                    <a:prstGeom prst="rect">
                      <a:avLst/>
                    </a:prstGeom>
                    <a:ln>
                      <a:solidFill>
                        <a:schemeClr val="tx1"/>
                      </a:solidFill>
                    </a:ln>
                  </pic:spPr>
                </pic:pic>
              </a:graphicData>
            </a:graphic>
          </wp:inline>
        </w:drawing>
      </w:r>
    </w:p>
    <w:p w14:paraId="3385DA87" w14:textId="0400B83F" w:rsidR="00880C2D" w:rsidRDefault="00880C2D" w:rsidP="00BD3548">
      <w:pPr>
        <w:rPr>
          <w:b/>
          <w:bCs/>
        </w:rPr>
      </w:pPr>
    </w:p>
    <w:sectPr w:rsidR="00880C2D" w:rsidSect="009A1ED3">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77996"/>
    <w:multiLevelType w:val="hybridMultilevel"/>
    <w:tmpl w:val="45342B0A"/>
    <w:lvl w:ilvl="0" w:tplc="0409000F">
      <w:start w:val="1"/>
      <w:numFmt w:val="decimal"/>
      <w:lvlText w:val="%1."/>
      <w:lvlJc w:val="left"/>
      <w:pPr>
        <w:ind w:left="45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F623033"/>
    <w:multiLevelType w:val="hybridMultilevel"/>
    <w:tmpl w:val="8B42E91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35135D52"/>
    <w:multiLevelType w:val="hybridMultilevel"/>
    <w:tmpl w:val="5C7EC85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94C5B0E"/>
    <w:multiLevelType w:val="hybridMultilevel"/>
    <w:tmpl w:val="E3A6E1B2"/>
    <w:lvl w:ilvl="0" w:tplc="977AA494">
      <w:start w:val="15"/>
      <w:numFmt w:val="decimal"/>
      <w:lvlText w:val="%1."/>
      <w:lvlJc w:val="left"/>
      <w:pPr>
        <w:ind w:left="45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2951355"/>
    <w:multiLevelType w:val="hybridMultilevel"/>
    <w:tmpl w:val="4FF24900"/>
    <w:lvl w:ilvl="0" w:tplc="1646BA44">
      <w:start w:val="2"/>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63B0784"/>
    <w:multiLevelType w:val="hybridMultilevel"/>
    <w:tmpl w:val="1FC2A01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6" w15:restartNumberingAfterBreak="0">
    <w:nsid w:val="78471524"/>
    <w:multiLevelType w:val="hybridMultilevel"/>
    <w:tmpl w:val="1FBA9C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5"/>
  </w:num>
  <w:num w:numId="5">
    <w:abstractNumId w:val="3"/>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3782"/>
    <w:rsid w:val="00006FF3"/>
    <w:rsid w:val="000500D8"/>
    <w:rsid w:val="00063519"/>
    <w:rsid w:val="00073151"/>
    <w:rsid w:val="000733B8"/>
    <w:rsid w:val="0009263D"/>
    <w:rsid w:val="000B78CA"/>
    <w:rsid w:val="000D2F1D"/>
    <w:rsid w:val="000F7267"/>
    <w:rsid w:val="0010555A"/>
    <w:rsid w:val="0012212F"/>
    <w:rsid w:val="00133837"/>
    <w:rsid w:val="00141944"/>
    <w:rsid w:val="0014294F"/>
    <w:rsid w:val="00147E25"/>
    <w:rsid w:val="00167F58"/>
    <w:rsid w:val="00173E94"/>
    <w:rsid w:val="00182288"/>
    <w:rsid w:val="00182D2A"/>
    <w:rsid w:val="00194880"/>
    <w:rsid w:val="001A3863"/>
    <w:rsid w:val="001C6EBA"/>
    <w:rsid w:val="001E1A2D"/>
    <w:rsid w:val="00220E18"/>
    <w:rsid w:val="00261FED"/>
    <w:rsid w:val="0028667D"/>
    <w:rsid w:val="00290DE4"/>
    <w:rsid w:val="002F439C"/>
    <w:rsid w:val="0030317E"/>
    <w:rsid w:val="0032674F"/>
    <w:rsid w:val="003A65D5"/>
    <w:rsid w:val="003C05F6"/>
    <w:rsid w:val="003C31E0"/>
    <w:rsid w:val="00471486"/>
    <w:rsid w:val="0048329A"/>
    <w:rsid w:val="00485D7C"/>
    <w:rsid w:val="00491D08"/>
    <w:rsid w:val="004B7DCD"/>
    <w:rsid w:val="004C3B05"/>
    <w:rsid w:val="00512FFF"/>
    <w:rsid w:val="00523F6A"/>
    <w:rsid w:val="00570916"/>
    <w:rsid w:val="00592105"/>
    <w:rsid w:val="005C1D02"/>
    <w:rsid w:val="005C1E66"/>
    <w:rsid w:val="005C4EBF"/>
    <w:rsid w:val="005E47DB"/>
    <w:rsid w:val="005F52F9"/>
    <w:rsid w:val="00605E06"/>
    <w:rsid w:val="0060777D"/>
    <w:rsid w:val="006220E5"/>
    <w:rsid w:val="00685451"/>
    <w:rsid w:val="006A0D42"/>
    <w:rsid w:val="006A642A"/>
    <w:rsid w:val="006B330D"/>
    <w:rsid w:val="006C5257"/>
    <w:rsid w:val="006D1D26"/>
    <w:rsid w:val="006D4881"/>
    <w:rsid w:val="007063C9"/>
    <w:rsid w:val="00711B7D"/>
    <w:rsid w:val="007150A6"/>
    <w:rsid w:val="00732D44"/>
    <w:rsid w:val="007522C4"/>
    <w:rsid w:val="00753782"/>
    <w:rsid w:val="00762D08"/>
    <w:rsid w:val="007A1C8C"/>
    <w:rsid w:val="007C56DE"/>
    <w:rsid w:val="0084130A"/>
    <w:rsid w:val="00880C2D"/>
    <w:rsid w:val="00880E7E"/>
    <w:rsid w:val="008E00B9"/>
    <w:rsid w:val="008F6EB5"/>
    <w:rsid w:val="00900C37"/>
    <w:rsid w:val="009102C8"/>
    <w:rsid w:val="009351FF"/>
    <w:rsid w:val="00944466"/>
    <w:rsid w:val="00963BBE"/>
    <w:rsid w:val="00983961"/>
    <w:rsid w:val="009856A4"/>
    <w:rsid w:val="00993E6D"/>
    <w:rsid w:val="00997555"/>
    <w:rsid w:val="009A1ED3"/>
    <w:rsid w:val="009B1DDA"/>
    <w:rsid w:val="009B510E"/>
    <w:rsid w:val="009B6E62"/>
    <w:rsid w:val="009D16D6"/>
    <w:rsid w:val="009F753B"/>
    <w:rsid w:val="009F791A"/>
    <w:rsid w:val="00A02EA7"/>
    <w:rsid w:val="00A03E90"/>
    <w:rsid w:val="00A12DDD"/>
    <w:rsid w:val="00A21483"/>
    <w:rsid w:val="00A2382D"/>
    <w:rsid w:val="00A279B5"/>
    <w:rsid w:val="00A334B8"/>
    <w:rsid w:val="00A3662A"/>
    <w:rsid w:val="00A438F1"/>
    <w:rsid w:val="00A53979"/>
    <w:rsid w:val="00A5765D"/>
    <w:rsid w:val="00A73245"/>
    <w:rsid w:val="00A772D1"/>
    <w:rsid w:val="00A80348"/>
    <w:rsid w:val="00A85C2F"/>
    <w:rsid w:val="00A95A8A"/>
    <w:rsid w:val="00A96E42"/>
    <w:rsid w:val="00AA057A"/>
    <w:rsid w:val="00AB22B5"/>
    <w:rsid w:val="00AC1C13"/>
    <w:rsid w:val="00AE2FC4"/>
    <w:rsid w:val="00AF5B7A"/>
    <w:rsid w:val="00B219B6"/>
    <w:rsid w:val="00B4282D"/>
    <w:rsid w:val="00BB020E"/>
    <w:rsid w:val="00BB2527"/>
    <w:rsid w:val="00BD3548"/>
    <w:rsid w:val="00BD5310"/>
    <w:rsid w:val="00BE52E4"/>
    <w:rsid w:val="00BE714B"/>
    <w:rsid w:val="00C0449C"/>
    <w:rsid w:val="00C047F3"/>
    <w:rsid w:val="00C1767B"/>
    <w:rsid w:val="00C224F4"/>
    <w:rsid w:val="00C53D45"/>
    <w:rsid w:val="00C56978"/>
    <w:rsid w:val="00C623D8"/>
    <w:rsid w:val="00C70F93"/>
    <w:rsid w:val="00C8001C"/>
    <w:rsid w:val="00C8796A"/>
    <w:rsid w:val="00C91F68"/>
    <w:rsid w:val="00C956F1"/>
    <w:rsid w:val="00CA7570"/>
    <w:rsid w:val="00CB54F8"/>
    <w:rsid w:val="00CD3A3C"/>
    <w:rsid w:val="00CD7097"/>
    <w:rsid w:val="00CE4B86"/>
    <w:rsid w:val="00D0311B"/>
    <w:rsid w:val="00D35C77"/>
    <w:rsid w:val="00D44A18"/>
    <w:rsid w:val="00D6005B"/>
    <w:rsid w:val="00DA0A16"/>
    <w:rsid w:val="00DA5762"/>
    <w:rsid w:val="00DB5278"/>
    <w:rsid w:val="00DD763E"/>
    <w:rsid w:val="00DF6A0B"/>
    <w:rsid w:val="00E86FDA"/>
    <w:rsid w:val="00EA43E0"/>
    <w:rsid w:val="00EA7A14"/>
    <w:rsid w:val="00EA7A20"/>
    <w:rsid w:val="00EC5FE5"/>
    <w:rsid w:val="00F02794"/>
    <w:rsid w:val="00F53DFA"/>
    <w:rsid w:val="00F63D6B"/>
    <w:rsid w:val="00F679A3"/>
    <w:rsid w:val="00FB16F9"/>
    <w:rsid w:val="00FB6C9F"/>
    <w:rsid w:val="00FE0486"/>
    <w:rsid w:val="00FF15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7B45B8"/>
  <w15:chartTrackingRefBased/>
  <w15:docId w15:val="{6F655265-1B94-DE41-9CA1-FB4AAE7CF0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9B510E"/>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outlineLvl w:val="1"/>
    </w:pPr>
    <w:rPr>
      <w:rFonts w:ascii="Tahoma" w:eastAsia="Times New Roman" w:hAnsi="Tahoma" w:cs="Times New Roman"/>
      <w:b/>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C05F6"/>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3C05F6"/>
    <w:rPr>
      <w:rFonts w:ascii="Times New Roman" w:hAnsi="Times New Roman" w:cs="Times New Roman"/>
      <w:sz w:val="18"/>
      <w:szCs w:val="18"/>
    </w:rPr>
  </w:style>
  <w:style w:type="paragraph" w:customStyle="1" w:styleId="TableTitle">
    <w:name w:val="TableTitle"/>
    <w:basedOn w:val="Normal"/>
    <w:rsid w:val="009B510E"/>
    <w:pPr>
      <w:spacing w:line="300" w:lineRule="exact"/>
    </w:pPr>
    <w:rPr>
      <w:rFonts w:ascii="Times New Roman" w:eastAsia="Times New Roman" w:hAnsi="Times New Roman" w:cs="Times New Roman"/>
      <w:szCs w:val="20"/>
    </w:rPr>
  </w:style>
  <w:style w:type="character" w:styleId="Hyperlink">
    <w:name w:val="Hyperlink"/>
    <w:rsid w:val="009B510E"/>
    <w:rPr>
      <w:color w:val="0000FF"/>
      <w:u w:val="single"/>
    </w:rPr>
  </w:style>
  <w:style w:type="paragraph" w:customStyle="1" w:styleId="TableHeader">
    <w:name w:val="TableHeader"/>
    <w:basedOn w:val="Normal"/>
    <w:rsid w:val="009B510E"/>
    <w:pPr>
      <w:spacing w:before="120"/>
    </w:pPr>
    <w:rPr>
      <w:rFonts w:ascii="Times New Roman" w:eastAsia="Times New Roman" w:hAnsi="Times New Roman" w:cs="Times New Roman"/>
      <w:b/>
      <w:szCs w:val="20"/>
    </w:rPr>
  </w:style>
  <w:style w:type="paragraph" w:customStyle="1" w:styleId="TableSubHead">
    <w:name w:val="TableSubHead"/>
    <w:basedOn w:val="TableHeader"/>
    <w:rsid w:val="009B510E"/>
  </w:style>
  <w:style w:type="table" w:styleId="TableGrid">
    <w:name w:val="Table Grid"/>
    <w:basedOn w:val="TableNormal"/>
    <w:uiPriority w:val="39"/>
    <w:rsid w:val="009B510E"/>
    <w:rPr>
      <w:sz w:val="22"/>
      <w:szCs w:val="22"/>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rsid w:val="009B510E"/>
    <w:rPr>
      <w:rFonts w:ascii="Tahoma" w:eastAsia="Times New Roman" w:hAnsi="Tahoma" w:cs="Times New Roman"/>
      <w:b/>
      <w:color w:val="000000"/>
      <w:sz w:val="20"/>
      <w:szCs w:val="20"/>
    </w:rPr>
  </w:style>
  <w:style w:type="paragraph" w:styleId="BodyText">
    <w:name w:val="Body Text"/>
    <w:basedOn w:val="Normal"/>
    <w:link w:val="BodyTextChar"/>
    <w:semiHidden/>
    <w:rsid w:val="009B510E"/>
    <w:pPr>
      <w:jc w:val="both"/>
    </w:pPr>
    <w:rPr>
      <w:rFonts w:ascii="Tahoma" w:eastAsia="Times New Roman" w:hAnsi="Tahoma" w:cs="Tahoma"/>
      <w:sz w:val="22"/>
      <w:szCs w:val="20"/>
    </w:rPr>
  </w:style>
  <w:style w:type="character" w:customStyle="1" w:styleId="BodyTextChar">
    <w:name w:val="Body Text Char"/>
    <w:basedOn w:val="DefaultParagraphFont"/>
    <w:link w:val="BodyText"/>
    <w:semiHidden/>
    <w:rsid w:val="009B510E"/>
    <w:rPr>
      <w:rFonts w:ascii="Tahoma" w:eastAsia="Times New Roman" w:hAnsi="Tahoma" w:cs="Tahoma"/>
      <w:sz w:val="22"/>
      <w:szCs w:val="20"/>
    </w:rPr>
  </w:style>
  <w:style w:type="paragraph" w:styleId="BodyText2">
    <w:name w:val="Body Text 2"/>
    <w:basedOn w:val="Normal"/>
    <w:link w:val="BodyText2Char"/>
    <w:semiHidden/>
    <w:rsid w:val="009B510E"/>
    <w:pPr>
      <w:ind w:right="-112"/>
      <w:jc w:val="both"/>
    </w:pPr>
    <w:rPr>
      <w:rFonts w:ascii="Tahoma" w:eastAsia="Times New Roman" w:hAnsi="Tahoma" w:cs="Tahoma"/>
      <w:sz w:val="20"/>
      <w:szCs w:val="20"/>
    </w:rPr>
  </w:style>
  <w:style w:type="character" w:customStyle="1" w:styleId="BodyText2Char">
    <w:name w:val="Body Text 2 Char"/>
    <w:basedOn w:val="DefaultParagraphFont"/>
    <w:link w:val="BodyText2"/>
    <w:semiHidden/>
    <w:rsid w:val="009B510E"/>
    <w:rPr>
      <w:rFonts w:ascii="Tahoma" w:eastAsia="Times New Roman" w:hAnsi="Tahoma" w:cs="Tahoma"/>
      <w:sz w:val="20"/>
      <w:szCs w:val="20"/>
    </w:rPr>
  </w:style>
  <w:style w:type="paragraph" w:styleId="BodyText3">
    <w:name w:val="Body Text 3"/>
    <w:basedOn w:val="Normal"/>
    <w:link w:val="BodyText3Char"/>
    <w:semiHidden/>
    <w:rsid w:val="009B510E"/>
    <w:pPr>
      <w:ind w:right="-335"/>
      <w:jc w:val="both"/>
    </w:pPr>
    <w:rPr>
      <w:rFonts w:ascii="Tahoma" w:eastAsia="Times New Roman" w:hAnsi="Tahoma" w:cs="Tahoma"/>
      <w:sz w:val="20"/>
      <w:szCs w:val="20"/>
    </w:rPr>
  </w:style>
  <w:style w:type="character" w:customStyle="1" w:styleId="BodyText3Char">
    <w:name w:val="Body Text 3 Char"/>
    <w:basedOn w:val="DefaultParagraphFont"/>
    <w:link w:val="BodyText3"/>
    <w:semiHidden/>
    <w:rsid w:val="009B510E"/>
    <w:rPr>
      <w:rFonts w:ascii="Tahoma" w:eastAsia="Times New Roman" w:hAnsi="Tahoma" w:cs="Tahoma"/>
      <w:sz w:val="20"/>
      <w:szCs w:val="20"/>
    </w:rPr>
  </w:style>
  <w:style w:type="paragraph" w:styleId="NormalWeb">
    <w:name w:val="Normal (Web)"/>
    <w:basedOn w:val="Normal"/>
    <w:uiPriority w:val="99"/>
    <w:rsid w:val="009B510E"/>
    <w:pPr>
      <w:spacing w:before="100" w:beforeAutospacing="1" w:after="100" w:afterAutospacing="1"/>
      <w:jc w:val="both"/>
    </w:pPr>
    <w:rPr>
      <w:rFonts w:ascii="Arial Unicode MS" w:eastAsia="Arial Unicode MS" w:hAnsi="Arial Unicode MS" w:cs="Arial Unicode MS"/>
      <w:sz w:val="22"/>
      <w:szCs w:val="22"/>
    </w:rPr>
  </w:style>
  <w:style w:type="paragraph" w:styleId="ListParagraph">
    <w:name w:val="List Paragraph"/>
    <w:basedOn w:val="Normal"/>
    <w:uiPriority w:val="34"/>
    <w:qFormat/>
    <w:rsid w:val="009B510E"/>
    <w:pPr>
      <w:ind w:left="720"/>
      <w:contextualSpacing/>
      <w:jc w:val="both"/>
    </w:pPr>
    <w:rPr>
      <w:rFonts w:ascii="Tahoma" w:eastAsia="Times New Roman" w:hAnsi="Tahoma" w:cs="Tahoma"/>
      <w:sz w:val="22"/>
      <w:szCs w:val="22"/>
    </w:rPr>
  </w:style>
  <w:style w:type="paragraph" w:customStyle="1" w:styleId="Body">
    <w:name w:val="Body"/>
    <w:rsid w:val="009B510E"/>
    <w:pPr>
      <w:pBdr>
        <w:top w:val="nil"/>
        <w:left w:val="nil"/>
        <w:bottom w:val="nil"/>
        <w:right w:val="nil"/>
        <w:between w:val="nil"/>
        <w:bar w:val="nil"/>
      </w:pBdr>
    </w:pPr>
    <w:rPr>
      <w:rFonts w:ascii="Times New Roman" w:eastAsia="Times New Roman" w:hAnsi="Times New Roman" w:cs="Times New Roman"/>
      <w:color w:val="000000"/>
      <w:u w:color="000000"/>
      <w:bdr w:val="nil"/>
      <w:lang w:val="en-US"/>
    </w:rPr>
  </w:style>
  <w:style w:type="paragraph" w:customStyle="1" w:styleId="Default">
    <w:name w:val="Default"/>
    <w:rsid w:val="009B510E"/>
    <w:pPr>
      <w:autoSpaceDE w:val="0"/>
      <w:autoSpaceDN w:val="0"/>
      <w:adjustRightInd w:val="0"/>
    </w:pPr>
    <w:rPr>
      <w:rFonts w:ascii="Arial" w:eastAsia="Calibri"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7</Pages>
  <Words>852</Words>
  <Characters>4863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Dinneen, Eoin</dc:creator>
  <cp:keywords/>
  <dc:description/>
  <cp:lastModifiedBy>Dinneen, Eoin</cp:lastModifiedBy>
  <cp:revision>10</cp:revision>
  <dcterms:created xsi:type="dcterms:W3CDTF">2021-07-05T15:57:00Z</dcterms:created>
  <dcterms:modified xsi:type="dcterms:W3CDTF">2021-12-04T20:47:00Z</dcterms:modified>
</cp:coreProperties>
</file>