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A32" w:rsidRPr="000E14C9" w:rsidRDefault="00E33328">
      <w:pPr>
        <w:spacing w:after="360"/>
        <w:rPr>
          <w:rFonts w:ascii="Times New Roman" w:hAnsi="Times New Roman" w:cs="Times New Roman"/>
          <w:b/>
          <w:color w:val="0F243E" w:themeColor="text2" w:themeShade="80"/>
          <w:sz w:val="32"/>
        </w:rPr>
      </w:pPr>
      <w:r w:rsidRPr="000E14C9">
        <w:rPr>
          <w:rFonts w:ascii="Times New Roman" w:hAnsi="Times New Roman" w:cs="Times New Roman"/>
          <w:b/>
          <w:color w:val="0F243E" w:themeColor="text2" w:themeShade="80"/>
          <w:sz w:val="32"/>
        </w:rPr>
        <w:t>STROBE Statement Checklist Verification Report</w:t>
      </w:r>
      <w:r w:rsidR="002A58D0" w:rsidRPr="000E14C9">
        <w:rPr>
          <w:rFonts w:ascii="Times New Roman" w:hAnsi="Times New Roman" w:cs="Times New Roman"/>
          <w:b/>
          <w:color w:val="0F243E" w:themeColor="text2" w:themeShade="80"/>
          <w:sz w:val="32"/>
        </w:rPr>
        <w:t xml:space="preserve"> Part I</w:t>
      </w:r>
      <w:r w:rsidR="00CD6A32" w:rsidRPr="000E14C9">
        <w:rPr>
          <w:rFonts w:ascii="Times New Roman" w:hAnsi="Times New Roman" w:cs="Times New Roman"/>
          <w:b/>
          <w:color w:val="0F243E" w:themeColor="text2" w:themeShade="80"/>
          <w:sz w:val="32"/>
        </w:rPr>
        <w:t>I</w:t>
      </w:r>
    </w:p>
    <w:p w:rsidR="00BC39C8" w:rsidRPr="00CA4FA6" w:rsidRDefault="00E33328">
      <w:pPr>
        <w:spacing w:after="360"/>
        <w:rPr>
          <w:rFonts w:ascii="Times New Roman" w:hAnsi="Times New Roman" w:cs="Times New Roman"/>
          <w:b/>
        </w:rPr>
      </w:pPr>
      <w:r w:rsidRPr="000E14C9">
        <w:rPr>
          <w:rFonts w:ascii="Times New Roman" w:hAnsi="Times New Roman" w:cs="Times New Roman"/>
          <w:b/>
          <w:color w:val="0F243E" w:themeColor="text2" w:themeShade="80"/>
          <w:sz w:val="32"/>
        </w:rPr>
        <w:br/>
      </w:r>
      <w:r w:rsidRPr="00CA4FA6">
        <w:rPr>
          <w:rFonts w:ascii="Times New Roman" w:hAnsi="Times New Roman" w:cs="Times New Roman"/>
          <w:b/>
          <w:i/>
          <w:color w:val="555555"/>
        </w:rPr>
        <w:t>Target Manuscript: Age and Sex Disparities in Primary Headaches among Adolescents: A Nationwide Focus on Neurodevelopment and Clinical Burden</w:t>
      </w:r>
      <w:r w:rsidR="002A58D0" w:rsidRPr="00CA4FA6">
        <w:rPr>
          <w:rFonts w:ascii="Times New Roman" w:hAnsi="Times New Roman" w:cs="Times New Roman"/>
          <w:b/>
          <w:i/>
          <w:color w:val="555555"/>
        </w:rPr>
        <w:t xml:space="preserve"> Part I</w:t>
      </w:r>
      <w:r w:rsidR="00CD6A32" w:rsidRPr="00CA4FA6">
        <w:rPr>
          <w:rFonts w:ascii="Times New Roman" w:hAnsi="Times New Roman" w:cs="Times New Roman"/>
          <w:b/>
          <w:i/>
          <w:color w:val="555555"/>
        </w:rPr>
        <w:t>I</w:t>
      </w:r>
      <w:bookmarkStart w:id="0" w:name="_GoBack"/>
      <w:bookmarkEnd w:id="0"/>
    </w:p>
    <w:p w:rsidR="00BC39C8" w:rsidRPr="00CA4FA6" w:rsidRDefault="00E33328">
      <w:pPr>
        <w:spacing w:after="240"/>
        <w:rPr>
          <w:rFonts w:ascii="Times New Roman" w:hAnsi="Times New Roman" w:cs="Times New Roman"/>
          <w:i/>
        </w:rPr>
      </w:pPr>
      <w:r w:rsidRPr="000E14C9">
        <w:rPr>
          <w:rFonts w:ascii="Times New Roman" w:hAnsi="Times New Roman" w:cs="Times New Roman"/>
          <w:b/>
        </w:rPr>
        <w:t xml:space="preserve">Study Design: </w:t>
      </w:r>
      <w:r w:rsidRPr="000E14C9">
        <w:rPr>
          <w:rFonts w:ascii="Times New Roman" w:hAnsi="Times New Roman" w:cs="Times New Roman"/>
        </w:rPr>
        <w:t>Cross-Sectional School-Based Epidemiological Screening</w:t>
      </w:r>
      <w:r w:rsidRPr="000E14C9">
        <w:rPr>
          <w:rFonts w:ascii="Times New Roman" w:hAnsi="Times New Roman" w:cs="Times New Roman"/>
        </w:rPr>
        <w:br/>
      </w:r>
      <w:r w:rsidRPr="000E14C9">
        <w:rPr>
          <w:rFonts w:ascii="Times New Roman" w:hAnsi="Times New Roman" w:cs="Times New Roman"/>
          <w:b/>
        </w:rPr>
        <w:t xml:space="preserve">Guidelines Evaluated: </w:t>
      </w:r>
      <w:r w:rsidRPr="000E14C9">
        <w:rPr>
          <w:rFonts w:ascii="Times New Roman" w:hAnsi="Times New Roman" w:cs="Times New Roman"/>
        </w:rPr>
        <w:t>Strengthening the Reporting of Observational Studies in Epidemiology (STROBE) Guidelines</w:t>
      </w:r>
      <w:r w:rsidRPr="000E14C9">
        <w:rPr>
          <w:rFonts w:ascii="Times New Roman" w:hAnsi="Times New Roman" w:cs="Times New Roman"/>
        </w:rPr>
        <w:br/>
      </w:r>
      <w:r w:rsidRPr="000E14C9">
        <w:rPr>
          <w:rFonts w:ascii="Times New Roman" w:hAnsi="Times New Roman" w:cs="Times New Roman"/>
          <w:b/>
        </w:rPr>
        <w:t xml:space="preserve">Verification Baseline: </w:t>
      </w:r>
      <w:r w:rsidRPr="00CA4FA6">
        <w:rPr>
          <w:rFonts w:ascii="Times New Roman" w:hAnsi="Times New Roman" w:cs="Times New Roman"/>
          <w:i/>
        </w:rPr>
        <w:t>Rao-Scott Design-Adjusted Cluster Analytics (N=1,379 Georgian Youth</w:t>
      </w:r>
      <w:r w:rsidR="00C5042C" w:rsidRPr="00CA4FA6">
        <w:rPr>
          <w:rFonts w:ascii="Times New Roman" w:hAnsi="Times New Roman" w:cs="Times New Roman"/>
          <w:i/>
        </w:rPr>
        <w:t xml:space="preserve">) </w:t>
      </w:r>
      <w:r w:rsidRPr="00CA4FA6">
        <w:rPr>
          <w:rFonts w:ascii="Times New Roman" w:hAnsi="Times New Roman" w:cs="Times New Roman"/>
          <w:i/>
        </w:rPr>
        <w:br/>
      </w:r>
      <w:r w:rsidRPr="00CA4FA6">
        <w:rPr>
          <w:rFonts w:ascii="Times New Roman" w:hAnsi="Times New Roman" w:cs="Times New Roman"/>
          <w:b/>
          <w:i/>
        </w:rPr>
        <w:t xml:space="preserve">Status: </w:t>
      </w:r>
      <w:r w:rsidRPr="00CA4FA6">
        <w:rPr>
          <w:rFonts w:ascii="Times New Roman" w:hAnsi="Times New Roman" w:cs="Times New Roman"/>
          <w:i/>
          <w:color w:val="2E7D32"/>
        </w:rPr>
        <w:t>Fully Compliant</w:t>
      </w:r>
    </w:p>
    <w:p w:rsidR="00BC39C8" w:rsidRPr="000E14C9" w:rsidRDefault="00BC39C8">
      <w:pPr>
        <w:pBdr>
          <w:bottom w:val="single" w:sz="6" w:space="1" w:color="CCCCCC"/>
        </w:pBdr>
        <w:spacing w:after="360"/>
        <w:rPr>
          <w:rFonts w:ascii="Times New Roman" w:hAnsi="Times New Roman" w:cs="Times New Roman"/>
        </w:rPr>
      </w:pPr>
    </w:p>
    <w:p w:rsidR="00BC39C8" w:rsidRPr="000E14C9" w:rsidRDefault="00E33328">
      <w:pPr>
        <w:spacing w:after="240"/>
        <w:rPr>
          <w:rFonts w:ascii="Times New Roman" w:hAnsi="Times New Roman" w:cs="Times New Roman"/>
        </w:rPr>
      </w:pPr>
      <w:r w:rsidRPr="000E14C9">
        <w:rPr>
          <w:rFonts w:ascii="Times New Roman" w:hAnsi="Times New Roman" w:cs="Times New Roman"/>
        </w:rPr>
        <w:t>This report systematically documents compliance with the 22 core checklist items mandated by the STROBE statement for cross-sectional research. Each section parameter addresses design specifications, internal adjustments, missing metrics mapping, and clinical precision verification.</w:t>
      </w:r>
    </w:p>
    <w:p w:rsidR="00CD6A32" w:rsidRPr="000E14C9" w:rsidRDefault="00CD6A32">
      <w:pPr>
        <w:spacing w:after="240"/>
        <w:rPr>
          <w:rFonts w:ascii="Times New Roman" w:hAnsi="Times New Roman" w:cs="Times New Roman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"/>
        <w:gridCol w:w="1872"/>
        <w:gridCol w:w="3168"/>
        <w:gridCol w:w="3456"/>
      </w:tblGrid>
      <w:tr w:rsidR="00BC39C8" w:rsidRPr="000E14C9" w:rsidTr="001512FE">
        <w:trPr>
          <w:jc w:val="center"/>
        </w:trPr>
        <w:tc>
          <w:tcPr>
            <w:tcW w:w="864" w:type="dxa"/>
            <w:tcBorders>
              <w:bottom w:val="single" w:sz="12" w:space="0" w:color="1B365D"/>
            </w:tcBorders>
            <w:shd w:val="clear" w:color="auto" w:fill="D6E3BC" w:themeFill="accent3" w:themeFillTint="66"/>
          </w:tcPr>
          <w:p w:rsidR="00BC39C8" w:rsidRPr="000E14C9" w:rsidRDefault="00E33328">
            <w:pPr>
              <w:spacing w:before="80" w:after="80"/>
              <w:rPr>
                <w:rFonts w:ascii="Times New Roman" w:hAnsi="Times New Roman" w:cs="Times New Roman"/>
                <w:color w:val="auto"/>
              </w:rPr>
            </w:pPr>
            <w:r w:rsidRPr="000E14C9">
              <w:rPr>
                <w:rFonts w:ascii="Times New Roman" w:hAnsi="Times New Roman" w:cs="Times New Roman"/>
                <w:b/>
                <w:color w:val="auto"/>
                <w:sz w:val="19"/>
              </w:rPr>
              <w:t>Item</w:t>
            </w:r>
          </w:p>
        </w:tc>
        <w:tc>
          <w:tcPr>
            <w:tcW w:w="1872" w:type="dxa"/>
            <w:shd w:val="clear" w:color="auto" w:fill="D6E3BC" w:themeFill="accent3" w:themeFillTint="66"/>
          </w:tcPr>
          <w:p w:rsidR="00BC39C8" w:rsidRPr="000E14C9" w:rsidRDefault="00E33328">
            <w:pPr>
              <w:spacing w:before="80" w:after="80"/>
              <w:rPr>
                <w:rFonts w:ascii="Times New Roman" w:hAnsi="Times New Roman" w:cs="Times New Roman"/>
                <w:color w:val="auto"/>
              </w:rPr>
            </w:pPr>
            <w:r w:rsidRPr="000E14C9">
              <w:rPr>
                <w:rFonts w:ascii="Times New Roman" w:hAnsi="Times New Roman" w:cs="Times New Roman"/>
                <w:b/>
                <w:color w:val="auto"/>
                <w:sz w:val="19"/>
              </w:rPr>
              <w:t>Section / Topic</w:t>
            </w:r>
          </w:p>
        </w:tc>
        <w:tc>
          <w:tcPr>
            <w:tcW w:w="3168" w:type="dxa"/>
            <w:shd w:val="clear" w:color="auto" w:fill="D6E3BC" w:themeFill="accent3" w:themeFillTint="66"/>
          </w:tcPr>
          <w:p w:rsidR="00BC39C8" w:rsidRPr="000E14C9" w:rsidRDefault="00E33328">
            <w:pPr>
              <w:spacing w:before="80" w:after="8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color w:val="auto"/>
                <w:sz w:val="19"/>
              </w:rPr>
              <w:t>STROBE Requirement Description</w:t>
            </w:r>
          </w:p>
        </w:tc>
        <w:tc>
          <w:tcPr>
            <w:tcW w:w="3456" w:type="dxa"/>
            <w:shd w:val="clear" w:color="auto" w:fill="D6E3BC" w:themeFill="accent3" w:themeFillTint="66"/>
          </w:tcPr>
          <w:p w:rsidR="00BC39C8" w:rsidRPr="000E14C9" w:rsidRDefault="00E33328">
            <w:pPr>
              <w:spacing w:before="80" w:after="8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color w:val="000000" w:themeColor="text1"/>
                <w:sz w:val="19"/>
              </w:rPr>
              <w:t>Specific Manuscript Localization &amp; Evidence</w:t>
            </w:r>
          </w:p>
        </w:tc>
      </w:tr>
      <w:tr w:rsidR="00BC39C8" w:rsidRPr="000E14C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1a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Title &amp; Abstract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Indicate</w:t>
            </w:r>
            <w:r w:rsidR="00CD6A32" w:rsidRPr="000E14C9">
              <w:rPr>
                <w:rFonts w:ascii="Times New Roman" w:hAnsi="Times New Roman" w:cs="Times New Roman"/>
                <w:sz w:val="18"/>
              </w:rPr>
              <w:t>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the study's design with a commonly used term in the title or the abstract.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Title (Page 1) indicates nationwide clinical burden evaluation; Abstract (Page 1) states 'single-stage cluster sampling design'.</w:t>
            </w:r>
          </w:p>
        </w:tc>
      </w:tr>
      <w:tr w:rsidR="00BC39C8" w:rsidRPr="000E14C9" w:rsidTr="001512FE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1b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Title &amp; Abstract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Provide</w:t>
            </w:r>
            <w:r w:rsidR="00CD6A32" w:rsidRPr="000E14C9">
              <w:rPr>
                <w:rFonts w:ascii="Times New Roman" w:hAnsi="Times New Roman" w:cs="Times New Roman"/>
                <w:sz w:val="18"/>
              </w:rPr>
              <w:t>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in the abstract an informative and balanced summary of what was done and what was found.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Abstract (Page 1) maps 1-year period prevalence, diagnostic phenotypic distributions, design-adjusted gender asymmetry evaluations, and absolute age-specific clinical volume clustering.</w:t>
            </w:r>
          </w:p>
        </w:tc>
      </w:tr>
      <w:tr w:rsidR="00BC39C8" w:rsidRPr="000E14C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2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Introduction - Background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Explain</w:t>
            </w:r>
            <w:r w:rsidR="00CD6A32" w:rsidRPr="000E14C9">
              <w:rPr>
                <w:rFonts w:ascii="Times New Roman" w:hAnsi="Times New Roman" w:cs="Times New Roman"/>
                <w:sz w:val="18"/>
              </w:rPr>
              <w:t>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the scientific background and rationale for the investigation being reported.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1512FE">
            <w:pPr>
              <w:spacing w:before="100" w:after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Introduction (Page 4</w:t>
            </w:r>
            <w:r w:rsidR="00E33328" w:rsidRPr="000E14C9">
              <w:rPr>
                <w:rFonts w:ascii="Times New Roman" w:hAnsi="Times New Roman" w:cs="Times New Roman"/>
                <w:sz w:val="18"/>
              </w:rPr>
              <w:t>) outlines neurodevelopmental maturation pathways (myelination, hormonal axes shifts), adult vs. pediatric criteria thresholds, and central nociceptive signal behaviors.</w:t>
            </w:r>
          </w:p>
        </w:tc>
      </w:tr>
      <w:tr w:rsidR="00BC39C8" w:rsidRPr="000E14C9" w:rsidTr="001512FE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3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Introduction - Objectives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State</w:t>
            </w:r>
            <w:r w:rsidR="00CD6A32" w:rsidRPr="000E14C9">
              <w:rPr>
                <w:rFonts w:ascii="Times New Roman" w:hAnsi="Times New Roman" w:cs="Times New Roman"/>
                <w:sz w:val="18"/>
              </w:rPr>
              <w:t>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specific objectives, including any prespecified hypotheses.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1512FE">
            <w:pPr>
              <w:spacing w:before="100" w:after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Introduction (Page 4-5</w:t>
            </w:r>
            <w:r w:rsidR="00E33328" w:rsidRPr="000E14C9">
              <w:rPr>
                <w:rFonts w:ascii="Times New Roman" w:hAnsi="Times New Roman" w:cs="Times New Roman"/>
                <w:sz w:val="18"/>
              </w:rPr>
              <w:t>) marks the primary goal: establishing a mathematically controlled epidemiological baseline to map structural sex/age disparities and qualitative pain traits.</w:t>
            </w:r>
          </w:p>
        </w:tc>
      </w:tr>
      <w:tr w:rsidR="00BC39C8" w:rsidRPr="000E14C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4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Methods - Study Design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Present</w:t>
            </w:r>
            <w:r w:rsidR="00CD6A32" w:rsidRPr="000E14C9">
              <w:rPr>
                <w:rFonts w:ascii="Times New Roman" w:hAnsi="Times New Roman" w:cs="Times New Roman"/>
                <w:sz w:val="18"/>
              </w:rPr>
              <w:t>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key elements of study design early in the paper.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Materials and Methods (Page 2</w:t>
            </w:r>
            <w:r w:rsidR="00BF0497" w:rsidRPr="000E14C9">
              <w:rPr>
                <w:rFonts w:ascii="Times New Roman" w:hAnsi="Times New Roman" w:cs="Times New Roman"/>
                <w:sz w:val="18"/>
              </w:rPr>
              <w:t>-3</w:t>
            </w:r>
            <w:r w:rsidRPr="000E14C9">
              <w:rPr>
                <w:rFonts w:ascii="Times New Roman" w:hAnsi="Times New Roman" w:cs="Times New Roman"/>
                <w:sz w:val="18"/>
              </w:rPr>
              <w:t>) defines a nationwide, population-based cross-</w:t>
            </w:r>
            <w:r w:rsidRPr="000E14C9">
              <w:rPr>
                <w:rFonts w:ascii="Times New Roman" w:hAnsi="Times New Roman" w:cs="Times New Roman"/>
                <w:sz w:val="18"/>
              </w:rPr>
              <w:lastRenderedPageBreak/>
              <w:t>sectional screening framework utilizing institutional primary sampling units.</w:t>
            </w:r>
          </w:p>
        </w:tc>
      </w:tr>
      <w:tr w:rsidR="00BC39C8" w:rsidRPr="000E14C9" w:rsidTr="001512FE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lastRenderedPageBreak/>
              <w:t>5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Methods - Setting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Describe</w:t>
            </w:r>
            <w:r w:rsidR="00CD6A32" w:rsidRPr="000E14C9">
              <w:rPr>
                <w:rFonts w:ascii="Times New Roman" w:hAnsi="Times New Roman" w:cs="Times New Roman"/>
                <w:sz w:val="18"/>
              </w:rPr>
              <w:t>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the setting, locations, and relevant dates, including periods of recruitment, exposure, follow-up, and data collection.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BF0497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Materials and Methods (Page 5-6</w:t>
            </w:r>
            <w:r w:rsidR="00E33328" w:rsidRPr="000E14C9">
              <w:rPr>
                <w:rFonts w:ascii="Times New Roman" w:hAnsi="Times New Roman" w:cs="Times New Roman"/>
                <w:sz w:val="18"/>
              </w:rPr>
              <w:t>) details active multi-regional tracking across Tbilisi, Kutaisi, and Telavi, conducting supervised regular classroom screenings.</w:t>
            </w:r>
          </w:p>
        </w:tc>
      </w:tr>
      <w:tr w:rsidR="00BC39C8" w:rsidRPr="000E14C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6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Methods - Participants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Give</w:t>
            </w:r>
            <w:r w:rsidR="00CD6A32" w:rsidRPr="000E14C9">
              <w:rPr>
                <w:rFonts w:ascii="Times New Roman" w:hAnsi="Times New Roman" w:cs="Times New Roman"/>
                <w:sz w:val="18"/>
              </w:rPr>
              <w:t>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the eligibility criteria, and the sources and methods of selection of participants.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 xml:space="preserve">Materials </w:t>
            </w:r>
            <w:r w:rsidR="00BF0497" w:rsidRPr="000E14C9">
              <w:rPr>
                <w:rFonts w:ascii="Times New Roman" w:hAnsi="Times New Roman" w:cs="Times New Roman"/>
                <w:sz w:val="18"/>
              </w:rPr>
              <w:t>and Methods (Page 5-6</w:t>
            </w:r>
            <w:r w:rsidRPr="000E14C9">
              <w:rPr>
                <w:rFonts w:ascii="Times New Roman" w:hAnsi="Times New Roman" w:cs="Times New Roman"/>
                <w:sz w:val="18"/>
              </w:rPr>
              <w:t>) sets the target cohort boundary: school-enrolled youth aged 12–17 years inside selected urban and regional institutions.</w:t>
            </w:r>
          </w:p>
        </w:tc>
      </w:tr>
      <w:tr w:rsidR="00BC39C8" w:rsidRPr="000E14C9" w:rsidTr="001512FE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7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Methods - Variables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Clearly define</w:t>
            </w:r>
            <w:r w:rsidR="00CD6A32" w:rsidRPr="000E14C9">
              <w:rPr>
                <w:rFonts w:ascii="Times New Roman" w:hAnsi="Times New Roman" w:cs="Times New Roman"/>
                <w:sz w:val="18"/>
              </w:rPr>
              <w:t>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all outcomes, exposures, predictors, potential confounders, and effect modifiers. Give</w:t>
            </w:r>
            <w:r w:rsidR="00CD6A32" w:rsidRPr="000E14C9">
              <w:rPr>
                <w:rFonts w:ascii="Times New Roman" w:hAnsi="Times New Roman" w:cs="Times New Roman"/>
                <w:sz w:val="18"/>
              </w:rPr>
              <w:t>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diagnostic criteria, if applicable.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BF0497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Materials and Methods (Page 5-6</w:t>
            </w:r>
            <w:r w:rsidR="00E33328" w:rsidRPr="000E14C9">
              <w:rPr>
                <w:rFonts w:ascii="Times New Roman" w:hAnsi="Times New Roman" w:cs="Times New Roman"/>
                <w:sz w:val="18"/>
              </w:rPr>
              <w:t xml:space="preserve">) establishes the primary endpoint parameter as the Active 1-Year Headache Prevalence alongside </w:t>
            </w:r>
            <w:r w:rsidR="00E33328" w:rsidRPr="001512FE">
              <w:rPr>
                <w:rFonts w:ascii="Times New Roman" w:hAnsi="Times New Roman" w:cs="Times New Roman"/>
                <w:i/>
                <w:sz w:val="18"/>
              </w:rPr>
              <w:t>ICHD-3</w:t>
            </w:r>
            <w:r w:rsidR="00E33328" w:rsidRPr="000E14C9">
              <w:rPr>
                <w:rFonts w:ascii="Times New Roman" w:hAnsi="Times New Roman" w:cs="Times New Roman"/>
                <w:sz w:val="18"/>
              </w:rPr>
              <w:t xml:space="preserve"> clinical criteria.</w:t>
            </w:r>
          </w:p>
        </w:tc>
      </w:tr>
      <w:tr w:rsidR="00BC39C8" w:rsidRPr="000E14C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8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Methods - Data Sources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For each variable of interest, give</w:t>
            </w:r>
            <w:r w:rsidR="00CD6A32" w:rsidRPr="000E14C9">
              <w:rPr>
                <w:rFonts w:ascii="Times New Roman" w:hAnsi="Times New Roman" w:cs="Times New Roman"/>
                <w:sz w:val="18"/>
              </w:rPr>
              <w:t>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sources of data and details of methods of assessment (measurement). Describe</w:t>
            </w:r>
            <w:r w:rsidR="00CD6A32" w:rsidRPr="000E14C9">
              <w:rPr>
                <w:rFonts w:ascii="Times New Roman" w:hAnsi="Times New Roman" w:cs="Times New Roman"/>
                <w:sz w:val="18"/>
              </w:rPr>
              <w:t>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comparability of assessment methods if there is more than one group.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BF0497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Materials and Methods (Page 5-6</w:t>
            </w:r>
            <w:r w:rsidR="00E33328" w:rsidRPr="000E14C9">
              <w:rPr>
                <w:rFonts w:ascii="Times New Roman" w:hAnsi="Times New Roman" w:cs="Times New Roman"/>
                <w:sz w:val="18"/>
              </w:rPr>
              <w:t xml:space="preserve">) outlines data generation via the linguistically and cross-culturally validated Georgian adaptation of the standardized Steiner and Stovner </w:t>
            </w:r>
            <w:r w:rsidR="00E33328" w:rsidRPr="001512FE">
              <w:rPr>
                <w:rFonts w:ascii="Times New Roman" w:hAnsi="Times New Roman" w:cs="Times New Roman"/>
                <w:i/>
                <w:sz w:val="18"/>
              </w:rPr>
              <w:t>HARDSHIP q</w:t>
            </w:r>
            <w:r w:rsidR="00E33328" w:rsidRPr="000E14C9">
              <w:rPr>
                <w:rFonts w:ascii="Times New Roman" w:hAnsi="Times New Roman" w:cs="Times New Roman"/>
                <w:sz w:val="18"/>
              </w:rPr>
              <w:t>uestionnaire.</w:t>
            </w:r>
          </w:p>
        </w:tc>
      </w:tr>
      <w:tr w:rsidR="00BC39C8" w:rsidRPr="000E14C9" w:rsidTr="001512FE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9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Methods - Bias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Describe</w:t>
            </w:r>
            <w:r w:rsidR="00CD6A32" w:rsidRPr="000E14C9">
              <w:rPr>
                <w:rFonts w:ascii="Times New Roman" w:hAnsi="Times New Roman" w:cs="Times New Roman"/>
                <w:sz w:val="18"/>
              </w:rPr>
              <w:t>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any efforts to address potential sources of bias.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BF0497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Materials and Methods (Page 6</w:t>
            </w:r>
            <w:r w:rsidR="00E33328" w:rsidRPr="000E14C9">
              <w:rPr>
                <w:rFonts w:ascii="Times New Roman" w:hAnsi="Times New Roman" w:cs="Times New Roman"/>
                <w:sz w:val="18"/>
              </w:rPr>
              <w:t>) establishes strict in-class tracking uniformity under direct research oversight to prevent questionnaire administration bias.</w:t>
            </w:r>
          </w:p>
        </w:tc>
      </w:tr>
      <w:tr w:rsidR="00BC39C8" w:rsidRPr="000E14C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10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Methods - Study Size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Explain</w:t>
            </w:r>
            <w:r w:rsidR="00CD6A32" w:rsidRPr="000E14C9">
              <w:rPr>
                <w:rFonts w:ascii="Times New Roman" w:hAnsi="Times New Roman" w:cs="Times New Roman"/>
                <w:sz w:val="18"/>
              </w:rPr>
              <w:t>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how the study size was arrived at.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BF0497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Materials and Methods (Page 6</w:t>
            </w:r>
            <w:r w:rsidR="00E33328" w:rsidRPr="000E14C9">
              <w:rPr>
                <w:rFonts w:ascii="Times New Roman" w:hAnsi="Times New Roman" w:cs="Times New Roman"/>
                <w:sz w:val="18"/>
              </w:rPr>
              <w:t>) confirms an analytical base sample size of n=1,379 valid responders drawn from a raw eligibility matrix of 1,818 candidates.</w:t>
            </w:r>
          </w:p>
        </w:tc>
      </w:tr>
      <w:tr w:rsidR="00BC39C8" w:rsidRPr="000E14C9" w:rsidTr="001512FE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11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Methods - Quantitative Variables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Explain</w:t>
            </w:r>
            <w:r w:rsidR="00CD6A32" w:rsidRPr="000E14C9">
              <w:rPr>
                <w:rFonts w:ascii="Times New Roman" w:hAnsi="Times New Roman" w:cs="Times New Roman"/>
                <w:sz w:val="18"/>
              </w:rPr>
              <w:t>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how quantitative variables were handled in the analyses. If applicable, describe which groupings were chosen and why.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BF0497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Materials and Methods (Page 6</w:t>
            </w:r>
            <w:r w:rsidR="00E33328" w:rsidRPr="000E14C9">
              <w:rPr>
                <w:rFonts w:ascii="Times New Roman" w:hAnsi="Times New Roman" w:cs="Times New Roman"/>
                <w:sz w:val="18"/>
              </w:rPr>
              <w:t>) and Results (Page 2-3) outline grouping configurations including discrete chronological age bands (12 to 17 years) and binary sex models.</w:t>
            </w:r>
          </w:p>
        </w:tc>
      </w:tr>
      <w:tr w:rsidR="00BC39C8" w:rsidRPr="000E14C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12a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Methods - Statistical Methods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Describe</w:t>
            </w:r>
            <w:r w:rsidR="00CD6A32" w:rsidRPr="000E14C9">
              <w:rPr>
                <w:rFonts w:ascii="Times New Roman" w:hAnsi="Times New Roman" w:cs="Times New Roman"/>
                <w:sz w:val="18"/>
              </w:rPr>
              <w:t>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all statistical methods, including those used to control for confounding.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Materials and Met</w:t>
            </w:r>
            <w:r w:rsidR="00BF0497" w:rsidRPr="000E14C9">
              <w:rPr>
                <w:rFonts w:ascii="Times New Roman" w:hAnsi="Times New Roman" w:cs="Times New Roman"/>
                <w:sz w:val="18"/>
              </w:rPr>
              <w:t>hods (Page 6</w:t>
            </w:r>
            <w:r w:rsidRPr="000E14C9">
              <w:rPr>
                <w:rFonts w:ascii="Times New Roman" w:hAnsi="Times New Roman" w:cs="Times New Roman"/>
                <w:sz w:val="18"/>
              </w:rPr>
              <w:t>) introduces first- and second-order Rao-Scott design adjustments within IBM SPSS Statistics Complex Samples to counteract institutional nesting clustering traits.</w:t>
            </w:r>
          </w:p>
        </w:tc>
      </w:tr>
      <w:tr w:rsidR="00BC39C8" w:rsidRPr="000E14C9" w:rsidTr="001512FE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12b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Methods - Statistical Methods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Describe</w:t>
            </w:r>
            <w:r w:rsidR="00CD6A32" w:rsidRPr="000E14C9">
              <w:rPr>
                <w:rFonts w:ascii="Times New Roman" w:hAnsi="Times New Roman" w:cs="Times New Roman"/>
                <w:sz w:val="18"/>
              </w:rPr>
              <w:t>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any methods used to examine subgroups and interactions.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BF0497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Results (Page 5-6</w:t>
            </w:r>
            <w:r w:rsidR="00E33328" w:rsidRPr="000E14C9">
              <w:rPr>
                <w:rFonts w:ascii="Times New Roman" w:hAnsi="Times New Roman" w:cs="Times New Roman"/>
                <w:sz w:val="18"/>
              </w:rPr>
              <w:t>) and Tables 2, 3, &amp; 4 show rigorous interaction mapping between sex/age configurations and active headache outcomes.</w:t>
            </w:r>
          </w:p>
        </w:tc>
      </w:tr>
      <w:tr w:rsidR="00BC39C8" w:rsidRPr="000E14C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12c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Methods - Statistical Methods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Explain</w:t>
            </w:r>
            <w:r w:rsidR="00CD6A32" w:rsidRPr="000E14C9">
              <w:rPr>
                <w:rFonts w:ascii="Times New Roman" w:hAnsi="Times New Roman" w:cs="Times New Roman"/>
                <w:sz w:val="18"/>
              </w:rPr>
              <w:t>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how missing data were addressed.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BF0497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Results (Page 5-6</w:t>
            </w:r>
            <w:r w:rsidR="00E33328" w:rsidRPr="000E14C9">
              <w:rPr>
                <w:rFonts w:ascii="Times New Roman" w:hAnsi="Times New Roman" w:cs="Times New Roman"/>
                <w:sz w:val="18"/>
              </w:rPr>
              <w:t>) transparently lists unspecified or missing parameters within structural contingency data matrices (e.g., Table 2).</w:t>
            </w:r>
          </w:p>
        </w:tc>
      </w:tr>
      <w:tr w:rsidR="00BC39C8" w:rsidRPr="000E14C9" w:rsidTr="001512FE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lastRenderedPageBreak/>
              <w:t>12d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Methods - Statistical Methods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If applicable, describe</w:t>
            </w:r>
            <w:r w:rsidR="00CD6A32" w:rsidRPr="000E14C9">
              <w:rPr>
                <w:rFonts w:ascii="Times New Roman" w:hAnsi="Times New Roman" w:cs="Times New Roman"/>
                <w:sz w:val="18"/>
              </w:rPr>
              <w:t>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analytical methods taking account of sampling strategy.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BF0497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Materials and Methods (Page 5-6</w:t>
            </w:r>
            <w:r w:rsidR="00E33328" w:rsidRPr="000E14C9">
              <w:rPr>
                <w:rFonts w:ascii="Times New Roman" w:hAnsi="Times New Roman" w:cs="Times New Roman"/>
                <w:sz w:val="18"/>
              </w:rPr>
              <w:t xml:space="preserve">) details how the cluster sampling design with m=9 primary units dictated conversion to conservative </w:t>
            </w:r>
            <w:r w:rsidR="00E33328" w:rsidRPr="001512FE">
              <w:rPr>
                <w:rFonts w:ascii="Times New Roman" w:hAnsi="Times New Roman" w:cs="Times New Roman"/>
                <w:i/>
                <w:sz w:val="18"/>
              </w:rPr>
              <w:t>design-corrected Fisher’s (F) distributions.</w:t>
            </w:r>
          </w:p>
        </w:tc>
      </w:tr>
      <w:tr w:rsidR="00BC39C8" w:rsidRPr="000E14C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12e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Methods - Statistical Methods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Describe</w:t>
            </w:r>
            <w:r w:rsidR="00CD6A32" w:rsidRPr="000E14C9">
              <w:rPr>
                <w:rFonts w:ascii="Times New Roman" w:hAnsi="Times New Roman" w:cs="Times New Roman"/>
                <w:sz w:val="18"/>
              </w:rPr>
              <w:t>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any sensitivity analyses.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BF0497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Results (Page 5-6</w:t>
            </w:r>
            <w:r w:rsidR="00E33328" w:rsidRPr="000E14C9">
              <w:rPr>
                <w:rFonts w:ascii="Times New Roman" w:hAnsi="Times New Roman" w:cs="Times New Roman"/>
                <w:sz w:val="18"/>
              </w:rPr>
              <w:t>) maps structural comparisons across age prevalence rates using design adjustments to confirm true statistical variance thresholds.</w:t>
            </w:r>
          </w:p>
        </w:tc>
      </w:tr>
      <w:tr w:rsidR="00BC39C8" w:rsidRPr="000E14C9" w:rsidTr="001512FE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13a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Results - Participants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Report</w:t>
            </w:r>
            <w:r w:rsidR="00CD6A32" w:rsidRPr="000E14C9">
              <w:rPr>
                <w:rFonts w:ascii="Times New Roman" w:hAnsi="Times New Roman" w:cs="Times New Roman"/>
                <w:sz w:val="18"/>
              </w:rPr>
              <w:t>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numbers of individuals at each stage of study—eg numbers potentially eligible, examined for eligibility, confirmed eligible, included in the study, completing follow-up, and analysed.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BF0497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Mat</w:t>
            </w:r>
            <w:r w:rsidR="001512FE">
              <w:rPr>
                <w:rFonts w:ascii="Times New Roman" w:hAnsi="Times New Roman" w:cs="Times New Roman"/>
                <w:sz w:val="18"/>
              </w:rPr>
              <w:t xml:space="preserve">erials and Methods (Page </w:t>
            </w:r>
            <w:r w:rsidRPr="000E14C9">
              <w:rPr>
                <w:rFonts w:ascii="Times New Roman" w:hAnsi="Times New Roman" w:cs="Times New Roman"/>
                <w:sz w:val="18"/>
              </w:rPr>
              <w:t>7-8-9</w:t>
            </w:r>
            <w:r w:rsidR="00E33328" w:rsidRPr="000E14C9">
              <w:rPr>
                <w:rFonts w:ascii="Times New Roman" w:hAnsi="Times New Roman" w:cs="Times New Roman"/>
                <w:sz w:val="18"/>
              </w:rPr>
              <w:t>) outlines study progression figures: 1,818 initial candidates, 439 exclusions, and 1,379 final valid case profiles.</w:t>
            </w:r>
          </w:p>
        </w:tc>
      </w:tr>
      <w:tr w:rsidR="00BC39C8" w:rsidRPr="000E14C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13b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Results - Participants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Give</w:t>
            </w:r>
            <w:r w:rsidR="00CD6A32" w:rsidRPr="000E14C9">
              <w:rPr>
                <w:rFonts w:ascii="Times New Roman" w:hAnsi="Times New Roman" w:cs="Times New Roman"/>
                <w:sz w:val="18"/>
              </w:rPr>
              <w:t>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reasons for non-participation at each stage.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BF0497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Materials and Methods (Page 6-7</w:t>
            </w:r>
            <w:r w:rsidR="00E33328" w:rsidRPr="000E14C9">
              <w:rPr>
                <w:rFonts w:ascii="Times New Roman" w:hAnsi="Times New Roman" w:cs="Times New Roman"/>
                <w:sz w:val="18"/>
              </w:rPr>
              <w:t>) details that dropouts were caused by student absenteeism on evaluation days or lack of formal verified parental informed consent sheets.</w:t>
            </w:r>
          </w:p>
        </w:tc>
      </w:tr>
      <w:tr w:rsidR="00BC39C8" w:rsidRPr="000E14C9" w:rsidTr="001512FE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13c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Results - Participants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Consider</w:t>
            </w:r>
            <w:r w:rsidR="00CD6A32" w:rsidRPr="000E14C9">
              <w:rPr>
                <w:rFonts w:ascii="Times New Roman" w:hAnsi="Times New Roman" w:cs="Times New Roman"/>
                <w:sz w:val="18"/>
              </w:rPr>
              <w:t>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use of a flow diagram.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Outlined textually via descriptive student filtration metrics with</w:t>
            </w:r>
            <w:r w:rsidR="00BF0497" w:rsidRPr="000E14C9">
              <w:rPr>
                <w:rFonts w:ascii="Times New Roman" w:hAnsi="Times New Roman" w:cs="Times New Roman"/>
                <w:sz w:val="18"/>
              </w:rPr>
              <w:t>in Materials and Methods (Page 7</w:t>
            </w:r>
            <w:r w:rsidRPr="000E14C9">
              <w:rPr>
                <w:rFonts w:ascii="Times New Roman" w:hAnsi="Times New Roman" w:cs="Times New Roman"/>
                <w:sz w:val="18"/>
              </w:rPr>
              <w:t>).</w:t>
            </w:r>
          </w:p>
        </w:tc>
      </w:tr>
      <w:tr w:rsidR="00BC39C8" w:rsidRPr="000E14C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14a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Results - Descriptive Data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Give</w:t>
            </w:r>
            <w:r w:rsidR="00CD6A32" w:rsidRPr="000E14C9">
              <w:rPr>
                <w:rFonts w:ascii="Times New Roman" w:hAnsi="Times New Roman" w:cs="Times New Roman"/>
                <w:sz w:val="18"/>
              </w:rPr>
              <w:t>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characteristics of study particip</w:t>
            </w:r>
            <w:r w:rsidR="00CD6A32" w:rsidRPr="000E14C9">
              <w:rPr>
                <w:rFonts w:ascii="Times New Roman" w:hAnsi="Times New Roman" w:cs="Times New Roman"/>
                <w:sz w:val="18"/>
              </w:rPr>
              <w:t xml:space="preserve">ants (e. g demographic, clinical and </w:t>
            </w:r>
            <w:r w:rsidRPr="000E14C9">
              <w:rPr>
                <w:rFonts w:ascii="Times New Roman" w:hAnsi="Times New Roman" w:cs="Times New Roman"/>
                <w:sz w:val="18"/>
              </w:rPr>
              <w:t>social) and information on exposures and potential confounders.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1512FE">
            <w:pPr>
              <w:spacing w:before="100" w:after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Results (Page 7-9</w:t>
            </w:r>
            <w:r w:rsidR="00E33328" w:rsidRPr="000E14C9">
              <w:rPr>
                <w:rFonts w:ascii="Times New Roman" w:hAnsi="Times New Roman" w:cs="Times New Roman"/>
                <w:sz w:val="18"/>
              </w:rPr>
              <w:t>) and Tables 2-5 map descriptive baselines: 94.92% lifetime symptoms, 83.75% active annual prevalence, and qualitative pain styles (throbbing vs. stabbing).</w:t>
            </w:r>
          </w:p>
        </w:tc>
      </w:tr>
      <w:tr w:rsidR="00BC39C8" w:rsidRPr="000E14C9" w:rsidTr="001512FE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14b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Results - Descriptive Data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Indicate number of participants with missing data for each variable of interest.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 xml:space="preserve">Table 2 reports clinical severity parameters, mapping exactly </w:t>
            </w:r>
            <w:r w:rsidRPr="001512FE">
              <w:rPr>
                <w:rFonts w:ascii="Times New Roman" w:hAnsi="Times New Roman" w:cs="Times New Roman"/>
                <w:i/>
                <w:sz w:val="18"/>
              </w:rPr>
              <w:t>n=187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missing/unspecified data lines.</w:t>
            </w:r>
          </w:p>
        </w:tc>
      </w:tr>
      <w:tr w:rsidR="00BC39C8" w:rsidRPr="000E14C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15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Results - Outcome Data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Report numbers of outcome events or summary measures.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BF0497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Results (Page 8-9</w:t>
            </w:r>
            <w:r w:rsidR="00E33328" w:rsidRPr="000E14C9">
              <w:rPr>
                <w:rFonts w:ascii="Times New Roman" w:hAnsi="Times New Roman" w:cs="Times New Roman"/>
                <w:sz w:val="18"/>
              </w:rPr>
              <w:t xml:space="preserve">) maps clinical outcome distributions: 605 active migraine cases, 549 </w:t>
            </w:r>
            <w:r w:rsidR="00E33328" w:rsidRPr="00CA4FA6">
              <w:rPr>
                <w:rFonts w:ascii="Times New Roman" w:hAnsi="Times New Roman" w:cs="Times New Roman"/>
                <w:i/>
                <w:sz w:val="18"/>
              </w:rPr>
              <w:t xml:space="preserve">TTH </w:t>
            </w:r>
            <w:r w:rsidR="00E33328" w:rsidRPr="000E14C9">
              <w:rPr>
                <w:rFonts w:ascii="Times New Roman" w:hAnsi="Times New Roman" w:cs="Times New Roman"/>
                <w:sz w:val="18"/>
              </w:rPr>
              <w:t>variants, and absolute counts per localized hub (Table 5).</w:t>
            </w:r>
          </w:p>
        </w:tc>
      </w:tr>
      <w:tr w:rsidR="00BC39C8" w:rsidRPr="000E14C9" w:rsidTr="001512FE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16a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Results - Main Results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Give</w:t>
            </w:r>
            <w:r w:rsidR="00CD6A32" w:rsidRPr="000E14C9">
              <w:rPr>
                <w:rFonts w:ascii="Times New Roman" w:hAnsi="Times New Roman" w:cs="Times New Roman"/>
                <w:sz w:val="18"/>
              </w:rPr>
              <w:t>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unadjusted estimates and, if applicable, confounder-adjusted estimates and their precision (eg, 95% confidence interval). Make clear which confounders were adjusted for and why they were included.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BF0497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Results (Page 8-9</w:t>
            </w:r>
            <w:r w:rsidR="00E33328" w:rsidRPr="000E14C9">
              <w:rPr>
                <w:rFonts w:ascii="Times New Roman" w:hAnsi="Times New Roman" w:cs="Times New Roman"/>
                <w:sz w:val="18"/>
              </w:rPr>
              <w:t xml:space="preserve">) establishes that female gender acts as an impactful risk layout, verified by a design-adjusted Rao-Scott test result of </w:t>
            </w:r>
            <w:r w:rsidR="00E33328" w:rsidRPr="001512FE">
              <w:rPr>
                <w:rFonts w:ascii="Times New Roman" w:hAnsi="Times New Roman" w:cs="Times New Roman"/>
                <w:i/>
                <w:sz w:val="18"/>
              </w:rPr>
              <w:t>F</w:t>
            </w:r>
            <w:r w:rsidR="001512FE" w:rsidRPr="001512FE">
              <w:rPr>
                <w:rFonts w:ascii="Times New Roman" w:hAnsi="Times New Roman" w:cs="Times New Roman"/>
                <w:i/>
                <w:sz w:val="18"/>
              </w:rPr>
              <w:t xml:space="preserve"> </w:t>
            </w:r>
            <w:r w:rsidR="00E33328" w:rsidRPr="001512FE">
              <w:rPr>
                <w:rFonts w:ascii="Times New Roman" w:hAnsi="Times New Roman" w:cs="Times New Roman"/>
                <w:i/>
                <w:sz w:val="18"/>
              </w:rPr>
              <w:t>(1, 8)</w:t>
            </w:r>
            <w:r w:rsidR="001512FE">
              <w:rPr>
                <w:rFonts w:ascii="Times New Roman" w:hAnsi="Times New Roman" w:cs="Times New Roman"/>
                <w:i/>
                <w:sz w:val="18"/>
              </w:rPr>
              <w:t xml:space="preserve"> </w:t>
            </w:r>
            <w:r w:rsidR="00E33328" w:rsidRPr="001512FE">
              <w:rPr>
                <w:rFonts w:ascii="Times New Roman" w:hAnsi="Times New Roman" w:cs="Times New Roman"/>
                <w:i/>
                <w:sz w:val="18"/>
              </w:rPr>
              <w:t>=14.81, p &lt; .001 (87.41% vs. 79.82%).</w:t>
            </w:r>
          </w:p>
        </w:tc>
      </w:tr>
      <w:tr w:rsidR="00BC39C8" w:rsidRPr="000E14C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16b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Results - Main Results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Report</w:t>
            </w:r>
            <w:r w:rsidR="00C5042C" w:rsidRPr="000E14C9">
              <w:rPr>
                <w:rFonts w:ascii="Times New Roman" w:hAnsi="Times New Roman" w:cs="Times New Roman"/>
                <w:sz w:val="18"/>
              </w:rPr>
              <w:t>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category boundaries when continuous variables were categorized.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BF0497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 xml:space="preserve">Results (Page </w:t>
            </w:r>
            <w:r w:rsidR="001512FE">
              <w:rPr>
                <w:rFonts w:ascii="Times New Roman" w:hAnsi="Times New Roman" w:cs="Times New Roman"/>
                <w:sz w:val="18"/>
              </w:rPr>
              <w:t>7-</w:t>
            </w:r>
            <w:r w:rsidRPr="000E14C9">
              <w:rPr>
                <w:rFonts w:ascii="Times New Roman" w:hAnsi="Times New Roman" w:cs="Times New Roman"/>
                <w:sz w:val="18"/>
              </w:rPr>
              <w:t>8-9</w:t>
            </w:r>
            <w:r w:rsidR="001512FE">
              <w:rPr>
                <w:rFonts w:ascii="Times New Roman" w:hAnsi="Times New Roman" w:cs="Times New Roman"/>
                <w:sz w:val="18"/>
              </w:rPr>
              <w:t>-10</w:t>
            </w:r>
            <w:r w:rsidR="00E33328" w:rsidRPr="000E14C9">
              <w:rPr>
                <w:rFonts w:ascii="Times New Roman" w:hAnsi="Times New Roman" w:cs="Times New Roman"/>
                <w:sz w:val="18"/>
              </w:rPr>
              <w:t>) maps operational age categories from 12 through 17 years and attack durations (&lt;1 hr, 1-2 hrs, 2-4 hrs, &gt;4 hrs, &gt;72 hrs).</w:t>
            </w:r>
          </w:p>
        </w:tc>
      </w:tr>
      <w:tr w:rsidR="00BC39C8" w:rsidRPr="000E14C9" w:rsidTr="00CA4FA6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lastRenderedPageBreak/>
              <w:t>16c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Results - Main Results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If relevant, consider translating estimates of relative risk into absolute risk for a meaningful time period.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BF0497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 xml:space="preserve">Results (Page </w:t>
            </w:r>
            <w:r w:rsidR="001512FE">
              <w:rPr>
                <w:rFonts w:ascii="Times New Roman" w:hAnsi="Times New Roman" w:cs="Times New Roman"/>
                <w:sz w:val="18"/>
              </w:rPr>
              <w:t>7-</w:t>
            </w:r>
            <w:r w:rsidRPr="000E14C9">
              <w:rPr>
                <w:rFonts w:ascii="Times New Roman" w:hAnsi="Times New Roman" w:cs="Times New Roman"/>
                <w:sz w:val="18"/>
              </w:rPr>
              <w:t>8-9</w:t>
            </w:r>
            <w:r w:rsidR="001512FE">
              <w:rPr>
                <w:rFonts w:ascii="Times New Roman" w:hAnsi="Times New Roman" w:cs="Times New Roman"/>
                <w:sz w:val="18"/>
              </w:rPr>
              <w:t>-10</w:t>
            </w:r>
            <w:r w:rsidR="00E33328" w:rsidRPr="000E14C9">
              <w:rPr>
                <w:rFonts w:ascii="Times New Roman" w:hAnsi="Times New Roman" w:cs="Times New Roman"/>
                <w:sz w:val="18"/>
              </w:rPr>
              <w:t>) and Table 5 translate clinical weight into absolute volume metrics, showing that the 13–15 window contains an absolute volume of 63.69% of all nationwide active cases (n=701).</w:t>
            </w:r>
          </w:p>
        </w:tc>
      </w:tr>
      <w:tr w:rsidR="00BC39C8" w:rsidRPr="000E14C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17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Results - Other Analyses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Report</w:t>
            </w:r>
            <w:r w:rsidR="00C5042C" w:rsidRPr="000E14C9">
              <w:rPr>
                <w:rFonts w:ascii="Times New Roman" w:hAnsi="Times New Roman" w:cs="Times New Roman"/>
                <w:sz w:val="18"/>
              </w:rPr>
              <w:t>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other analyses done—e</w:t>
            </w:r>
            <w:r w:rsidR="00C5042C" w:rsidRPr="000E14C9">
              <w:rPr>
                <w:rFonts w:ascii="Times New Roman" w:hAnsi="Times New Roman" w:cs="Times New Roman"/>
                <w:sz w:val="18"/>
              </w:rPr>
              <w:t xml:space="preserve">. </w:t>
            </w:r>
            <w:r w:rsidRPr="000E14C9">
              <w:rPr>
                <w:rFonts w:ascii="Times New Roman" w:hAnsi="Times New Roman" w:cs="Times New Roman"/>
                <w:sz w:val="18"/>
              </w:rPr>
              <w:t>g analyses of subgroups and interactions, and sensitivity analyses.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BF0497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Results (Page 6-7-8-9</w:t>
            </w:r>
            <w:r w:rsidR="00E33328" w:rsidRPr="000E14C9">
              <w:rPr>
                <w:rFonts w:ascii="Times New Roman" w:hAnsi="Times New Roman" w:cs="Times New Roman"/>
                <w:sz w:val="18"/>
              </w:rPr>
              <w:t>) and Table 3 detail complex multi-category age contingency breakdowns (F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E33328" w:rsidRPr="000E14C9">
              <w:rPr>
                <w:rFonts w:ascii="Times New Roman" w:hAnsi="Times New Roman" w:cs="Times New Roman"/>
                <w:sz w:val="18"/>
              </w:rPr>
              <w:t>[5, 4]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E33328" w:rsidRPr="000E14C9">
              <w:rPr>
                <w:rFonts w:ascii="Times New Roman" w:hAnsi="Times New Roman" w:cs="Times New Roman"/>
                <w:sz w:val="18"/>
              </w:rPr>
              <w:t>=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E33328" w:rsidRPr="000E14C9">
              <w:rPr>
                <w:rFonts w:ascii="Times New Roman" w:hAnsi="Times New Roman" w:cs="Times New Roman"/>
                <w:sz w:val="18"/>
              </w:rPr>
              <w:t>0.68, p=.616) to establish burden stabilization across the full lifecycle.</w:t>
            </w:r>
          </w:p>
        </w:tc>
      </w:tr>
      <w:tr w:rsidR="00BC39C8" w:rsidRPr="000E14C9" w:rsidTr="00CA4FA6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18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Discussion - Key Results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Summarize</w:t>
            </w:r>
            <w:r w:rsidR="00C5042C" w:rsidRPr="000E14C9">
              <w:rPr>
                <w:rFonts w:ascii="Times New Roman" w:hAnsi="Times New Roman" w:cs="Times New Roman"/>
                <w:sz w:val="18"/>
              </w:rPr>
              <w:t>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key results with reference to study objectives.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1512FE">
            <w:pPr>
              <w:spacing w:before="100" w:after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Discussion (Page </w:t>
            </w:r>
            <w:r w:rsidR="00BF0497" w:rsidRPr="000E14C9">
              <w:rPr>
                <w:rFonts w:ascii="Times New Roman" w:hAnsi="Times New Roman" w:cs="Times New Roman"/>
                <w:sz w:val="18"/>
              </w:rPr>
              <w:t>10-11-12</w:t>
            </w:r>
            <w:r>
              <w:rPr>
                <w:rFonts w:ascii="Times New Roman" w:hAnsi="Times New Roman" w:cs="Times New Roman"/>
                <w:sz w:val="18"/>
              </w:rPr>
              <w:t>-13</w:t>
            </w:r>
            <w:r w:rsidR="00E33328" w:rsidRPr="000E14C9">
              <w:rPr>
                <w:rFonts w:ascii="Times New Roman" w:hAnsi="Times New Roman" w:cs="Times New Roman"/>
                <w:sz w:val="18"/>
              </w:rPr>
              <w:t>) focuses on the gender-asymmetrical nature of pediatric cephalalgia and the developmental accumulation density peaking inside early-to-mid adolescence.</w:t>
            </w:r>
          </w:p>
        </w:tc>
      </w:tr>
      <w:tr w:rsidR="00BC39C8" w:rsidRPr="000E14C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19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Discussion - Limitations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Discuss</w:t>
            </w:r>
            <w:r w:rsidR="00C5042C" w:rsidRPr="000E14C9">
              <w:rPr>
                <w:rFonts w:ascii="Times New Roman" w:hAnsi="Times New Roman" w:cs="Times New Roman"/>
                <w:sz w:val="18"/>
              </w:rPr>
              <w:t>es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limitations of the study, taking into account sources of potential bias or imprecision. Discuss</w:t>
            </w:r>
            <w:r w:rsidR="00C5042C" w:rsidRPr="000E14C9">
              <w:rPr>
                <w:rFonts w:ascii="Times New Roman" w:hAnsi="Times New Roman" w:cs="Times New Roman"/>
                <w:sz w:val="18"/>
              </w:rPr>
              <w:t>es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both direction and magnitude of any potential bias.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BF0497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Introduction (Page 11-12) and Discussion</w:t>
            </w:r>
            <w:r w:rsidR="00E33328" w:rsidRPr="000E14C9">
              <w:rPr>
                <w:rFonts w:ascii="Times New Roman" w:hAnsi="Times New Roman" w:cs="Times New Roman"/>
                <w:sz w:val="18"/>
              </w:rPr>
              <w:t xml:space="preserve"> delineate systematic historical underestimation stemming from traditional adult criteria frameworks versus modern pediatric adaptations.</w:t>
            </w:r>
          </w:p>
        </w:tc>
      </w:tr>
      <w:tr w:rsidR="00BC39C8" w:rsidRPr="000E14C9" w:rsidTr="00CA4FA6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20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Discussion - Interpretation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Give</w:t>
            </w:r>
            <w:r w:rsidR="00C5042C" w:rsidRPr="000E14C9">
              <w:rPr>
                <w:rFonts w:ascii="Times New Roman" w:hAnsi="Times New Roman" w:cs="Times New Roman"/>
                <w:sz w:val="18"/>
              </w:rPr>
              <w:t>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a cautious overall interpretation of results considering objectives, limitations, multiplicity of analyses, results from similar studies, and other relevant evidence.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1512FE">
            <w:pPr>
              <w:spacing w:before="100" w:after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Discussion (Page 14-15-16</w:t>
            </w:r>
            <w:r w:rsidR="00E33328" w:rsidRPr="000E14C9">
              <w:rPr>
                <w:rFonts w:ascii="Times New Roman" w:hAnsi="Times New Roman" w:cs="Times New Roman"/>
                <w:sz w:val="18"/>
              </w:rPr>
              <w:t>) interprets findings via endocrine shifts, pubertal divergence, estrogen fluctuation hypersensitivity, and subcortical limbic system reorganization phases.</w:t>
            </w:r>
          </w:p>
        </w:tc>
      </w:tr>
      <w:tr w:rsidR="00BC39C8" w:rsidRPr="000E14C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21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Discussion - Generalisability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Discuss</w:t>
            </w:r>
            <w:r w:rsidR="00C5042C" w:rsidRPr="000E14C9">
              <w:rPr>
                <w:rFonts w:ascii="Times New Roman" w:hAnsi="Times New Roman" w:cs="Times New Roman"/>
                <w:sz w:val="18"/>
              </w:rPr>
              <w:t>es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the </w:t>
            </w:r>
            <w:r w:rsidR="00C5042C" w:rsidRPr="000E14C9">
              <w:rPr>
                <w:rFonts w:ascii="Times New Roman" w:hAnsi="Times New Roman" w:cs="Times New Roman"/>
                <w:sz w:val="18"/>
              </w:rPr>
              <w:t>generalizability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(external validity) of the study results.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BC39C8" w:rsidRPr="000E14C9" w:rsidRDefault="001512FE">
            <w:pPr>
              <w:spacing w:before="100" w:after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Discussion (Page 16</w:t>
            </w:r>
            <w:r w:rsidR="00E33328" w:rsidRPr="000E14C9">
              <w:rPr>
                <w:rFonts w:ascii="Times New Roman" w:hAnsi="Times New Roman" w:cs="Times New Roman"/>
                <w:sz w:val="18"/>
              </w:rPr>
              <w:t>) frames the regional data baseline as an essential epidemiologic footprint for transition economies matching international HARDSHIP benchmarks.</w:t>
            </w:r>
          </w:p>
        </w:tc>
      </w:tr>
      <w:tr w:rsidR="00BC39C8" w:rsidRPr="000E14C9" w:rsidTr="00CA4FA6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22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b/>
                <w:sz w:val="18"/>
              </w:rPr>
              <w:t>Other Information - Funding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Give</w:t>
            </w:r>
            <w:r w:rsidR="00C5042C" w:rsidRPr="000E14C9">
              <w:rPr>
                <w:rFonts w:ascii="Times New Roman" w:hAnsi="Times New Roman" w:cs="Times New Roman"/>
                <w:sz w:val="18"/>
              </w:rPr>
              <w:t>s</w:t>
            </w:r>
            <w:r w:rsidRPr="000E14C9">
              <w:rPr>
                <w:rFonts w:ascii="Times New Roman" w:hAnsi="Times New Roman" w:cs="Times New Roman"/>
                <w:sz w:val="18"/>
              </w:rPr>
              <w:t xml:space="preserve"> the source of funding and the role of the funders for the present study and, if applicable, for the original study on which the present article is based.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EAF1DD" w:themeFill="accent3" w:themeFillTint="33"/>
            <w:vAlign w:val="center"/>
          </w:tcPr>
          <w:p w:rsidR="00BC39C8" w:rsidRPr="000E14C9" w:rsidRDefault="00E33328">
            <w:pPr>
              <w:spacing w:before="100" w:after="100"/>
              <w:rPr>
                <w:rFonts w:ascii="Times New Roman" w:hAnsi="Times New Roman" w:cs="Times New Roman"/>
              </w:rPr>
            </w:pPr>
            <w:r w:rsidRPr="000E14C9">
              <w:rPr>
                <w:rFonts w:ascii="Times New Roman" w:hAnsi="Times New Roman" w:cs="Times New Roman"/>
                <w:sz w:val="18"/>
              </w:rPr>
              <w:t>Title Page (Page 1</w:t>
            </w:r>
            <w:r w:rsidR="001512FE">
              <w:rPr>
                <w:rFonts w:ascii="Times New Roman" w:hAnsi="Times New Roman" w:cs="Times New Roman"/>
                <w:sz w:val="18"/>
              </w:rPr>
              <w:t>6</w:t>
            </w:r>
            <w:r w:rsidRPr="000E14C9">
              <w:rPr>
                <w:rFonts w:ascii="Times New Roman" w:hAnsi="Times New Roman" w:cs="Times New Roman"/>
                <w:sz w:val="18"/>
              </w:rPr>
              <w:t>) clarifies that formal institutional identifiers and specific funding agency credits are fully omitted for double-blind review compliance.</w:t>
            </w:r>
          </w:p>
        </w:tc>
      </w:tr>
    </w:tbl>
    <w:p w:rsidR="00BC39C8" w:rsidRDefault="00BC39C8">
      <w:pPr>
        <w:pBdr>
          <w:top w:val="single" w:sz="4" w:space="6" w:color="CCCCCC"/>
        </w:pBdr>
        <w:spacing w:before="480" w:after="0"/>
      </w:pPr>
    </w:p>
    <w:sectPr w:rsidR="00BC39C8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75C1" w:rsidRDefault="009D75C1">
      <w:pPr>
        <w:spacing w:after="0" w:line="240" w:lineRule="auto"/>
      </w:pPr>
      <w:r>
        <w:separator/>
      </w:r>
    </w:p>
  </w:endnote>
  <w:endnote w:type="continuationSeparator" w:id="0">
    <w:p w:rsidR="009D75C1" w:rsidRDefault="009D7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3EE" w:rsidRDefault="009443E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3EE" w:rsidRDefault="009443E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3EE" w:rsidRDefault="009443E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75C1" w:rsidRDefault="009D75C1">
      <w:pPr>
        <w:spacing w:after="0" w:line="240" w:lineRule="auto"/>
      </w:pPr>
      <w:r>
        <w:separator/>
      </w:r>
    </w:p>
  </w:footnote>
  <w:footnote w:type="continuationSeparator" w:id="0">
    <w:p w:rsidR="009D75C1" w:rsidRDefault="009D7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3EE" w:rsidRDefault="009443E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9C8" w:rsidRPr="009443EE" w:rsidRDefault="00BC39C8" w:rsidP="009443E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3EE" w:rsidRDefault="009443E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3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E14C9"/>
    <w:rsid w:val="0015074B"/>
    <w:rsid w:val="001512FE"/>
    <w:rsid w:val="0029639D"/>
    <w:rsid w:val="002A58D0"/>
    <w:rsid w:val="00326F90"/>
    <w:rsid w:val="0053764D"/>
    <w:rsid w:val="00610EA7"/>
    <w:rsid w:val="006A17F6"/>
    <w:rsid w:val="00707A65"/>
    <w:rsid w:val="0083648B"/>
    <w:rsid w:val="00893329"/>
    <w:rsid w:val="008F7D62"/>
    <w:rsid w:val="009443EE"/>
    <w:rsid w:val="009D75C1"/>
    <w:rsid w:val="009E5D0C"/>
    <w:rsid w:val="00AA1D8D"/>
    <w:rsid w:val="00B47730"/>
    <w:rsid w:val="00BC39C8"/>
    <w:rsid w:val="00BF0497"/>
    <w:rsid w:val="00C5042C"/>
    <w:rsid w:val="00CA4FA6"/>
    <w:rsid w:val="00CB0664"/>
    <w:rsid w:val="00CB1083"/>
    <w:rsid w:val="00CD6A32"/>
    <w:rsid w:val="00E333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777777"/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310FB6B-966E-4AC0-8C4F-A2E88D34F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1513</Words>
  <Characters>8630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10123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2026-09-30T20:20:00Z</dcterms:created>
  <dcterms:modified xsi:type="dcterms:W3CDTF">2026-10-10T17:21:00Z</dcterms:modified>
  <cp:category/>
</cp:coreProperties>
</file>