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4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Additional file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rPr/>
      </w:pPr>
      <w:r w:rsidDel="00000000" w:rsidR="00000000" w:rsidRPr="00000000">
        <w:rPr>
          <w:rtl w:val="0"/>
        </w:rPr>
        <w:t xml:space="preserve">Supplementary Table S1. Exploratory associations between workplace conditions and additional time to finish work in Huambo, Angola</w:t>
      </w:r>
    </w:p>
    <w:tbl>
      <w:tblPr>
        <w:tblStyle w:val="Table1"/>
        <w:tblW w:w="8640.0" w:type="dxa"/>
        <w:jc w:val="left"/>
        <w:tblInd w:w="-115.0" w:type="dxa"/>
        <w:tblLayout w:type="fixed"/>
        <w:tblLook w:val="0400"/>
      </w:tblPr>
      <w:tblGrid>
        <w:gridCol w:w="1440"/>
        <w:gridCol w:w="1440"/>
        <w:gridCol w:w="1440"/>
        <w:gridCol w:w="1440"/>
        <w:gridCol w:w="1440"/>
        <w:gridCol w:w="1440"/>
        <w:tblGridChange w:id="0">
          <w:tblGrid>
            <w:gridCol w:w="1440"/>
            <w:gridCol w:w="1440"/>
            <w:gridCol w:w="1440"/>
            <w:gridCol w:w="1440"/>
            <w:gridCol w:w="1440"/>
            <w:gridCol w:w="14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Comparison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Additional time: group 1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Additional time: reference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Crude PR (95% CI)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Fisher p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Holm-adjusted 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PPE unavailable/rarely available vs sometimes/usually/always available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48/84 (57.1%)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78/137 (56.9%)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1.00 (0.79–1.27)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1.000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1.000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No employer-provided mental health support vs partial/adequate support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51/96 (53.1%)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64/108 (59.3%)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0.90 (0.70–1.14)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0.399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1.000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No adequate PPE training vs adequate PPE training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31/62 (50.0%)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84/144 (58.3%)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0.86 (0.64–1.14)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0.287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1.000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Hospital vs other stated workplace settings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86/148 (58.1%)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32/60 (53.3%)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1.09 (0.83–1.43)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0.541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1.000</w:t>
            </w:r>
          </w:p>
        </w:tc>
      </w:tr>
    </w:tbl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  <w:t xml:space="preserve">Notes. PR = prevalence ratio; CI = confidence interval; PPE = personal protective equipment. The outcome was a “yes” response to requiring additional time to finish work, compared with “no.” Participants with missing, uncertain, or preference-not-to-answer responses for either the outcome or the exposure relevant to a given comparison were excluded from that comparison only. Two-sided Fisher exact tests were used. Holm adjustment was applied across the four primary comparisons. Confidence intervals were not adjusted for multiplicity.</w:t>
      </w:r>
    </w:p>
    <w:p w:rsidR="00000000" w:rsidDel="00000000" w:rsidP="00000000" w:rsidRDefault="00000000" w:rsidRPr="00000000" w14:paraId="00000022">
      <w:pPr>
        <w:spacing w:line="480" w:lineRule="auto"/>
        <w:rPr/>
      </w:pPr>
      <w:r w:rsidDel="00000000" w:rsidR="00000000" w:rsidRPr="00000000">
        <w:rPr>
          <w:rtl w:val="0"/>
        </w:rPr>
        <w:t xml:space="preserve">Sensitivity analyses. When “sometimes available” was included in the lower PPE-availability category, the crude prevalence ratio was 1.21 (95% CI 0.93–1.57). When absence of employer-provided mental health support was compared with adequate support only, excluding partial support, the crude prevalence ratio was 0.84 (95% CI 0.64–1.11). These analyses were auxiliary and were not included in the Holm multiplicity adjustment.</w:t>
      </w:r>
    </w:p>
    <w:sectPr>
      <w:footerReference r:id="rId7" w:type="default"/>
      <w:pgSz w:h="15840" w:w="12240" w:orient="portrait"/>
      <w:pgMar w:bottom="1440" w:top="1440" w:left="1800" w:right="1800" w:header="720" w:footer="720"/>
      <w:lnNumType w:countBy="1" w:start="0" w:restart="newPage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zA/xjwoOuPZKX7k/X/rpthaO+w==">CgMxLjA4AHIhMXc4RXM0ZVQzT09BTFdWU2VnMFBoVlVYamNXTkhWQ1gt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