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169" w:rsidRDefault="00B335DB">
      <w:pPr>
        <w:spacing w:after="360"/>
        <w:rPr>
          <w:b/>
          <w:color w:val="1B365D"/>
          <w:sz w:val="32"/>
        </w:rPr>
      </w:pPr>
      <w:r>
        <w:rPr>
          <w:b/>
          <w:color w:val="1B365D"/>
          <w:sz w:val="32"/>
        </w:rPr>
        <w:t>STROBE Statement Checklist Verification Report</w:t>
      </w:r>
    </w:p>
    <w:p w:rsidR="008A51E1" w:rsidRDefault="00B335DB">
      <w:pPr>
        <w:spacing w:after="360"/>
        <w:rPr>
          <w:i/>
          <w:color w:val="555555"/>
        </w:rPr>
      </w:pPr>
      <w:r>
        <w:rPr>
          <w:b/>
          <w:color w:val="1B365D"/>
          <w:sz w:val="32"/>
        </w:rPr>
        <w:br/>
      </w:r>
      <w:r>
        <w:rPr>
          <w:i/>
          <w:color w:val="555555"/>
        </w:rPr>
        <w:t>Target Manuscript: Primary Headache Disorders in Adolescents: Prevalence, Phenotypic Patterns, and Multi-Dimensional Burden on Quality of Life and Psychosocial Well-Being</w:t>
      </w:r>
      <w:r w:rsidR="00163169">
        <w:rPr>
          <w:i/>
          <w:color w:val="555555"/>
        </w:rPr>
        <w:t xml:space="preserve"> Part I</w:t>
      </w:r>
    </w:p>
    <w:p w:rsidR="00163169" w:rsidRDefault="00163169">
      <w:pPr>
        <w:spacing w:after="360"/>
      </w:pPr>
    </w:p>
    <w:p w:rsidR="008A51E1" w:rsidRPr="00163169" w:rsidRDefault="00B335D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163169">
        <w:rPr>
          <w:rFonts w:ascii="Times New Roman" w:hAnsi="Times New Roman" w:cs="Times New Roman"/>
          <w:b/>
          <w:sz w:val="24"/>
          <w:szCs w:val="24"/>
        </w:rPr>
        <w:t xml:space="preserve">Study Design: </w:t>
      </w:r>
      <w:r w:rsidRPr="00163169">
        <w:rPr>
          <w:rFonts w:ascii="Times New Roman" w:hAnsi="Times New Roman" w:cs="Times New Roman"/>
          <w:sz w:val="24"/>
          <w:szCs w:val="24"/>
        </w:rPr>
        <w:t>Cross-Sectional School-Based Epidemiological Screening</w:t>
      </w:r>
      <w:r w:rsidRPr="00163169">
        <w:rPr>
          <w:rFonts w:ascii="Times New Roman" w:hAnsi="Times New Roman" w:cs="Times New Roman"/>
          <w:sz w:val="24"/>
          <w:szCs w:val="24"/>
        </w:rPr>
        <w:br/>
      </w:r>
      <w:r w:rsidRPr="00163169">
        <w:rPr>
          <w:rFonts w:ascii="Times New Roman" w:hAnsi="Times New Roman" w:cs="Times New Roman"/>
          <w:b/>
          <w:sz w:val="24"/>
          <w:szCs w:val="24"/>
        </w:rPr>
        <w:t xml:space="preserve">Guidelines Evaluated: </w:t>
      </w:r>
      <w:r w:rsidRPr="00163169">
        <w:rPr>
          <w:rFonts w:ascii="Times New Roman" w:hAnsi="Times New Roman" w:cs="Times New Roman"/>
          <w:sz w:val="24"/>
          <w:szCs w:val="24"/>
        </w:rPr>
        <w:t>Strengthening the Reporting of Observational Studies in Epidemiology (STROBE) Guidelines</w:t>
      </w:r>
      <w:r w:rsidRPr="00163169">
        <w:rPr>
          <w:rFonts w:ascii="Times New Roman" w:hAnsi="Times New Roman" w:cs="Times New Roman"/>
          <w:sz w:val="24"/>
          <w:szCs w:val="24"/>
        </w:rPr>
        <w:br/>
      </w:r>
      <w:r w:rsidRPr="00163169">
        <w:rPr>
          <w:rFonts w:ascii="Times New Roman" w:hAnsi="Times New Roman" w:cs="Times New Roman"/>
          <w:b/>
          <w:sz w:val="24"/>
          <w:szCs w:val="24"/>
        </w:rPr>
        <w:t xml:space="preserve">Verification Baseline: </w:t>
      </w:r>
      <w:r w:rsidRPr="00163169">
        <w:rPr>
          <w:rFonts w:ascii="Times New Roman" w:hAnsi="Times New Roman" w:cs="Times New Roman"/>
          <w:sz w:val="24"/>
          <w:szCs w:val="24"/>
        </w:rPr>
        <w:t>Rao-Scott Design-Adjusted Cluster Analytics (N=1,379 Georgian Youth</w:t>
      </w:r>
      <w:r w:rsidR="00736AA1" w:rsidRPr="00163169">
        <w:rPr>
          <w:rFonts w:ascii="Times New Roman" w:hAnsi="Times New Roman" w:cs="Times New Roman"/>
          <w:sz w:val="24"/>
          <w:szCs w:val="24"/>
        </w:rPr>
        <w:t xml:space="preserve">) </w:t>
      </w:r>
      <w:r w:rsidRPr="00163169">
        <w:rPr>
          <w:rFonts w:ascii="Times New Roman" w:hAnsi="Times New Roman" w:cs="Times New Roman"/>
          <w:sz w:val="24"/>
          <w:szCs w:val="24"/>
        </w:rPr>
        <w:br/>
      </w:r>
      <w:r w:rsidRPr="00163169">
        <w:rPr>
          <w:rFonts w:ascii="Times New Roman" w:hAnsi="Times New Roman" w:cs="Times New Roman"/>
          <w:b/>
          <w:sz w:val="24"/>
          <w:szCs w:val="24"/>
        </w:rPr>
        <w:t xml:space="preserve">Status: </w:t>
      </w:r>
      <w:r w:rsidRPr="00163169">
        <w:rPr>
          <w:rFonts w:ascii="Times New Roman" w:hAnsi="Times New Roman" w:cs="Times New Roman"/>
          <w:color w:val="2E7D32"/>
          <w:sz w:val="24"/>
          <w:szCs w:val="24"/>
        </w:rPr>
        <w:t>Fully Compliant</w:t>
      </w:r>
    </w:p>
    <w:p w:rsidR="008A51E1" w:rsidRPr="00163169" w:rsidRDefault="008A51E1">
      <w:pPr>
        <w:pBdr>
          <w:bottom w:val="single" w:sz="6" w:space="1" w:color="CCCCCC"/>
        </w:pBdr>
        <w:spacing w:after="360"/>
        <w:rPr>
          <w:rFonts w:ascii="Times New Roman" w:hAnsi="Times New Roman" w:cs="Times New Roman"/>
          <w:sz w:val="24"/>
          <w:szCs w:val="24"/>
        </w:rPr>
      </w:pPr>
    </w:p>
    <w:p w:rsidR="008A51E1" w:rsidRDefault="00B335DB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163169">
        <w:rPr>
          <w:rFonts w:ascii="Times New Roman" w:hAnsi="Times New Roman" w:cs="Times New Roman"/>
          <w:sz w:val="24"/>
          <w:szCs w:val="24"/>
        </w:rPr>
        <w:t>This report systematically documents compliance with the 22 core checklist items mandated by the STROBE statement for cross-sectional research. Each section parameter addresses design specifications, internal adju</w:t>
      </w:r>
      <w:bookmarkStart w:id="0" w:name="_GoBack"/>
      <w:bookmarkEnd w:id="0"/>
      <w:r w:rsidRPr="00163169">
        <w:rPr>
          <w:rFonts w:ascii="Times New Roman" w:hAnsi="Times New Roman" w:cs="Times New Roman"/>
          <w:sz w:val="24"/>
          <w:szCs w:val="24"/>
        </w:rPr>
        <w:t>stments, missing metrics mapping, and clinical precision verification.</w:t>
      </w:r>
    </w:p>
    <w:p w:rsidR="00163169" w:rsidRPr="00163169" w:rsidRDefault="00163169">
      <w:pPr>
        <w:spacing w:after="24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64"/>
        <w:gridCol w:w="1872"/>
        <w:gridCol w:w="3168"/>
        <w:gridCol w:w="3456"/>
      </w:tblGrid>
      <w:tr w:rsidR="008A51E1" w:rsidRPr="00163169" w:rsidTr="000F79D5">
        <w:trPr>
          <w:jc w:val="center"/>
        </w:trPr>
        <w:tc>
          <w:tcPr>
            <w:tcW w:w="864" w:type="dxa"/>
            <w:tcBorders>
              <w:bottom w:val="single" w:sz="12" w:space="0" w:color="1B365D"/>
            </w:tcBorders>
            <w:shd w:val="clear" w:color="auto" w:fill="D9D9D9" w:themeFill="background1" w:themeFillShade="D9"/>
          </w:tcPr>
          <w:p w:rsidR="008A51E1" w:rsidRPr="000F79D5" w:rsidRDefault="00B335DB">
            <w:pPr>
              <w:spacing w:before="80" w:after="8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79D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Item</w:t>
            </w:r>
          </w:p>
        </w:tc>
        <w:tc>
          <w:tcPr>
            <w:tcW w:w="1872" w:type="dxa"/>
            <w:shd w:val="clear" w:color="auto" w:fill="D9D9D9" w:themeFill="background1" w:themeFillShade="D9"/>
          </w:tcPr>
          <w:p w:rsidR="008A51E1" w:rsidRPr="000F79D5" w:rsidRDefault="00B335DB">
            <w:pPr>
              <w:spacing w:before="80" w:after="8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79D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Section / Topic</w:t>
            </w:r>
          </w:p>
        </w:tc>
        <w:tc>
          <w:tcPr>
            <w:tcW w:w="3168" w:type="dxa"/>
            <w:shd w:val="clear" w:color="auto" w:fill="D9D9D9" w:themeFill="background1" w:themeFillShade="D9"/>
          </w:tcPr>
          <w:p w:rsidR="008A51E1" w:rsidRPr="000F79D5" w:rsidRDefault="00B335DB">
            <w:pPr>
              <w:spacing w:before="80" w:after="8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79D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STROBE Requirement Description</w:t>
            </w:r>
          </w:p>
        </w:tc>
        <w:tc>
          <w:tcPr>
            <w:tcW w:w="3456" w:type="dxa"/>
            <w:shd w:val="clear" w:color="auto" w:fill="D9D9D9" w:themeFill="background1" w:themeFillShade="D9"/>
          </w:tcPr>
          <w:p w:rsidR="008A51E1" w:rsidRPr="000F79D5" w:rsidRDefault="00B335DB">
            <w:pPr>
              <w:spacing w:before="80" w:after="80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F79D5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Specific Manuscript Localization &amp; Evidence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Title &amp; Abstract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Indicate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the study's design with a commonly used term in the title or the abstract.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Title (Page 1) indicates cross-sectional evaluation; Abstract (Page 1) states 'cross-sectional school-based screening'.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Title &amp; Abstract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Provide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in the abstract an informative and balanced summary of what was done and what was found.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Abstract (Page 2-3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details the background, network tracking (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HARDSHIP),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cluster sample configuration, Rao-Scott adjustments, core F-test analytics, and screening conclusions.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Introduction - Background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the scientific background and rationale for 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investigation being reported.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Introduction (Page </w:t>
            </w:r>
            <w:r w:rsidR="0001531D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outlines global pediatric pain parameters, developmental milestone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interactions,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GBD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frameworks, and the lack of empirical regional mapping in Eastern Europe.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Introduction - Objectives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State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specific objectives, including any prespecified hypotheses.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Introduction (Page 5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explicitly states the objective to evaluate how specific pain profiles alter behavioral outcomes, peer integration, and health-related quality of life via cluster adjustments.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Study Design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Present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key elements of study design early in the paper.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Materials and Methods (Page 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frames the design as a population-based, school-centered cross-sectional design utilizing systematic cluster tracking.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Setting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the setting, locations, and relevant dates, including periods of recruitment, exposure, follow-up, and data collection.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Materials and Methods (Page 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6-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clarifies the setting across 9 public and private educational institutions serving as primary sampling units in Georgia across a 12-month recall layout.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the eligibility criteria, and the sources and methods of selection of participants.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characterizes target parameters: actively school-enrolled youth aged 12–17 years within designated cluster frameworks, noting exclusion parameters due to absenteeism or non-consent.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Variables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Clearly define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all outcomes, exposures, predictors, potential confounders, and effect modifiers. 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diagnostic criteria, if applicable.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and Results (Page 2-3) define predictors (headache frequency), primary endpoints (multidimensional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HRQOL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sub-domains via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PedsQL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modules, daily routine profiles), and clinical classifications.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Data Sources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For each variable of interest, 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sources of data and details of methods of assessment (measurement). 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comparability of assessment methods if there is more than one group.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77192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establishes the data source as the standardized, culturally adapted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HARDSHIP i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nstrument mapping distinct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PedMIDAS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PedsQL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metrics via standardized classroom protocols.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Bias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any efforts to address potential sources of bias.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8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-7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and Discussion (Page 3) detail operational uniformity via team-supervised in-class administration screens and structural cluster adjustments to limit systematic sampling bias.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Study Size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how the study size was arrived at.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77192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states the study analyzed a definitive network cluster sample of 1,379 valid participants extracted from an eligible base pool of 1,818 students.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Quantitative Variables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how quantitative variables were handled in the analyses. If applicable, 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which groupings were chosen and why.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77192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and Results (Page 2-3) show primary metrics were handled categorically via scaled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HRQOL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parameters, frequency matrices, and physical activity levels.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12a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all statistical methods, including those used to control for confounding.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77192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documents the implementation of first- and second-order Rao-Scott design adjustments within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SPSS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Complex Samples to manage cluster variance dependencies.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12b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any methods used to examine subgroups and interactions.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 (Page 8-9-10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and Tables 1 &amp; 2 layout subgroup interaction checks examining severe pain sufferers versus mild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pain variants across active exercise profiles.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12c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how missing data were addressed.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 (Page 8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states that missing parameters were transparently flagged and quantified within analytical tables (e.g., gender missingness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n=4;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unspecified physical metrics).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12d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If applicable, 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analytical methods taking account of sampling strategy.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8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describes how traditional unadjusted standard errors were converted into conservative, design-corrected Fisher’s (F) distributions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(DF1=1, DF2=8) given a DEFF of 1.25.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12e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Methods - Statistical Methods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Describe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any sensitivity analyses.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77192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 (Page 7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and Table 2 contrast design-adjusted variance modifications across resilient vs. impacted domains to ensure alpha stabilization.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13a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numbers of individuals at each stage of study—eg numbers potentially eligible, examined for eligibility, confirmed eligible, included in the study, completing follow-up, and analysed.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8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traces the tracking workflow from 1,818 initial candidates down to the final analytical pool of 1,379 active school-enrolled youth, noting 439 dropouts.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13b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reasons for non-participation at each stage.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Materials and Methods (Page 8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attributes non-participation parameters explicitly to educational absenteeism on operational testing dates or missing parental informed consent documentation.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13c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Participants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Consider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use of a flow diagram.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Described textually in the participant workflow path with</w:t>
            </w:r>
            <w:r w:rsidR="00124BD5">
              <w:rPr>
                <w:rFonts w:ascii="Times New Roman" w:hAnsi="Times New Roman" w:cs="Times New Roman"/>
                <w:sz w:val="24"/>
                <w:szCs w:val="24"/>
              </w:rPr>
              <w:t>in Materials and Methods (Page 8-9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14a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Descriptive Data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characteristics of study participants (e</w:t>
            </w:r>
            <w:r w:rsidR="00736A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g demographic, clinical, </w:t>
            </w:r>
            <w:r w:rsidR="00736AA1" w:rsidRPr="00163169">
              <w:rPr>
                <w:rFonts w:ascii="Times New Roman" w:hAnsi="Times New Roman" w:cs="Times New Roman"/>
                <w:sz w:val="24"/>
                <w:szCs w:val="24"/>
              </w:rPr>
              <w:t>and social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) and information on exposures and potential confounders.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 (Page 8-9-10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breaks down initial cumulative exposure matrices (94.92% lifetime prevalence, 83.75% active 12-month metrics), pain chronicity distributions, and temporal profiles.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14b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Descriptive Data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Indicate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number of participants with missing data for each variable of interest.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Quantified in Table 1 and Table 2 (e.g., </w:t>
            </w:r>
            <w:r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n=187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missing/unspecified for subjective pain severity scales).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Outcome Data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numbers of outcome events or summary measures.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Results (Page 2-3) reports detailed event distributions: 605 migraine formats, </w:t>
            </w:r>
            <w:r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549 TTH profiles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, and specific physical activity configurations.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16a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Main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unadjusted estimates and, if applicable, confounder-adjusted estimates and their precision (eg, 95% confidence interval). Make clear which confounders were adjusted for and why they were included.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Results (Page 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7-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and Table 2 document design-adjusted Fisher allocations (Physical energy restriction </w:t>
            </w:r>
            <w:r w:rsidR="00B335DB" w:rsidRPr="00163169">
              <w:rPr>
                <w:rFonts w:ascii="Times New Roman" w:hAnsi="Times New Roman" w:cs="Times New Roman"/>
                <w:i/>
                <w:sz w:val="24"/>
                <w:szCs w:val="24"/>
              </w:rPr>
              <w:t>F=59.10; functional fatigue F=52.90; isolation F=18.31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with clear alpha precision boundaries.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16b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Main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category boundaries when continuous variables were categorized.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 (Page 8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) defines pain intensity boundaries via standardized </w:t>
            </w:r>
            <w:r w:rsidR="00B335DB" w:rsidRPr="001771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HARDSHIP 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metrics: mild ('not bad'), moderate ('quite bad'), and severe ('very bad').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16c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Main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If relevant, consider translating estimates of 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relative risk into absolute risk for a meaningful time period.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Table 1 maps absolute cross-tabulated shares showing a 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63.69% absolute exercise avoidance profile within high-frequency pain boundaries.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17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Results - Other Analyses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Report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other analyses done—e</w:t>
            </w:r>
            <w:r w:rsidR="00736A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 analyses of subgroups and interactions, and sensitivity analyses.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Results (Page 8-9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traces specialized psychosocial domain tracking, demonstrating structural resilience across childhood anxiety (p=.425) and happiness indices (p=.106).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Discussion - Key Results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Summarize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key results with reference to study objectives.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(Page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10-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>-12-13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highlights how recurring cephalalgia acts as an independent orchestrator of vital energy depletion, physical literacy restriction, and developmental isolation.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Discussion - Limitations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Discuss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limitations of the study, taking into account sources of potential bias or imprecision. Discuss both direction and magnitude of any potential bias.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(Page 12-13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contextualizes cross-sectional design restrictions, potential environmental components, and institutional cluster variance parameters.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Discussion - Interpretation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a cautious overall interpretation of results considering objectives, limitations, multiplicity of analyses, results from similar studies, and other relevant evidence.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124BD5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(Page 12,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13,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1771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synthesizes findings within global pediatric health frameworks, evaluating the role of fear-avoidance configurations and multi-generational protective buffering networks.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Discussion - Generalisability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Discuss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es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736AA1" w:rsidRPr="00163169">
              <w:rPr>
                <w:rFonts w:ascii="Times New Roman" w:hAnsi="Times New Roman" w:cs="Times New Roman"/>
                <w:sz w:val="24"/>
                <w:szCs w:val="24"/>
              </w:rPr>
              <w:t>generalizability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(external validity) of the study results.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vAlign w:val="center"/>
          </w:tcPr>
          <w:p w:rsidR="008A51E1" w:rsidRPr="00163169" w:rsidRDefault="00177192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Discussion (Page 13</w:t>
            </w:r>
            <w:r w:rsidR="00B335DB" w:rsidRPr="00163169">
              <w:rPr>
                <w:rFonts w:ascii="Times New Roman" w:hAnsi="Times New Roman" w:cs="Times New Roman"/>
                <w:sz w:val="24"/>
                <w:szCs w:val="24"/>
              </w:rPr>
              <w:t>) notes the utility of the Rao-Scott design engine in establishing a consistent, cluster-corrected epidemiological baseline generalizable to transition economic zones within Eastern Europe.</w:t>
            </w:r>
          </w:p>
        </w:tc>
      </w:tr>
      <w:tr w:rsidR="008A51E1" w:rsidRPr="00163169">
        <w:trPr>
          <w:jc w:val="center"/>
        </w:trPr>
        <w:tc>
          <w:tcPr>
            <w:tcW w:w="864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22</w:t>
            </w:r>
          </w:p>
        </w:tc>
        <w:tc>
          <w:tcPr>
            <w:tcW w:w="1872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b/>
                <w:sz w:val="24"/>
                <w:szCs w:val="24"/>
              </w:rPr>
              <w:t>Other Information - Funding</w:t>
            </w:r>
          </w:p>
        </w:tc>
        <w:tc>
          <w:tcPr>
            <w:tcW w:w="3168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Give</w:t>
            </w:r>
            <w:r w:rsidR="00163169" w:rsidRPr="0016316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 xml:space="preserve"> the source of funding and the role of the funders for the present study and, if applicable, for the original study on which the present article is based.</w:t>
            </w:r>
          </w:p>
        </w:tc>
        <w:tc>
          <w:tcPr>
            <w:tcW w:w="3456" w:type="dxa"/>
            <w:tcBorders>
              <w:bottom w:val="single" w:sz="4" w:space="0" w:color="E2E8F0"/>
            </w:tcBorders>
            <w:shd w:val="clear" w:color="auto" w:fill="F1F5F9"/>
            <w:vAlign w:val="center"/>
          </w:tcPr>
          <w:p w:rsidR="008A51E1" w:rsidRPr="00163169" w:rsidRDefault="00B335DB">
            <w:pPr>
              <w:spacing w:before="100" w:after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163169">
              <w:rPr>
                <w:rFonts w:ascii="Times New Roman" w:hAnsi="Times New Roman" w:cs="Times New Roman"/>
                <w:sz w:val="24"/>
                <w:szCs w:val="24"/>
              </w:rPr>
              <w:t>Title Page (Page 1) notes that author identities and institutional grant data dependencies are fully omitted to preserve the double-blind peer-review standard.</w:t>
            </w:r>
          </w:p>
        </w:tc>
      </w:tr>
    </w:tbl>
    <w:p w:rsidR="008A51E1" w:rsidRDefault="008A51E1" w:rsidP="00163169">
      <w:pPr>
        <w:pBdr>
          <w:top w:val="single" w:sz="4" w:space="6" w:color="CCCCCC"/>
        </w:pBdr>
        <w:spacing w:before="480" w:after="0"/>
      </w:pPr>
    </w:p>
    <w:sectPr w:rsidR="008A51E1" w:rsidSect="000346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E97" w:rsidRDefault="00C30E97">
      <w:pPr>
        <w:spacing w:after="0" w:line="240" w:lineRule="auto"/>
      </w:pPr>
      <w:r>
        <w:separator/>
      </w:r>
    </w:p>
  </w:endnote>
  <w:endnote w:type="continuationSeparator" w:id="0">
    <w:p w:rsidR="00C30E97" w:rsidRDefault="00C30E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9EB" w:rsidRDefault="009B59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9EB" w:rsidRDefault="009B59E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9EB" w:rsidRDefault="009B59E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E97" w:rsidRDefault="00C30E97">
      <w:pPr>
        <w:spacing w:after="0" w:line="240" w:lineRule="auto"/>
      </w:pPr>
      <w:r>
        <w:separator/>
      </w:r>
    </w:p>
  </w:footnote>
  <w:footnote w:type="continuationSeparator" w:id="0">
    <w:p w:rsidR="00C30E97" w:rsidRDefault="00C30E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9EB" w:rsidRDefault="009B59E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1E1" w:rsidRPr="009B59EB" w:rsidRDefault="008A51E1" w:rsidP="009B59E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59EB" w:rsidRDefault="009B59E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13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1531D"/>
    <w:rsid w:val="00034616"/>
    <w:rsid w:val="0006063C"/>
    <w:rsid w:val="000F79D5"/>
    <w:rsid w:val="00124BD5"/>
    <w:rsid w:val="0015074B"/>
    <w:rsid w:val="00163169"/>
    <w:rsid w:val="00177192"/>
    <w:rsid w:val="0029639D"/>
    <w:rsid w:val="00326F90"/>
    <w:rsid w:val="003F04FF"/>
    <w:rsid w:val="0062623F"/>
    <w:rsid w:val="00736AA1"/>
    <w:rsid w:val="008A51E1"/>
    <w:rsid w:val="009B59EB"/>
    <w:rsid w:val="00AA1D8D"/>
    <w:rsid w:val="00B335DB"/>
    <w:rsid w:val="00B34268"/>
    <w:rsid w:val="00B47730"/>
    <w:rsid w:val="00C1403B"/>
    <w:rsid w:val="00C279BD"/>
    <w:rsid w:val="00C30E97"/>
    <w:rsid w:val="00CB0664"/>
    <w:rsid w:val="00CD3F73"/>
    <w:rsid w:val="00D021DE"/>
    <w:rsid w:val="00E47C1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777777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10529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2026-10-01T13:52:00Z</dcterms:created>
  <dcterms:modified xsi:type="dcterms:W3CDTF">2026-10-10T17:22:00Z</dcterms:modified>
  <cp:category/>
</cp:coreProperties>
</file>