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E02FDE" w14:textId="44C2D003" w:rsidR="002F01D4" w:rsidRDefault="002F01D4" w:rsidP="003B76E2">
      <w:pPr>
        <w:widowControl w:val="0"/>
        <w:autoSpaceDE w:val="0"/>
        <w:autoSpaceDN w:val="0"/>
        <w:adjustRightInd w:val="0"/>
        <w:jc w:val="both"/>
        <w:rPr>
          <w:b/>
          <w:bCs/>
          <w:sz w:val="28"/>
          <w:szCs w:val="28"/>
          <w:lang w:val="en-US"/>
        </w:rPr>
      </w:pPr>
      <w:r w:rsidRPr="006C6D25">
        <w:rPr>
          <w:b/>
          <w:bCs/>
          <w:sz w:val="28"/>
          <w:szCs w:val="28"/>
          <w:lang w:val="en-US"/>
        </w:rPr>
        <w:t xml:space="preserve">Supplementary </w:t>
      </w:r>
      <w:r w:rsidR="00BB7045">
        <w:rPr>
          <w:b/>
          <w:bCs/>
          <w:sz w:val="28"/>
          <w:szCs w:val="28"/>
          <w:lang w:val="en-US"/>
        </w:rPr>
        <w:t>data</w:t>
      </w:r>
    </w:p>
    <w:p w14:paraId="00B2D1EB" w14:textId="1338A267" w:rsidR="00BB7045" w:rsidRDefault="00BB7045" w:rsidP="003B76E2">
      <w:pPr>
        <w:widowControl w:val="0"/>
        <w:autoSpaceDE w:val="0"/>
        <w:autoSpaceDN w:val="0"/>
        <w:adjustRightInd w:val="0"/>
        <w:jc w:val="both"/>
        <w:rPr>
          <w:b/>
          <w:bCs/>
          <w:sz w:val="28"/>
          <w:szCs w:val="28"/>
          <w:lang w:val="en-US"/>
        </w:rPr>
      </w:pPr>
    </w:p>
    <w:p w14:paraId="632ED528" w14:textId="77777777" w:rsidR="00760B34" w:rsidRPr="002009B7" w:rsidRDefault="00760B34" w:rsidP="003B76E2">
      <w:pPr>
        <w:jc w:val="both"/>
        <w:rPr>
          <w:lang w:val="en-US"/>
        </w:rPr>
      </w:pPr>
      <w:bookmarkStart w:id="0" w:name="_Toc86073621"/>
      <w:r w:rsidRPr="002009B7">
        <w:rPr>
          <w:lang w:val="en-US"/>
        </w:rPr>
        <w:t xml:space="preserve">CYANIDIN 3-GLUCOSIDE IS A SELECTIVE INHIBITOR OF HEPATIC BILIRUBIN </w:t>
      </w:r>
      <w:r>
        <w:rPr>
          <w:lang w:val="en-US"/>
        </w:rPr>
        <w:t>UPTAKE</w:t>
      </w:r>
      <w:bookmarkEnd w:id="0"/>
      <w:r w:rsidRPr="002009B7">
        <w:rPr>
          <w:lang w:val="en-US"/>
        </w:rPr>
        <w:t xml:space="preserve"> </w:t>
      </w:r>
    </w:p>
    <w:p w14:paraId="16B4509A" w14:textId="77777777" w:rsidR="00760B34" w:rsidRPr="00847925" w:rsidRDefault="00760B34" w:rsidP="003B76E2">
      <w:pPr>
        <w:jc w:val="both"/>
        <w:rPr>
          <w:lang w:val="en-US"/>
        </w:rPr>
      </w:pPr>
    </w:p>
    <w:p w14:paraId="1E84DB18" w14:textId="614C5695" w:rsidR="00760B34" w:rsidRPr="00847925" w:rsidRDefault="00760B34" w:rsidP="003B76E2">
      <w:pPr>
        <w:jc w:val="both"/>
      </w:pPr>
      <w:r>
        <w:t xml:space="preserve">Paola </w:t>
      </w:r>
      <w:r w:rsidRPr="00847925">
        <w:t>Pelizzo</w:t>
      </w:r>
      <w:r w:rsidRPr="00847925">
        <w:rPr>
          <w:vertAlign w:val="superscript"/>
        </w:rPr>
        <w:t>1</w:t>
      </w:r>
      <w:r>
        <w:t>, Marco Stebel</w:t>
      </w:r>
      <w:r w:rsidRPr="00847925">
        <w:rPr>
          <w:vertAlign w:val="superscript"/>
        </w:rPr>
        <w:t>1</w:t>
      </w:r>
      <w:r>
        <w:t>*, Nevenka Medic</w:t>
      </w:r>
      <w:r w:rsidRPr="00847925">
        <w:rPr>
          <w:vertAlign w:val="superscript"/>
        </w:rPr>
        <w:t>1</w:t>
      </w:r>
      <w:r>
        <w:t>*, Paola Sist</w:t>
      </w:r>
      <w:r w:rsidRPr="00847925">
        <w:rPr>
          <w:vertAlign w:val="superscript"/>
        </w:rPr>
        <w:t>1</w:t>
      </w:r>
      <w:r>
        <w:t>, Andreja Vanzo</w:t>
      </w:r>
      <w:r>
        <w:rPr>
          <w:vertAlign w:val="superscript"/>
        </w:rPr>
        <w:t>2</w:t>
      </w:r>
      <w:r>
        <w:t>, Andrea Anesi</w:t>
      </w:r>
      <w:r>
        <w:rPr>
          <w:vertAlign w:val="superscript"/>
        </w:rPr>
        <w:t>3</w:t>
      </w:r>
      <w:r>
        <w:t>, Urska Vrhovsek</w:t>
      </w:r>
      <w:r>
        <w:rPr>
          <w:vertAlign w:val="superscript"/>
        </w:rPr>
        <w:t>3</w:t>
      </w:r>
      <w:r>
        <w:t>, Federica Tramer</w:t>
      </w:r>
      <w:r w:rsidRPr="00847925">
        <w:rPr>
          <w:vertAlign w:val="superscript"/>
        </w:rPr>
        <w:t>1</w:t>
      </w:r>
      <w:r>
        <w:t>, Sabina Passamonti</w:t>
      </w:r>
      <w:r w:rsidRPr="00847925">
        <w:rPr>
          <w:vertAlign w:val="superscript"/>
        </w:rPr>
        <w:t>1</w:t>
      </w:r>
      <w:r>
        <w:rPr>
          <w:vertAlign w:val="superscript"/>
        </w:rPr>
        <w:t>§</w:t>
      </w:r>
    </w:p>
    <w:p w14:paraId="69D5F591" w14:textId="77777777" w:rsidR="00760B34" w:rsidRPr="00847925" w:rsidRDefault="00760B34" w:rsidP="003B76E2">
      <w:pPr>
        <w:jc w:val="both"/>
        <w:rPr>
          <w:vertAlign w:val="superscript"/>
        </w:rPr>
      </w:pPr>
    </w:p>
    <w:p w14:paraId="503AB150" w14:textId="77777777" w:rsidR="00760B34" w:rsidRDefault="00760B34" w:rsidP="003B76E2">
      <w:pPr>
        <w:jc w:val="both"/>
        <w:rPr>
          <w:lang w:val="en-US"/>
        </w:rPr>
      </w:pPr>
      <w:r w:rsidRPr="00847925">
        <w:rPr>
          <w:vertAlign w:val="superscript"/>
          <w:lang w:val="en-US"/>
        </w:rPr>
        <w:t>1</w:t>
      </w:r>
      <w:r w:rsidRPr="00847925">
        <w:rPr>
          <w:lang w:val="en-US"/>
        </w:rPr>
        <w:t>Department of Life S</w:t>
      </w:r>
      <w:r>
        <w:rPr>
          <w:lang w:val="en-US"/>
        </w:rPr>
        <w:t>ciences, University of Trieste, Italy</w:t>
      </w:r>
    </w:p>
    <w:p w14:paraId="76B12AA4" w14:textId="77777777" w:rsidR="00760B34" w:rsidRDefault="00760B34" w:rsidP="003B76E2">
      <w:pPr>
        <w:jc w:val="both"/>
        <w:rPr>
          <w:lang w:val="en-US"/>
        </w:rPr>
      </w:pPr>
      <w:r>
        <w:rPr>
          <w:lang w:val="en-US"/>
        </w:rPr>
        <w:t>2 Agricultural Institute of Slovenia, Ljubljana, Slovenia</w:t>
      </w:r>
    </w:p>
    <w:p w14:paraId="05BDDAF4" w14:textId="77777777" w:rsidR="00760B34" w:rsidRDefault="00760B34" w:rsidP="003B76E2">
      <w:pPr>
        <w:jc w:val="both"/>
        <w:rPr>
          <w:lang w:val="en-US"/>
        </w:rPr>
      </w:pPr>
      <w:r>
        <w:rPr>
          <w:lang w:val="en-US"/>
        </w:rPr>
        <w:t xml:space="preserve">3 Edmund Mach Foundation, San Michele </w:t>
      </w:r>
      <w:proofErr w:type="spellStart"/>
      <w:r>
        <w:rPr>
          <w:lang w:val="en-US"/>
        </w:rPr>
        <w:t>all’Adige</w:t>
      </w:r>
      <w:proofErr w:type="spellEnd"/>
      <w:r>
        <w:rPr>
          <w:lang w:val="en-US"/>
        </w:rPr>
        <w:t>, Italy</w:t>
      </w:r>
    </w:p>
    <w:p w14:paraId="5F858267" w14:textId="77777777" w:rsidR="00760B34" w:rsidRDefault="00760B34" w:rsidP="003B76E2">
      <w:pPr>
        <w:jc w:val="both"/>
        <w:rPr>
          <w:lang w:val="en-US"/>
        </w:rPr>
      </w:pPr>
      <w:r>
        <w:rPr>
          <w:lang w:val="en-US"/>
        </w:rPr>
        <w:t>* These authors contributed equally</w:t>
      </w:r>
    </w:p>
    <w:p w14:paraId="1FE8995D" w14:textId="77777777" w:rsidR="00760B34" w:rsidRPr="0065696B" w:rsidRDefault="00760B34" w:rsidP="003B76E2">
      <w:pPr>
        <w:jc w:val="both"/>
        <w:rPr>
          <w:lang w:val="en-US"/>
        </w:rPr>
      </w:pPr>
      <w:r w:rsidRPr="0065696B">
        <w:rPr>
          <w:lang w:val="en-US"/>
        </w:rPr>
        <w:t>§ Corresponding author</w:t>
      </w:r>
    </w:p>
    <w:p w14:paraId="3950467F" w14:textId="77777777" w:rsidR="00760B34" w:rsidRPr="0065696B" w:rsidRDefault="00760B34" w:rsidP="003B76E2">
      <w:pPr>
        <w:jc w:val="both"/>
        <w:rPr>
          <w:lang w:val="en-US"/>
        </w:rPr>
      </w:pPr>
      <w:r w:rsidRPr="0065696B">
        <w:rPr>
          <w:lang w:val="en-US"/>
        </w:rPr>
        <w:t xml:space="preserve"> </w:t>
      </w:r>
    </w:p>
    <w:p w14:paraId="00511FAD" w14:textId="66AEB0C9" w:rsidR="00D53B45" w:rsidRDefault="00760B34" w:rsidP="003B76E2">
      <w:pPr>
        <w:widowControl w:val="0"/>
        <w:autoSpaceDE w:val="0"/>
        <w:autoSpaceDN w:val="0"/>
        <w:adjustRightInd w:val="0"/>
        <w:jc w:val="both"/>
        <w:rPr>
          <w:b/>
          <w:bCs/>
          <w:sz w:val="28"/>
          <w:szCs w:val="28"/>
          <w:lang w:val="en-US"/>
        </w:rPr>
      </w:pPr>
      <w:r>
        <w:rPr>
          <w:b/>
          <w:bCs/>
          <w:sz w:val="28"/>
          <w:szCs w:val="28"/>
          <w:lang w:val="en-US"/>
        </w:rPr>
        <w:t>Table of contents</w:t>
      </w:r>
    </w:p>
    <w:p w14:paraId="290960CD" w14:textId="39FD6C7C" w:rsidR="0039188E" w:rsidRDefault="0039188E">
      <w:pPr>
        <w:pStyle w:val="Sommario1"/>
        <w:tabs>
          <w:tab w:val="right" w:leader="dot" w:pos="9016"/>
        </w:tabs>
        <w:rPr>
          <w:rFonts w:asciiTheme="minorHAnsi" w:eastAsiaTheme="minorEastAsia" w:hAnsiTheme="minorHAnsi" w:cstheme="minorBidi"/>
          <w:noProof/>
          <w:lang w:val="it-JP"/>
        </w:rPr>
      </w:pPr>
      <w:r>
        <w:rPr>
          <w:b/>
          <w:bCs/>
          <w:sz w:val="28"/>
          <w:szCs w:val="28"/>
          <w:lang w:val="en-US"/>
        </w:rPr>
        <w:fldChar w:fldCharType="begin"/>
      </w:r>
      <w:r>
        <w:rPr>
          <w:b/>
          <w:bCs/>
          <w:sz w:val="28"/>
          <w:szCs w:val="28"/>
          <w:lang w:val="en-US"/>
        </w:rPr>
        <w:instrText xml:space="preserve"> TOC \o "1-4" \h \z \u </w:instrText>
      </w:r>
      <w:r>
        <w:rPr>
          <w:b/>
          <w:bCs/>
          <w:sz w:val="28"/>
          <w:szCs w:val="28"/>
          <w:lang w:val="en-US"/>
        </w:rPr>
        <w:fldChar w:fldCharType="separate"/>
      </w:r>
      <w:hyperlink w:anchor="_Toc89853414" w:history="1">
        <w:r w:rsidRPr="00FE1AF5">
          <w:rPr>
            <w:rStyle w:val="Collegamentoipertestuale"/>
            <w:noProof/>
            <w:lang w:val="en-US"/>
          </w:rPr>
          <w:t>Abbreviations</w:t>
        </w:r>
        <w:r>
          <w:rPr>
            <w:noProof/>
            <w:webHidden/>
          </w:rPr>
          <w:tab/>
        </w:r>
        <w:r>
          <w:rPr>
            <w:noProof/>
            <w:webHidden/>
          </w:rPr>
          <w:fldChar w:fldCharType="begin"/>
        </w:r>
        <w:r>
          <w:rPr>
            <w:noProof/>
            <w:webHidden/>
          </w:rPr>
          <w:instrText xml:space="preserve"> PAGEREF _Toc89853414 \h </w:instrText>
        </w:r>
        <w:r>
          <w:rPr>
            <w:noProof/>
            <w:webHidden/>
          </w:rPr>
        </w:r>
        <w:r>
          <w:rPr>
            <w:noProof/>
            <w:webHidden/>
          </w:rPr>
          <w:fldChar w:fldCharType="separate"/>
        </w:r>
        <w:r>
          <w:rPr>
            <w:noProof/>
            <w:webHidden/>
          </w:rPr>
          <w:t>2</w:t>
        </w:r>
        <w:r>
          <w:rPr>
            <w:noProof/>
            <w:webHidden/>
          </w:rPr>
          <w:fldChar w:fldCharType="end"/>
        </w:r>
      </w:hyperlink>
    </w:p>
    <w:p w14:paraId="67D36054" w14:textId="28A747AD" w:rsidR="0039188E" w:rsidRDefault="0039188E">
      <w:pPr>
        <w:pStyle w:val="Sommario1"/>
        <w:tabs>
          <w:tab w:val="right" w:leader="dot" w:pos="9016"/>
        </w:tabs>
        <w:rPr>
          <w:rFonts w:asciiTheme="minorHAnsi" w:eastAsiaTheme="minorEastAsia" w:hAnsiTheme="minorHAnsi" w:cstheme="minorBidi"/>
          <w:noProof/>
          <w:lang w:val="it-JP"/>
        </w:rPr>
      </w:pPr>
      <w:hyperlink w:anchor="_Toc89853415" w:history="1">
        <w:r w:rsidRPr="00FE1AF5">
          <w:rPr>
            <w:rStyle w:val="Collegamentoipertestuale"/>
            <w:noProof/>
            <w:lang w:val="en-US"/>
          </w:rPr>
          <w:t>Supplementary methods</w:t>
        </w:r>
        <w:r>
          <w:rPr>
            <w:noProof/>
            <w:webHidden/>
          </w:rPr>
          <w:tab/>
        </w:r>
        <w:r>
          <w:rPr>
            <w:noProof/>
            <w:webHidden/>
          </w:rPr>
          <w:fldChar w:fldCharType="begin"/>
        </w:r>
        <w:r>
          <w:rPr>
            <w:noProof/>
            <w:webHidden/>
          </w:rPr>
          <w:instrText xml:space="preserve"> PAGEREF _Toc89853415 \h </w:instrText>
        </w:r>
        <w:r>
          <w:rPr>
            <w:noProof/>
            <w:webHidden/>
          </w:rPr>
        </w:r>
        <w:r>
          <w:rPr>
            <w:noProof/>
            <w:webHidden/>
          </w:rPr>
          <w:fldChar w:fldCharType="separate"/>
        </w:r>
        <w:r>
          <w:rPr>
            <w:noProof/>
            <w:webHidden/>
          </w:rPr>
          <w:t>2</w:t>
        </w:r>
        <w:r>
          <w:rPr>
            <w:noProof/>
            <w:webHidden/>
          </w:rPr>
          <w:fldChar w:fldCharType="end"/>
        </w:r>
      </w:hyperlink>
    </w:p>
    <w:p w14:paraId="332357C6" w14:textId="34891B1B" w:rsidR="0039188E" w:rsidRDefault="0039188E">
      <w:pPr>
        <w:pStyle w:val="Sommario2"/>
        <w:rPr>
          <w:rFonts w:asciiTheme="minorHAnsi" w:eastAsiaTheme="minorEastAsia" w:hAnsiTheme="minorHAnsi" w:cstheme="minorBidi"/>
          <w:noProof/>
          <w:lang w:val="it-JP"/>
        </w:rPr>
      </w:pPr>
      <w:hyperlink w:anchor="_Toc89853416" w:history="1">
        <w:r w:rsidRPr="00FE1AF5">
          <w:rPr>
            <w:rStyle w:val="Collegamentoipertestuale"/>
            <w:noProof/>
            <w:lang w:val="en-US"/>
          </w:rPr>
          <w:t>Isolated perfused rat liver</w:t>
        </w:r>
        <w:r>
          <w:rPr>
            <w:noProof/>
            <w:webHidden/>
          </w:rPr>
          <w:tab/>
        </w:r>
        <w:r>
          <w:rPr>
            <w:noProof/>
            <w:webHidden/>
          </w:rPr>
          <w:fldChar w:fldCharType="begin"/>
        </w:r>
        <w:r>
          <w:rPr>
            <w:noProof/>
            <w:webHidden/>
          </w:rPr>
          <w:instrText xml:space="preserve"> PAGEREF _Toc89853416 \h </w:instrText>
        </w:r>
        <w:r>
          <w:rPr>
            <w:noProof/>
            <w:webHidden/>
          </w:rPr>
        </w:r>
        <w:r>
          <w:rPr>
            <w:noProof/>
            <w:webHidden/>
          </w:rPr>
          <w:fldChar w:fldCharType="separate"/>
        </w:r>
        <w:r>
          <w:rPr>
            <w:noProof/>
            <w:webHidden/>
          </w:rPr>
          <w:t>2</w:t>
        </w:r>
        <w:r>
          <w:rPr>
            <w:noProof/>
            <w:webHidden/>
          </w:rPr>
          <w:fldChar w:fldCharType="end"/>
        </w:r>
      </w:hyperlink>
    </w:p>
    <w:p w14:paraId="6DEB17ED" w14:textId="082FF5F0" w:rsidR="0039188E" w:rsidRDefault="0039188E">
      <w:pPr>
        <w:pStyle w:val="Sommario3"/>
        <w:tabs>
          <w:tab w:val="right" w:leader="dot" w:pos="9016"/>
        </w:tabs>
        <w:rPr>
          <w:rFonts w:asciiTheme="minorHAnsi" w:eastAsiaTheme="minorEastAsia" w:hAnsiTheme="minorHAnsi" w:cstheme="minorBidi"/>
          <w:noProof/>
          <w:lang w:val="it-JP"/>
        </w:rPr>
      </w:pPr>
      <w:hyperlink w:anchor="_Toc89853417" w:history="1">
        <w:r w:rsidRPr="00FE1AF5">
          <w:rPr>
            <w:rStyle w:val="Collegamentoipertestuale"/>
            <w:noProof/>
            <w:lang w:val="en-US"/>
          </w:rPr>
          <w:t>Viability tests on isolated perfused rat liver</w:t>
        </w:r>
        <w:r>
          <w:rPr>
            <w:noProof/>
            <w:webHidden/>
          </w:rPr>
          <w:tab/>
        </w:r>
        <w:r>
          <w:rPr>
            <w:noProof/>
            <w:webHidden/>
          </w:rPr>
          <w:fldChar w:fldCharType="begin"/>
        </w:r>
        <w:r>
          <w:rPr>
            <w:noProof/>
            <w:webHidden/>
          </w:rPr>
          <w:instrText xml:space="preserve"> PAGEREF _Toc89853417 \h </w:instrText>
        </w:r>
        <w:r>
          <w:rPr>
            <w:noProof/>
            <w:webHidden/>
          </w:rPr>
        </w:r>
        <w:r>
          <w:rPr>
            <w:noProof/>
            <w:webHidden/>
          </w:rPr>
          <w:fldChar w:fldCharType="separate"/>
        </w:r>
        <w:r>
          <w:rPr>
            <w:noProof/>
            <w:webHidden/>
          </w:rPr>
          <w:t>2</w:t>
        </w:r>
        <w:r>
          <w:rPr>
            <w:noProof/>
            <w:webHidden/>
          </w:rPr>
          <w:fldChar w:fldCharType="end"/>
        </w:r>
      </w:hyperlink>
    </w:p>
    <w:p w14:paraId="6F01C67F" w14:textId="706E708C" w:rsidR="0039188E" w:rsidRDefault="0039188E">
      <w:pPr>
        <w:pStyle w:val="Sommario3"/>
        <w:tabs>
          <w:tab w:val="right" w:leader="dot" w:pos="9016"/>
        </w:tabs>
        <w:rPr>
          <w:rFonts w:asciiTheme="minorHAnsi" w:eastAsiaTheme="minorEastAsia" w:hAnsiTheme="minorHAnsi" w:cstheme="minorBidi"/>
          <w:noProof/>
          <w:lang w:val="it-JP"/>
        </w:rPr>
      </w:pPr>
      <w:hyperlink w:anchor="_Toc89853418" w:history="1">
        <w:r w:rsidRPr="00FE1AF5">
          <w:rPr>
            <w:rStyle w:val="Collegamentoipertestuale"/>
            <w:noProof/>
            <w:lang w:val="en-US"/>
          </w:rPr>
          <w:t>Hepatic bilirubin uptake: assumptions</w:t>
        </w:r>
        <w:r>
          <w:rPr>
            <w:noProof/>
            <w:webHidden/>
          </w:rPr>
          <w:tab/>
        </w:r>
        <w:r>
          <w:rPr>
            <w:noProof/>
            <w:webHidden/>
          </w:rPr>
          <w:fldChar w:fldCharType="begin"/>
        </w:r>
        <w:r>
          <w:rPr>
            <w:noProof/>
            <w:webHidden/>
          </w:rPr>
          <w:instrText xml:space="preserve"> PAGEREF _Toc89853418 \h </w:instrText>
        </w:r>
        <w:r>
          <w:rPr>
            <w:noProof/>
            <w:webHidden/>
          </w:rPr>
        </w:r>
        <w:r>
          <w:rPr>
            <w:noProof/>
            <w:webHidden/>
          </w:rPr>
          <w:fldChar w:fldCharType="separate"/>
        </w:r>
        <w:r>
          <w:rPr>
            <w:noProof/>
            <w:webHidden/>
          </w:rPr>
          <w:t>3</w:t>
        </w:r>
        <w:r>
          <w:rPr>
            <w:noProof/>
            <w:webHidden/>
          </w:rPr>
          <w:fldChar w:fldCharType="end"/>
        </w:r>
      </w:hyperlink>
    </w:p>
    <w:p w14:paraId="3228E974" w14:textId="2BDE182F" w:rsidR="0039188E" w:rsidRDefault="0039188E">
      <w:pPr>
        <w:pStyle w:val="Sommario2"/>
        <w:rPr>
          <w:rFonts w:asciiTheme="minorHAnsi" w:eastAsiaTheme="minorEastAsia" w:hAnsiTheme="minorHAnsi" w:cstheme="minorBidi"/>
          <w:noProof/>
          <w:lang w:val="it-JP"/>
        </w:rPr>
      </w:pPr>
      <w:hyperlink w:anchor="_Toc89853419" w:history="1">
        <w:r w:rsidRPr="00FE1AF5">
          <w:rPr>
            <w:rStyle w:val="Collegamentoipertestuale"/>
            <w:noProof/>
            <w:lang w:val="en-US"/>
          </w:rPr>
          <w:t>HUG-based fluorometric assay of bilirubin and bilirubin glucuronide</w:t>
        </w:r>
        <w:r>
          <w:rPr>
            <w:noProof/>
            <w:webHidden/>
          </w:rPr>
          <w:tab/>
        </w:r>
        <w:r>
          <w:rPr>
            <w:noProof/>
            <w:webHidden/>
          </w:rPr>
          <w:fldChar w:fldCharType="begin"/>
        </w:r>
        <w:r>
          <w:rPr>
            <w:noProof/>
            <w:webHidden/>
          </w:rPr>
          <w:instrText xml:space="preserve"> PAGEREF _Toc89853419 \h </w:instrText>
        </w:r>
        <w:r>
          <w:rPr>
            <w:noProof/>
            <w:webHidden/>
          </w:rPr>
        </w:r>
        <w:r>
          <w:rPr>
            <w:noProof/>
            <w:webHidden/>
          </w:rPr>
          <w:fldChar w:fldCharType="separate"/>
        </w:r>
        <w:r>
          <w:rPr>
            <w:noProof/>
            <w:webHidden/>
          </w:rPr>
          <w:t>3</w:t>
        </w:r>
        <w:r>
          <w:rPr>
            <w:noProof/>
            <w:webHidden/>
          </w:rPr>
          <w:fldChar w:fldCharType="end"/>
        </w:r>
      </w:hyperlink>
    </w:p>
    <w:p w14:paraId="6690CF98" w14:textId="60EA6C80" w:rsidR="0039188E" w:rsidRDefault="0039188E">
      <w:pPr>
        <w:pStyle w:val="Sommario1"/>
        <w:tabs>
          <w:tab w:val="right" w:leader="dot" w:pos="9016"/>
        </w:tabs>
        <w:rPr>
          <w:rFonts w:asciiTheme="minorHAnsi" w:eastAsiaTheme="minorEastAsia" w:hAnsiTheme="minorHAnsi" w:cstheme="minorBidi"/>
          <w:noProof/>
          <w:lang w:val="it-JP"/>
        </w:rPr>
      </w:pPr>
      <w:hyperlink w:anchor="_Toc89853420" w:history="1">
        <w:r w:rsidRPr="00FE1AF5">
          <w:rPr>
            <w:rStyle w:val="Collegamentoipertestuale"/>
            <w:noProof/>
            <w:lang w:val="en-US"/>
          </w:rPr>
          <w:t>Supporting information</w:t>
        </w:r>
        <w:r>
          <w:rPr>
            <w:noProof/>
            <w:webHidden/>
          </w:rPr>
          <w:tab/>
        </w:r>
        <w:r>
          <w:rPr>
            <w:noProof/>
            <w:webHidden/>
          </w:rPr>
          <w:fldChar w:fldCharType="begin"/>
        </w:r>
        <w:r>
          <w:rPr>
            <w:noProof/>
            <w:webHidden/>
          </w:rPr>
          <w:instrText xml:space="preserve"> PAGEREF _Toc89853420 \h </w:instrText>
        </w:r>
        <w:r>
          <w:rPr>
            <w:noProof/>
            <w:webHidden/>
          </w:rPr>
        </w:r>
        <w:r>
          <w:rPr>
            <w:noProof/>
            <w:webHidden/>
          </w:rPr>
          <w:fldChar w:fldCharType="separate"/>
        </w:r>
        <w:r>
          <w:rPr>
            <w:noProof/>
            <w:webHidden/>
          </w:rPr>
          <w:t>5</w:t>
        </w:r>
        <w:r>
          <w:rPr>
            <w:noProof/>
            <w:webHidden/>
          </w:rPr>
          <w:fldChar w:fldCharType="end"/>
        </w:r>
      </w:hyperlink>
    </w:p>
    <w:p w14:paraId="5C78ECDC" w14:textId="6F84C241" w:rsidR="0039188E" w:rsidRDefault="0039188E">
      <w:pPr>
        <w:pStyle w:val="Sommario2"/>
        <w:rPr>
          <w:rFonts w:asciiTheme="minorHAnsi" w:eastAsiaTheme="minorEastAsia" w:hAnsiTheme="minorHAnsi" w:cstheme="minorBidi"/>
          <w:noProof/>
          <w:lang w:val="it-JP"/>
        </w:rPr>
      </w:pPr>
      <w:hyperlink w:anchor="_Toc89853421" w:history="1">
        <w:r w:rsidRPr="00FE1AF5">
          <w:rPr>
            <w:rStyle w:val="Collegamentoipertestuale"/>
            <w:noProof/>
            <w:lang w:val="en-US"/>
          </w:rPr>
          <w:t>Table S1. Hepatic membrane transporters for bilirubin and bilirubin glucuronide (A) and their substrates/inhibitors (B)</w:t>
        </w:r>
        <w:r>
          <w:rPr>
            <w:noProof/>
            <w:webHidden/>
          </w:rPr>
          <w:tab/>
        </w:r>
        <w:r>
          <w:rPr>
            <w:noProof/>
            <w:webHidden/>
          </w:rPr>
          <w:fldChar w:fldCharType="begin"/>
        </w:r>
        <w:r>
          <w:rPr>
            <w:noProof/>
            <w:webHidden/>
          </w:rPr>
          <w:instrText xml:space="preserve"> PAGEREF _Toc89853421 \h </w:instrText>
        </w:r>
        <w:r>
          <w:rPr>
            <w:noProof/>
            <w:webHidden/>
          </w:rPr>
        </w:r>
        <w:r>
          <w:rPr>
            <w:noProof/>
            <w:webHidden/>
          </w:rPr>
          <w:fldChar w:fldCharType="separate"/>
        </w:r>
        <w:r>
          <w:rPr>
            <w:noProof/>
            <w:webHidden/>
          </w:rPr>
          <w:t>5</w:t>
        </w:r>
        <w:r>
          <w:rPr>
            <w:noProof/>
            <w:webHidden/>
          </w:rPr>
          <w:fldChar w:fldCharType="end"/>
        </w:r>
      </w:hyperlink>
    </w:p>
    <w:p w14:paraId="26238A51" w14:textId="6CF23E25" w:rsidR="0039188E" w:rsidRDefault="0039188E">
      <w:pPr>
        <w:pStyle w:val="Sommario2"/>
        <w:rPr>
          <w:rFonts w:asciiTheme="minorHAnsi" w:eastAsiaTheme="minorEastAsia" w:hAnsiTheme="minorHAnsi" w:cstheme="minorBidi"/>
          <w:noProof/>
          <w:lang w:val="it-JP"/>
        </w:rPr>
      </w:pPr>
      <w:hyperlink w:anchor="_Toc89853422" w:history="1">
        <w:r w:rsidRPr="00FE1AF5">
          <w:rPr>
            <w:rStyle w:val="Collegamentoipertestuale"/>
            <w:noProof/>
            <w:lang w:val="en-US"/>
          </w:rPr>
          <w:t>Table S2. Analysis of anthocyanins and taurocholate by UHPLC-ESI-MS/MS</w:t>
        </w:r>
        <w:r>
          <w:rPr>
            <w:noProof/>
            <w:webHidden/>
          </w:rPr>
          <w:tab/>
        </w:r>
        <w:r>
          <w:rPr>
            <w:noProof/>
            <w:webHidden/>
          </w:rPr>
          <w:fldChar w:fldCharType="begin"/>
        </w:r>
        <w:r>
          <w:rPr>
            <w:noProof/>
            <w:webHidden/>
          </w:rPr>
          <w:instrText xml:space="preserve"> PAGEREF _Toc89853422 \h </w:instrText>
        </w:r>
        <w:r>
          <w:rPr>
            <w:noProof/>
            <w:webHidden/>
          </w:rPr>
        </w:r>
        <w:r>
          <w:rPr>
            <w:noProof/>
            <w:webHidden/>
          </w:rPr>
          <w:fldChar w:fldCharType="separate"/>
        </w:r>
        <w:r>
          <w:rPr>
            <w:noProof/>
            <w:webHidden/>
          </w:rPr>
          <w:t>7</w:t>
        </w:r>
        <w:r>
          <w:rPr>
            <w:noProof/>
            <w:webHidden/>
          </w:rPr>
          <w:fldChar w:fldCharType="end"/>
        </w:r>
      </w:hyperlink>
    </w:p>
    <w:p w14:paraId="3C7E0976" w14:textId="291944CB" w:rsidR="0039188E" w:rsidRDefault="0039188E">
      <w:pPr>
        <w:pStyle w:val="Sommario2"/>
        <w:rPr>
          <w:rFonts w:asciiTheme="minorHAnsi" w:eastAsiaTheme="minorEastAsia" w:hAnsiTheme="minorHAnsi" w:cstheme="minorBidi"/>
          <w:noProof/>
          <w:lang w:val="it-JP"/>
        </w:rPr>
      </w:pPr>
      <w:hyperlink w:anchor="_Toc89853423" w:history="1">
        <w:r w:rsidRPr="00FE1AF5">
          <w:rPr>
            <w:rStyle w:val="Collegamentoipertestuale"/>
            <w:noProof/>
            <w:lang w:val="en-US"/>
          </w:rPr>
          <w:t>Scheme S1. Chemical structures of three anthocyanins</w:t>
        </w:r>
        <w:r>
          <w:rPr>
            <w:noProof/>
            <w:webHidden/>
          </w:rPr>
          <w:tab/>
        </w:r>
        <w:r>
          <w:rPr>
            <w:noProof/>
            <w:webHidden/>
          </w:rPr>
          <w:fldChar w:fldCharType="begin"/>
        </w:r>
        <w:r>
          <w:rPr>
            <w:noProof/>
            <w:webHidden/>
          </w:rPr>
          <w:instrText xml:space="preserve"> PAGEREF _Toc89853423 \h </w:instrText>
        </w:r>
        <w:r>
          <w:rPr>
            <w:noProof/>
            <w:webHidden/>
          </w:rPr>
        </w:r>
        <w:r>
          <w:rPr>
            <w:noProof/>
            <w:webHidden/>
          </w:rPr>
          <w:fldChar w:fldCharType="separate"/>
        </w:r>
        <w:r>
          <w:rPr>
            <w:noProof/>
            <w:webHidden/>
          </w:rPr>
          <w:t>7</w:t>
        </w:r>
        <w:r>
          <w:rPr>
            <w:noProof/>
            <w:webHidden/>
          </w:rPr>
          <w:fldChar w:fldCharType="end"/>
        </w:r>
      </w:hyperlink>
    </w:p>
    <w:p w14:paraId="4A3DCB02" w14:textId="658256FA" w:rsidR="0039188E" w:rsidRDefault="0039188E">
      <w:pPr>
        <w:pStyle w:val="Sommario1"/>
        <w:tabs>
          <w:tab w:val="right" w:leader="dot" w:pos="9016"/>
        </w:tabs>
        <w:rPr>
          <w:rFonts w:asciiTheme="minorHAnsi" w:eastAsiaTheme="minorEastAsia" w:hAnsiTheme="minorHAnsi" w:cstheme="minorBidi"/>
          <w:noProof/>
          <w:lang w:val="it-JP"/>
        </w:rPr>
      </w:pPr>
      <w:hyperlink w:anchor="_Toc89853424" w:history="1">
        <w:r w:rsidRPr="00FE1AF5">
          <w:rPr>
            <w:rStyle w:val="Collegamentoipertestuale"/>
            <w:noProof/>
            <w:lang w:val="en-US"/>
          </w:rPr>
          <w:t>Supplementary results</w:t>
        </w:r>
        <w:r>
          <w:rPr>
            <w:noProof/>
            <w:webHidden/>
          </w:rPr>
          <w:tab/>
        </w:r>
        <w:r>
          <w:rPr>
            <w:noProof/>
            <w:webHidden/>
          </w:rPr>
          <w:fldChar w:fldCharType="begin"/>
        </w:r>
        <w:r>
          <w:rPr>
            <w:noProof/>
            <w:webHidden/>
          </w:rPr>
          <w:instrText xml:space="preserve"> PAGEREF _Toc89853424 \h </w:instrText>
        </w:r>
        <w:r>
          <w:rPr>
            <w:noProof/>
            <w:webHidden/>
          </w:rPr>
        </w:r>
        <w:r>
          <w:rPr>
            <w:noProof/>
            <w:webHidden/>
          </w:rPr>
          <w:fldChar w:fldCharType="separate"/>
        </w:r>
        <w:r>
          <w:rPr>
            <w:noProof/>
            <w:webHidden/>
          </w:rPr>
          <w:t>8</w:t>
        </w:r>
        <w:r>
          <w:rPr>
            <w:noProof/>
            <w:webHidden/>
          </w:rPr>
          <w:fldChar w:fldCharType="end"/>
        </w:r>
      </w:hyperlink>
    </w:p>
    <w:p w14:paraId="3FA1EF15" w14:textId="242861B3" w:rsidR="0039188E" w:rsidRDefault="0039188E">
      <w:pPr>
        <w:pStyle w:val="Sommario2"/>
        <w:rPr>
          <w:rFonts w:asciiTheme="minorHAnsi" w:eastAsiaTheme="minorEastAsia" w:hAnsiTheme="minorHAnsi" w:cstheme="minorBidi"/>
          <w:noProof/>
          <w:lang w:val="it-JP"/>
        </w:rPr>
      </w:pPr>
      <w:hyperlink w:anchor="_Toc89853425" w:history="1">
        <w:r w:rsidRPr="00FE1AF5">
          <w:rPr>
            <w:rStyle w:val="Collegamentoipertestuale"/>
            <w:noProof/>
            <w:lang w:val="en-US"/>
          </w:rPr>
          <w:t>Fig. S1. Determination of biomarkers of liver viability in the hepatic perfusion effluent.</w:t>
        </w:r>
        <w:r>
          <w:rPr>
            <w:noProof/>
            <w:webHidden/>
          </w:rPr>
          <w:tab/>
        </w:r>
        <w:r>
          <w:rPr>
            <w:noProof/>
            <w:webHidden/>
          </w:rPr>
          <w:fldChar w:fldCharType="begin"/>
        </w:r>
        <w:r>
          <w:rPr>
            <w:noProof/>
            <w:webHidden/>
          </w:rPr>
          <w:instrText xml:space="preserve"> PAGEREF _Toc89853425 \h </w:instrText>
        </w:r>
        <w:r>
          <w:rPr>
            <w:noProof/>
            <w:webHidden/>
          </w:rPr>
        </w:r>
        <w:r>
          <w:rPr>
            <w:noProof/>
            <w:webHidden/>
          </w:rPr>
          <w:fldChar w:fldCharType="separate"/>
        </w:r>
        <w:r>
          <w:rPr>
            <w:noProof/>
            <w:webHidden/>
          </w:rPr>
          <w:t>8</w:t>
        </w:r>
        <w:r>
          <w:rPr>
            <w:noProof/>
            <w:webHidden/>
          </w:rPr>
          <w:fldChar w:fldCharType="end"/>
        </w:r>
      </w:hyperlink>
    </w:p>
    <w:p w14:paraId="425DCCEC" w14:textId="130C4070" w:rsidR="0039188E" w:rsidRDefault="0039188E">
      <w:pPr>
        <w:pStyle w:val="Sommario2"/>
        <w:rPr>
          <w:rFonts w:asciiTheme="minorHAnsi" w:eastAsiaTheme="minorEastAsia" w:hAnsiTheme="minorHAnsi" w:cstheme="minorBidi"/>
          <w:noProof/>
          <w:lang w:val="it-JP"/>
        </w:rPr>
      </w:pPr>
      <w:hyperlink w:anchor="_Toc89853426" w:history="1">
        <w:r w:rsidRPr="00FE1AF5">
          <w:rPr>
            <w:rStyle w:val="Collegamentoipertestuale"/>
            <w:noProof/>
            <w:lang w:val="en-US"/>
          </w:rPr>
          <w:t>Fig. S2. Fluorometric assay of bilirubin (A) and bilirubin glucuronide (B).</w:t>
        </w:r>
        <w:r>
          <w:rPr>
            <w:noProof/>
            <w:webHidden/>
          </w:rPr>
          <w:tab/>
        </w:r>
        <w:r>
          <w:rPr>
            <w:noProof/>
            <w:webHidden/>
          </w:rPr>
          <w:fldChar w:fldCharType="begin"/>
        </w:r>
        <w:r>
          <w:rPr>
            <w:noProof/>
            <w:webHidden/>
          </w:rPr>
          <w:instrText xml:space="preserve"> PAGEREF _Toc89853426 \h </w:instrText>
        </w:r>
        <w:r>
          <w:rPr>
            <w:noProof/>
            <w:webHidden/>
          </w:rPr>
        </w:r>
        <w:r>
          <w:rPr>
            <w:noProof/>
            <w:webHidden/>
          </w:rPr>
          <w:fldChar w:fldCharType="separate"/>
        </w:r>
        <w:r>
          <w:rPr>
            <w:noProof/>
            <w:webHidden/>
          </w:rPr>
          <w:t>10</w:t>
        </w:r>
        <w:r>
          <w:rPr>
            <w:noProof/>
            <w:webHidden/>
          </w:rPr>
          <w:fldChar w:fldCharType="end"/>
        </w:r>
      </w:hyperlink>
    </w:p>
    <w:p w14:paraId="238B60D6" w14:textId="40C12850" w:rsidR="0039188E" w:rsidRDefault="0039188E">
      <w:pPr>
        <w:pStyle w:val="Sommario2"/>
        <w:rPr>
          <w:rFonts w:asciiTheme="minorHAnsi" w:eastAsiaTheme="minorEastAsia" w:hAnsiTheme="minorHAnsi" w:cstheme="minorBidi"/>
          <w:noProof/>
          <w:lang w:val="it-JP"/>
        </w:rPr>
      </w:pPr>
      <w:hyperlink w:anchor="_Toc89853427" w:history="1">
        <w:r w:rsidRPr="00FE1AF5">
          <w:rPr>
            <w:rStyle w:val="Collegamentoipertestuale"/>
            <w:noProof/>
            <w:lang w:val="en-US"/>
          </w:rPr>
          <w:t>Fig. S3. Analysis of bilirubin peaks triggered by the co-injection of bilirubin with cyanidin 3-glucoside</w:t>
        </w:r>
        <w:r>
          <w:rPr>
            <w:noProof/>
            <w:webHidden/>
          </w:rPr>
          <w:tab/>
        </w:r>
        <w:r>
          <w:rPr>
            <w:noProof/>
            <w:webHidden/>
          </w:rPr>
          <w:fldChar w:fldCharType="begin"/>
        </w:r>
        <w:r>
          <w:rPr>
            <w:noProof/>
            <w:webHidden/>
          </w:rPr>
          <w:instrText xml:space="preserve"> PAGEREF _Toc89853427 \h </w:instrText>
        </w:r>
        <w:r>
          <w:rPr>
            <w:noProof/>
            <w:webHidden/>
          </w:rPr>
        </w:r>
        <w:r>
          <w:rPr>
            <w:noProof/>
            <w:webHidden/>
          </w:rPr>
          <w:fldChar w:fldCharType="separate"/>
        </w:r>
        <w:r>
          <w:rPr>
            <w:noProof/>
            <w:webHidden/>
          </w:rPr>
          <w:t>12</w:t>
        </w:r>
        <w:r>
          <w:rPr>
            <w:noProof/>
            <w:webHidden/>
          </w:rPr>
          <w:fldChar w:fldCharType="end"/>
        </w:r>
      </w:hyperlink>
    </w:p>
    <w:p w14:paraId="350EC92F" w14:textId="0B53595A" w:rsidR="0039188E" w:rsidRDefault="0039188E">
      <w:pPr>
        <w:pStyle w:val="Sommario2"/>
        <w:rPr>
          <w:rFonts w:asciiTheme="minorHAnsi" w:eastAsiaTheme="minorEastAsia" w:hAnsiTheme="minorHAnsi" w:cstheme="minorBidi"/>
          <w:noProof/>
          <w:lang w:val="it-JP"/>
        </w:rPr>
      </w:pPr>
      <w:hyperlink w:anchor="_Toc89853428" w:history="1">
        <w:r w:rsidRPr="00FE1AF5">
          <w:rPr>
            <w:rStyle w:val="Collegamentoipertestuale"/>
            <w:noProof/>
            <w:lang w:val="en-US"/>
          </w:rPr>
          <w:t>Fig. S4. Analysis of bilirubin peaks triggered by the co-injection of bilirubin with cyanidin 3-glucoside or pravastatin</w:t>
        </w:r>
        <w:r>
          <w:rPr>
            <w:noProof/>
            <w:webHidden/>
          </w:rPr>
          <w:tab/>
        </w:r>
        <w:r>
          <w:rPr>
            <w:noProof/>
            <w:webHidden/>
          </w:rPr>
          <w:fldChar w:fldCharType="begin"/>
        </w:r>
        <w:r>
          <w:rPr>
            <w:noProof/>
            <w:webHidden/>
          </w:rPr>
          <w:instrText xml:space="preserve"> PAGEREF _Toc89853428 \h </w:instrText>
        </w:r>
        <w:r>
          <w:rPr>
            <w:noProof/>
            <w:webHidden/>
          </w:rPr>
        </w:r>
        <w:r>
          <w:rPr>
            <w:noProof/>
            <w:webHidden/>
          </w:rPr>
          <w:fldChar w:fldCharType="separate"/>
        </w:r>
        <w:r>
          <w:rPr>
            <w:noProof/>
            <w:webHidden/>
          </w:rPr>
          <w:t>13</w:t>
        </w:r>
        <w:r>
          <w:rPr>
            <w:noProof/>
            <w:webHidden/>
          </w:rPr>
          <w:fldChar w:fldCharType="end"/>
        </w:r>
      </w:hyperlink>
    </w:p>
    <w:p w14:paraId="1348E8F1" w14:textId="6CF11C58" w:rsidR="0039188E" w:rsidRDefault="0039188E">
      <w:pPr>
        <w:pStyle w:val="Sommario2"/>
        <w:rPr>
          <w:rFonts w:asciiTheme="minorHAnsi" w:eastAsiaTheme="minorEastAsia" w:hAnsiTheme="minorHAnsi" w:cstheme="minorBidi"/>
          <w:noProof/>
          <w:lang w:val="it-JP"/>
        </w:rPr>
      </w:pPr>
      <w:hyperlink w:anchor="_Toc89853429" w:history="1">
        <w:r w:rsidRPr="00FE1AF5">
          <w:rPr>
            <w:rStyle w:val="Collegamentoipertestuale"/>
            <w:noProof/>
            <w:lang w:val="en-US"/>
          </w:rPr>
          <w:t>Fig. S5. The reciprocal influence of cyanidin 3-glucoside and bilirubin on the bilirubin peak size</w:t>
        </w:r>
        <w:r>
          <w:rPr>
            <w:noProof/>
            <w:webHidden/>
          </w:rPr>
          <w:tab/>
        </w:r>
        <w:r>
          <w:rPr>
            <w:noProof/>
            <w:webHidden/>
          </w:rPr>
          <w:fldChar w:fldCharType="begin"/>
        </w:r>
        <w:r>
          <w:rPr>
            <w:noProof/>
            <w:webHidden/>
          </w:rPr>
          <w:instrText xml:space="preserve"> PAGEREF _Toc89853429 \h </w:instrText>
        </w:r>
        <w:r>
          <w:rPr>
            <w:noProof/>
            <w:webHidden/>
          </w:rPr>
        </w:r>
        <w:r>
          <w:rPr>
            <w:noProof/>
            <w:webHidden/>
          </w:rPr>
          <w:fldChar w:fldCharType="separate"/>
        </w:r>
        <w:r>
          <w:rPr>
            <w:noProof/>
            <w:webHidden/>
          </w:rPr>
          <w:t>14</w:t>
        </w:r>
        <w:r>
          <w:rPr>
            <w:noProof/>
            <w:webHidden/>
          </w:rPr>
          <w:fldChar w:fldCharType="end"/>
        </w:r>
      </w:hyperlink>
    </w:p>
    <w:p w14:paraId="6F1D295C" w14:textId="71C89478" w:rsidR="0039188E" w:rsidRDefault="0039188E">
      <w:pPr>
        <w:pStyle w:val="Sommario2"/>
        <w:rPr>
          <w:rFonts w:asciiTheme="minorHAnsi" w:eastAsiaTheme="minorEastAsia" w:hAnsiTheme="minorHAnsi" w:cstheme="minorBidi"/>
          <w:noProof/>
          <w:lang w:val="it-JP"/>
        </w:rPr>
      </w:pPr>
      <w:hyperlink w:anchor="_Toc89853430" w:history="1">
        <w:r w:rsidRPr="00FE1AF5">
          <w:rPr>
            <w:rStyle w:val="Collegamentoipertestuale"/>
            <w:noProof/>
            <w:lang w:val="en-US"/>
          </w:rPr>
          <w:t>Fig. S6. The effect of cyanidin 3-glucoside, malvidin 3-glucoside, and peonidin 3-glucoside on the hepatic uptake of bilirubin</w:t>
        </w:r>
        <w:r>
          <w:rPr>
            <w:noProof/>
            <w:webHidden/>
          </w:rPr>
          <w:tab/>
        </w:r>
        <w:r>
          <w:rPr>
            <w:noProof/>
            <w:webHidden/>
          </w:rPr>
          <w:fldChar w:fldCharType="begin"/>
        </w:r>
        <w:r>
          <w:rPr>
            <w:noProof/>
            <w:webHidden/>
          </w:rPr>
          <w:instrText xml:space="preserve"> PAGEREF _Toc89853430 \h </w:instrText>
        </w:r>
        <w:r>
          <w:rPr>
            <w:noProof/>
            <w:webHidden/>
          </w:rPr>
        </w:r>
        <w:r>
          <w:rPr>
            <w:noProof/>
            <w:webHidden/>
          </w:rPr>
          <w:fldChar w:fldCharType="separate"/>
        </w:r>
        <w:r>
          <w:rPr>
            <w:noProof/>
            <w:webHidden/>
          </w:rPr>
          <w:t>16</w:t>
        </w:r>
        <w:r>
          <w:rPr>
            <w:noProof/>
            <w:webHidden/>
          </w:rPr>
          <w:fldChar w:fldCharType="end"/>
        </w:r>
      </w:hyperlink>
    </w:p>
    <w:p w14:paraId="4CC89705" w14:textId="62ED7236" w:rsidR="0039188E" w:rsidRDefault="0039188E">
      <w:pPr>
        <w:pStyle w:val="Sommario2"/>
        <w:rPr>
          <w:rFonts w:asciiTheme="minorHAnsi" w:eastAsiaTheme="minorEastAsia" w:hAnsiTheme="minorHAnsi" w:cstheme="minorBidi"/>
          <w:noProof/>
          <w:lang w:val="it-JP"/>
        </w:rPr>
      </w:pPr>
      <w:hyperlink w:anchor="_Toc89853431" w:history="1">
        <w:r w:rsidRPr="00FE1AF5">
          <w:rPr>
            <w:rStyle w:val="Collegamentoipertestuale"/>
            <w:noProof/>
            <w:lang w:val="en-US"/>
          </w:rPr>
          <w:t>Fig. S7. The effect of estradiol-17 beta-glucuronide and pravastatin on the hepatic uptake of bilirubin or bilirubin glucuronide</w:t>
        </w:r>
        <w:r>
          <w:rPr>
            <w:noProof/>
            <w:webHidden/>
          </w:rPr>
          <w:tab/>
        </w:r>
        <w:r>
          <w:rPr>
            <w:noProof/>
            <w:webHidden/>
          </w:rPr>
          <w:fldChar w:fldCharType="begin"/>
        </w:r>
        <w:r>
          <w:rPr>
            <w:noProof/>
            <w:webHidden/>
          </w:rPr>
          <w:instrText xml:space="preserve"> PAGEREF _Toc89853431 \h </w:instrText>
        </w:r>
        <w:r>
          <w:rPr>
            <w:noProof/>
            <w:webHidden/>
          </w:rPr>
        </w:r>
        <w:r>
          <w:rPr>
            <w:noProof/>
            <w:webHidden/>
          </w:rPr>
          <w:fldChar w:fldCharType="separate"/>
        </w:r>
        <w:r>
          <w:rPr>
            <w:noProof/>
            <w:webHidden/>
          </w:rPr>
          <w:t>17</w:t>
        </w:r>
        <w:r>
          <w:rPr>
            <w:noProof/>
            <w:webHidden/>
          </w:rPr>
          <w:fldChar w:fldCharType="end"/>
        </w:r>
      </w:hyperlink>
    </w:p>
    <w:p w14:paraId="46568A89" w14:textId="3517F8C4" w:rsidR="0039188E" w:rsidRDefault="0039188E">
      <w:pPr>
        <w:pStyle w:val="Sommario2"/>
        <w:rPr>
          <w:rFonts w:asciiTheme="minorHAnsi" w:eastAsiaTheme="minorEastAsia" w:hAnsiTheme="minorHAnsi" w:cstheme="minorBidi"/>
          <w:noProof/>
          <w:lang w:val="it-JP"/>
        </w:rPr>
      </w:pPr>
      <w:hyperlink w:anchor="_Toc89853432" w:history="1">
        <w:r w:rsidRPr="00FE1AF5">
          <w:rPr>
            <w:rStyle w:val="Collegamentoipertestuale"/>
            <w:noProof/>
            <w:lang w:val="en-US"/>
          </w:rPr>
          <w:t>Fig. S8. The effect of pravastatin on the sinusoidal reuptake of bilirubin glucuronide</w:t>
        </w:r>
        <w:r>
          <w:rPr>
            <w:noProof/>
            <w:webHidden/>
          </w:rPr>
          <w:tab/>
        </w:r>
        <w:r>
          <w:rPr>
            <w:noProof/>
            <w:webHidden/>
          </w:rPr>
          <w:fldChar w:fldCharType="begin"/>
        </w:r>
        <w:r>
          <w:rPr>
            <w:noProof/>
            <w:webHidden/>
          </w:rPr>
          <w:instrText xml:space="preserve"> PAGEREF _Toc89853432 \h </w:instrText>
        </w:r>
        <w:r>
          <w:rPr>
            <w:noProof/>
            <w:webHidden/>
          </w:rPr>
        </w:r>
        <w:r>
          <w:rPr>
            <w:noProof/>
            <w:webHidden/>
          </w:rPr>
          <w:fldChar w:fldCharType="separate"/>
        </w:r>
        <w:r>
          <w:rPr>
            <w:noProof/>
            <w:webHidden/>
          </w:rPr>
          <w:t>20</w:t>
        </w:r>
        <w:r>
          <w:rPr>
            <w:noProof/>
            <w:webHidden/>
          </w:rPr>
          <w:fldChar w:fldCharType="end"/>
        </w:r>
      </w:hyperlink>
    </w:p>
    <w:p w14:paraId="010D7CF2" w14:textId="5362CDCD" w:rsidR="0039188E" w:rsidRDefault="0039188E">
      <w:pPr>
        <w:pStyle w:val="Sommario2"/>
        <w:rPr>
          <w:rFonts w:asciiTheme="minorHAnsi" w:eastAsiaTheme="minorEastAsia" w:hAnsiTheme="minorHAnsi" w:cstheme="minorBidi"/>
          <w:noProof/>
          <w:lang w:val="it-JP"/>
        </w:rPr>
      </w:pPr>
      <w:hyperlink w:anchor="_Toc89853433" w:history="1">
        <w:r w:rsidRPr="00FE1AF5">
          <w:rPr>
            <w:rStyle w:val="Collegamentoipertestuale"/>
            <w:noProof/>
            <w:lang w:val="en-US"/>
          </w:rPr>
          <w:t>Fig. S9. The effects of indomethacin and ketoprofen of the sinusoidal reuptake of bilirubin glucuronide</w:t>
        </w:r>
        <w:r>
          <w:rPr>
            <w:noProof/>
            <w:webHidden/>
          </w:rPr>
          <w:tab/>
        </w:r>
        <w:r>
          <w:rPr>
            <w:noProof/>
            <w:webHidden/>
          </w:rPr>
          <w:fldChar w:fldCharType="begin"/>
        </w:r>
        <w:r>
          <w:rPr>
            <w:noProof/>
            <w:webHidden/>
          </w:rPr>
          <w:instrText xml:space="preserve"> PAGEREF _Toc89853433 \h </w:instrText>
        </w:r>
        <w:r>
          <w:rPr>
            <w:noProof/>
            <w:webHidden/>
          </w:rPr>
        </w:r>
        <w:r>
          <w:rPr>
            <w:noProof/>
            <w:webHidden/>
          </w:rPr>
          <w:fldChar w:fldCharType="separate"/>
        </w:r>
        <w:r>
          <w:rPr>
            <w:noProof/>
            <w:webHidden/>
          </w:rPr>
          <w:t>21</w:t>
        </w:r>
        <w:r>
          <w:rPr>
            <w:noProof/>
            <w:webHidden/>
          </w:rPr>
          <w:fldChar w:fldCharType="end"/>
        </w:r>
      </w:hyperlink>
    </w:p>
    <w:p w14:paraId="7D7EF4DA" w14:textId="2BA396DD" w:rsidR="0039188E" w:rsidRDefault="0039188E">
      <w:pPr>
        <w:pStyle w:val="Sommario2"/>
        <w:rPr>
          <w:rFonts w:asciiTheme="minorHAnsi" w:eastAsiaTheme="minorEastAsia" w:hAnsiTheme="minorHAnsi" w:cstheme="minorBidi"/>
          <w:noProof/>
          <w:lang w:val="it-JP"/>
        </w:rPr>
      </w:pPr>
      <w:hyperlink w:anchor="_Toc89853434" w:history="1">
        <w:r w:rsidRPr="00FE1AF5">
          <w:rPr>
            <w:rStyle w:val="Collegamentoipertestuale"/>
            <w:noProof/>
            <w:lang w:val="en-US"/>
          </w:rPr>
          <w:t>Fig. S10. The quantitative effect of taurocholate of the sinusoidal reuptake of bilirubin glucuronide</w:t>
        </w:r>
        <w:r>
          <w:rPr>
            <w:noProof/>
            <w:webHidden/>
          </w:rPr>
          <w:tab/>
        </w:r>
        <w:r>
          <w:rPr>
            <w:noProof/>
            <w:webHidden/>
          </w:rPr>
          <w:fldChar w:fldCharType="begin"/>
        </w:r>
        <w:r>
          <w:rPr>
            <w:noProof/>
            <w:webHidden/>
          </w:rPr>
          <w:instrText xml:space="preserve"> PAGEREF _Toc89853434 \h </w:instrText>
        </w:r>
        <w:r>
          <w:rPr>
            <w:noProof/>
            <w:webHidden/>
          </w:rPr>
        </w:r>
        <w:r>
          <w:rPr>
            <w:noProof/>
            <w:webHidden/>
          </w:rPr>
          <w:fldChar w:fldCharType="separate"/>
        </w:r>
        <w:r>
          <w:rPr>
            <w:noProof/>
            <w:webHidden/>
          </w:rPr>
          <w:t>22</w:t>
        </w:r>
        <w:r>
          <w:rPr>
            <w:noProof/>
            <w:webHidden/>
          </w:rPr>
          <w:fldChar w:fldCharType="end"/>
        </w:r>
      </w:hyperlink>
    </w:p>
    <w:p w14:paraId="0A843E18" w14:textId="7B8B9E14" w:rsidR="0039188E" w:rsidRDefault="0039188E">
      <w:pPr>
        <w:pStyle w:val="Sommario2"/>
        <w:rPr>
          <w:rFonts w:asciiTheme="minorHAnsi" w:eastAsiaTheme="minorEastAsia" w:hAnsiTheme="minorHAnsi" w:cstheme="minorBidi"/>
          <w:noProof/>
          <w:lang w:val="it-JP"/>
        </w:rPr>
      </w:pPr>
      <w:hyperlink w:anchor="_Toc89853435" w:history="1">
        <w:r w:rsidRPr="00FE1AF5">
          <w:rPr>
            <w:rStyle w:val="Collegamentoipertestuale"/>
            <w:noProof/>
            <w:lang w:val="en-US"/>
          </w:rPr>
          <w:t>Fig. S11. The effects of physiological concentrations of cyanidin 3-glucoside and taurocholate on the hepatic uptake of bilirubin and bilirubin glucuronide</w:t>
        </w:r>
        <w:r>
          <w:rPr>
            <w:noProof/>
            <w:webHidden/>
          </w:rPr>
          <w:tab/>
        </w:r>
        <w:r>
          <w:rPr>
            <w:noProof/>
            <w:webHidden/>
          </w:rPr>
          <w:fldChar w:fldCharType="begin"/>
        </w:r>
        <w:r>
          <w:rPr>
            <w:noProof/>
            <w:webHidden/>
          </w:rPr>
          <w:instrText xml:space="preserve"> PAGEREF _Toc89853435 \h </w:instrText>
        </w:r>
        <w:r>
          <w:rPr>
            <w:noProof/>
            <w:webHidden/>
          </w:rPr>
        </w:r>
        <w:r>
          <w:rPr>
            <w:noProof/>
            <w:webHidden/>
          </w:rPr>
          <w:fldChar w:fldCharType="separate"/>
        </w:r>
        <w:r>
          <w:rPr>
            <w:noProof/>
            <w:webHidden/>
          </w:rPr>
          <w:t>24</w:t>
        </w:r>
        <w:r>
          <w:rPr>
            <w:noProof/>
            <w:webHidden/>
          </w:rPr>
          <w:fldChar w:fldCharType="end"/>
        </w:r>
      </w:hyperlink>
    </w:p>
    <w:p w14:paraId="0E4ED725" w14:textId="67C45CA6" w:rsidR="0039188E" w:rsidRDefault="0039188E">
      <w:pPr>
        <w:pStyle w:val="Sommario1"/>
        <w:tabs>
          <w:tab w:val="right" w:leader="dot" w:pos="9016"/>
        </w:tabs>
        <w:rPr>
          <w:rFonts w:asciiTheme="minorHAnsi" w:eastAsiaTheme="minorEastAsia" w:hAnsiTheme="minorHAnsi" w:cstheme="minorBidi"/>
          <w:noProof/>
          <w:lang w:val="it-JP"/>
        </w:rPr>
      </w:pPr>
      <w:hyperlink w:anchor="_Toc89853436" w:history="1">
        <w:r w:rsidRPr="00FE1AF5">
          <w:rPr>
            <w:rStyle w:val="Collegamentoipertestuale"/>
            <w:noProof/>
            <w:lang w:val="en-US"/>
          </w:rPr>
          <w:t>References</w:t>
        </w:r>
        <w:r>
          <w:rPr>
            <w:noProof/>
            <w:webHidden/>
          </w:rPr>
          <w:tab/>
        </w:r>
        <w:r>
          <w:rPr>
            <w:noProof/>
            <w:webHidden/>
          </w:rPr>
          <w:fldChar w:fldCharType="begin"/>
        </w:r>
        <w:r>
          <w:rPr>
            <w:noProof/>
            <w:webHidden/>
          </w:rPr>
          <w:instrText xml:space="preserve"> PAGEREF _Toc89853436 \h </w:instrText>
        </w:r>
        <w:r>
          <w:rPr>
            <w:noProof/>
            <w:webHidden/>
          </w:rPr>
        </w:r>
        <w:r>
          <w:rPr>
            <w:noProof/>
            <w:webHidden/>
          </w:rPr>
          <w:fldChar w:fldCharType="separate"/>
        </w:r>
        <w:r>
          <w:rPr>
            <w:noProof/>
            <w:webHidden/>
          </w:rPr>
          <w:t>27</w:t>
        </w:r>
        <w:r>
          <w:rPr>
            <w:noProof/>
            <w:webHidden/>
          </w:rPr>
          <w:fldChar w:fldCharType="end"/>
        </w:r>
      </w:hyperlink>
    </w:p>
    <w:p w14:paraId="45E7C2AD" w14:textId="01A0514E" w:rsidR="00760B34" w:rsidRDefault="0039188E" w:rsidP="003B76E2">
      <w:pPr>
        <w:widowControl w:val="0"/>
        <w:autoSpaceDE w:val="0"/>
        <w:autoSpaceDN w:val="0"/>
        <w:adjustRightInd w:val="0"/>
        <w:jc w:val="both"/>
        <w:rPr>
          <w:b/>
          <w:bCs/>
          <w:sz w:val="28"/>
          <w:szCs w:val="28"/>
          <w:lang w:val="en-US"/>
        </w:rPr>
      </w:pPr>
      <w:r>
        <w:rPr>
          <w:b/>
          <w:bCs/>
          <w:sz w:val="28"/>
          <w:szCs w:val="28"/>
          <w:lang w:val="en-US"/>
        </w:rPr>
        <w:fldChar w:fldCharType="end"/>
      </w:r>
    </w:p>
    <w:p w14:paraId="660C5452" w14:textId="04747EFC" w:rsidR="00D53B45" w:rsidRDefault="00D53B45" w:rsidP="003B76E2">
      <w:pPr>
        <w:pStyle w:val="Titolo1"/>
        <w:jc w:val="both"/>
        <w:rPr>
          <w:lang w:val="en-US"/>
        </w:rPr>
      </w:pPr>
      <w:bookmarkStart w:id="1" w:name="_Toc89853414"/>
      <w:r>
        <w:rPr>
          <w:lang w:val="en-US"/>
        </w:rPr>
        <w:t>Abbreviations</w:t>
      </w:r>
      <w:bookmarkEnd w:id="1"/>
    </w:p>
    <w:p w14:paraId="4EEE974F" w14:textId="65F0A609" w:rsidR="00760B34" w:rsidRPr="00D627A6" w:rsidRDefault="00760B34" w:rsidP="003B76E2">
      <w:pPr>
        <w:jc w:val="both"/>
        <w:rPr>
          <w:highlight w:val="yellow"/>
          <w:lang w:val="en-US"/>
        </w:rPr>
      </w:pPr>
      <w:r w:rsidRPr="005B219A">
        <w:rPr>
          <w:lang w:val="en-US"/>
        </w:rPr>
        <w:t xml:space="preserve">BR, bilirubin; BRG, bilirubin glucuronide; C3G, cyanidin 3-glucoside; </w:t>
      </w:r>
      <w:r>
        <w:rPr>
          <w:lang w:val="en-US"/>
        </w:rPr>
        <w:t xml:space="preserve">E17G, </w:t>
      </w:r>
      <w:r w:rsidRPr="00367469">
        <w:rPr>
          <w:lang w:val="en-US"/>
        </w:rPr>
        <w:t>estradiol</w:t>
      </w:r>
      <w:r w:rsidR="00CF042E">
        <w:rPr>
          <w:lang w:val="en-US"/>
        </w:rPr>
        <w:t>-</w:t>
      </w:r>
      <w:r w:rsidRPr="00367469">
        <w:rPr>
          <w:lang w:val="en-US"/>
        </w:rPr>
        <w:t>17</w:t>
      </w:r>
      <w:r w:rsidR="00CF042E">
        <w:rPr>
          <w:lang w:val="en-US"/>
        </w:rPr>
        <w:t xml:space="preserve"> beta</w:t>
      </w:r>
      <w:r w:rsidRPr="00367469">
        <w:rPr>
          <w:lang w:val="en-US"/>
        </w:rPr>
        <w:t>-glucuronide</w:t>
      </w:r>
      <w:r>
        <w:rPr>
          <w:lang w:val="en-US"/>
        </w:rPr>
        <w:t xml:space="preserve">; </w:t>
      </w:r>
      <w:r w:rsidRPr="005B219A">
        <w:rPr>
          <w:lang w:val="en-US"/>
        </w:rPr>
        <w:t>M3G, malvi</w:t>
      </w:r>
      <w:r>
        <w:rPr>
          <w:lang w:val="en-US"/>
        </w:rPr>
        <w:t xml:space="preserve">din 3-glucoside; P3G, peonidin 3-glucoside; </w:t>
      </w:r>
      <w:r w:rsidRPr="00D627A6">
        <w:rPr>
          <w:lang w:val="en-US"/>
        </w:rPr>
        <w:t xml:space="preserve">PRV, pravastatin; </w:t>
      </w:r>
      <w:r>
        <w:rPr>
          <w:lang w:val="en-US"/>
        </w:rPr>
        <w:t>TC,</w:t>
      </w:r>
      <w:r w:rsidRPr="00D627A6">
        <w:rPr>
          <w:lang w:val="en-US"/>
        </w:rPr>
        <w:t xml:space="preserve"> t</w:t>
      </w:r>
      <w:r>
        <w:rPr>
          <w:lang w:val="en-US"/>
        </w:rPr>
        <w:t>aurocholate.</w:t>
      </w:r>
    </w:p>
    <w:p w14:paraId="04382E57" w14:textId="77777777" w:rsidR="00760B34" w:rsidRDefault="00760B34" w:rsidP="003B76E2">
      <w:pPr>
        <w:widowControl w:val="0"/>
        <w:autoSpaceDE w:val="0"/>
        <w:autoSpaceDN w:val="0"/>
        <w:adjustRightInd w:val="0"/>
        <w:jc w:val="both"/>
        <w:rPr>
          <w:b/>
          <w:bCs/>
          <w:sz w:val="28"/>
          <w:szCs w:val="28"/>
          <w:lang w:val="en-US"/>
        </w:rPr>
      </w:pPr>
    </w:p>
    <w:p w14:paraId="494A9573" w14:textId="1B5C2DD6" w:rsidR="00D53B45" w:rsidRDefault="00760B34" w:rsidP="003B76E2">
      <w:pPr>
        <w:pStyle w:val="Titolo1"/>
        <w:jc w:val="both"/>
        <w:rPr>
          <w:lang w:val="en-US"/>
        </w:rPr>
      </w:pPr>
      <w:bookmarkStart w:id="2" w:name="_Toc89853415"/>
      <w:r>
        <w:rPr>
          <w:lang w:val="en-US"/>
        </w:rPr>
        <w:t>Supplementary methods</w:t>
      </w:r>
      <w:bookmarkEnd w:id="2"/>
    </w:p>
    <w:p w14:paraId="0A3E0E0D" w14:textId="77777777" w:rsidR="00893B67" w:rsidRPr="00AC26E1" w:rsidRDefault="00893B67" w:rsidP="003B76E2">
      <w:pPr>
        <w:widowControl w:val="0"/>
        <w:autoSpaceDE w:val="0"/>
        <w:autoSpaceDN w:val="0"/>
        <w:adjustRightInd w:val="0"/>
        <w:jc w:val="both"/>
        <w:rPr>
          <w:b/>
          <w:bCs/>
          <w:sz w:val="28"/>
          <w:szCs w:val="28"/>
          <w:lang w:val="en-US"/>
        </w:rPr>
      </w:pPr>
    </w:p>
    <w:p w14:paraId="55F053F4" w14:textId="61D4ED60" w:rsidR="00C80ACE" w:rsidRPr="0003676C" w:rsidRDefault="00C80ACE" w:rsidP="003B76E2">
      <w:pPr>
        <w:pStyle w:val="Titolo2"/>
        <w:jc w:val="both"/>
        <w:rPr>
          <w:lang w:val="en-US"/>
        </w:rPr>
      </w:pPr>
      <w:bookmarkStart w:id="3" w:name="_Toc83808084"/>
      <w:bookmarkStart w:id="4" w:name="_Toc83808191"/>
      <w:bookmarkStart w:id="5" w:name="_Toc86073626"/>
      <w:bookmarkStart w:id="6" w:name="_Toc89853416"/>
      <w:r w:rsidRPr="0065056E">
        <w:rPr>
          <w:lang w:val="en-US"/>
        </w:rPr>
        <w:t>Isolated perfused rat liver</w:t>
      </w:r>
      <w:bookmarkEnd w:id="3"/>
      <w:bookmarkEnd w:id="4"/>
      <w:bookmarkEnd w:id="5"/>
      <w:bookmarkEnd w:id="6"/>
    </w:p>
    <w:p w14:paraId="59485DD0" w14:textId="3AA0AA01" w:rsidR="00C80ACE" w:rsidRPr="00463873" w:rsidRDefault="00C80ACE" w:rsidP="003B76E2">
      <w:pPr>
        <w:jc w:val="both"/>
      </w:pPr>
      <w:r w:rsidRPr="0065056E">
        <w:rPr>
          <w:lang w:val="en-US"/>
        </w:rPr>
        <w:t>T</w:t>
      </w:r>
      <w:r w:rsidRPr="0065056E">
        <w:rPr>
          <w:lang w:val="en-GB"/>
        </w:rPr>
        <w:t>he isolated perfused rat liver was chosen</w:t>
      </w:r>
      <w:r w:rsidR="00573A04">
        <w:rPr>
          <w:lang w:val="en-GB"/>
        </w:rPr>
        <w:t xml:space="preserve"> because </w:t>
      </w:r>
      <w:r w:rsidRPr="0065056E">
        <w:rPr>
          <w:lang w:val="en-GB"/>
        </w:rPr>
        <w:t xml:space="preserve">the hepatic architecture </w:t>
      </w:r>
      <w:r w:rsidR="00573A04">
        <w:rPr>
          <w:lang w:val="en-GB"/>
        </w:rPr>
        <w:t>supporting</w:t>
      </w:r>
      <w:r w:rsidR="00573A04" w:rsidRPr="0065056E">
        <w:rPr>
          <w:lang w:val="en-GB"/>
        </w:rPr>
        <w:t xml:space="preserve"> </w:t>
      </w:r>
      <w:r w:rsidR="00CA5593">
        <w:rPr>
          <w:lang w:val="en-GB"/>
        </w:rPr>
        <w:t xml:space="preserve">the </w:t>
      </w:r>
      <w:r w:rsidRPr="0065056E">
        <w:rPr>
          <w:lang w:val="en-GB"/>
        </w:rPr>
        <w:t xml:space="preserve">vectorial hepatobiliary transport processes </w:t>
      </w:r>
      <w:r w:rsidR="00573A04">
        <w:rPr>
          <w:lang w:val="en-GB"/>
        </w:rPr>
        <w:t>is</w:t>
      </w:r>
      <w:r w:rsidR="00573A04" w:rsidRPr="0065056E">
        <w:rPr>
          <w:lang w:val="en-GB"/>
        </w:rPr>
        <w:t xml:space="preserve"> </w:t>
      </w:r>
      <w:r w:rsidRPr="0065056E">
        <w:rPr>
          <w:lang w:val="en-GB"/>
        </w:rPr>
        <w:t xml:space="preserve">preserved </w:t>
      </w:r>
      <w:r w:rsidRPr="0065056E">
        <w:rPr>
          <w:lang w:val="en-GB"/>
        </w:rPr>
        <w:fldChar w:fldCharType="begin" w:fldLock="1"/>
      </w:r>
      <w:r>
        <w:rPr>
          <w:lang w:val="en-US"/>
        </w:rPr>
        <w:instrText>ADDIN CSL_CITATION {"citationItems":[{"id":"ITEM-1","itemData":{"ISSN":"0022-3549","author":[{"dropping-particle":"","family":"Stieger","given":"Bruno","non-dropping-particle":"","parse-names":false,"suffix":""},{"dropping-particle":"","family":"Mahdi","given":"Zainab M","non-dropping-particle":"","parse-names":false,"suffix":""}],"container-title":"Journal of pharmaceutical sciences","id":"ITEM-1","issue":"9","issued":{"date-parts":[["2017"]]},"page":"2295-2301","publisher":"Elsevier","title":"Model systems for studying the role of canalicular efflux transporters in drug-induced cholestatic liver disease","type":"article-journal","volume":"106"},"uris":["http://www.mendeley.com/documents/?uuid=3e3b04d0-3c65-4a2b-9e86-0ec9412ce1f9"]}],"mendeley":{"formattedCitation":"[1]","plainTextFormattedCitation":"[1]","previouslyFormattedCitation":"[1]"},"properties":{"noteIndex":0},"schema":"https://github.com/citation-style-language/schema/raw/master/csl-citation.json"}</w:instrText>
      </w:r>
      <w:r w:rsidRPr="0065056E">
        <w:rPr>
          <w:lang w:val="en-GB"/>
        </w:rPr>
        <w:fldChar w:fldCharType="separate"/>
      </w:r>
      <w:r w:rsidRPr="00C80ACE">
        <w:rPr>
          <w:noProof/>
          <w:lang w:val="en-US"/>
        </w:rPr>
        <w:t>[1]</w:t>
      </w:r>
      <w:r w:rsidRPr="0065056E">
        <w:rPr>
          <w:lang w:val="en-GB"/>
        </w:rPr>
        <w:fldChar w:fldCharType="end"/>
      </w:r>
      <w:r w:rsidRPr="0065056E">
        <w:rPr>
          <w:lang w:val="en-GB"/>
        </w:rPr>
        <w:t xml:space="preserve">. </w:t>
      </w:r>
      <w:r w:rsidR="00463873" w:rsidRPr="00463873">
        <w:t>Isolated livers were prepared from Wistar rats (200-290 g) following a standard procedure</w:t>
      </w:r>
      <w:r w:rsidRPr="0065056E">
        <w:rPr>
          <w:lang w:val="en-GB"/>
        </w:rPr>
        <w:t xml:space="preserve"> </w:t>
      </w:r>
      <w:r w:rsidRPr="0065056E">
        <w:rPr>
          <w:lang w:val="en-GB"/>
        </w:rPr>
        <w:fldChar w:fldCharType="begin" w:fldLock="1"/>
      </w:r>
      <w:r w:rsidR="00877868">
        <w:rPr>
          <w:lang w:val="en-GB"/>
        </w:rPr>
        <w:instrText>ADDIN CSL_CITATION {"citationItems":[{"id":"ITEM-1","itemData":{"DOI":"10.1258/002367706777611460","ISSN":"0023-6772 (Print)","PMID":"16803641","abstract":"For many years, the isolated perfused rat liver (IPRL) model has been used to investigate the physiology and pathophysiology of the rat liver. This in vitro model provides the opportunity to assess cellular injury and liver function in an isolated setting. This review offers an update of recent developments regarding the IPRL set-up as well as the viability parameters that are used, with regards to liver preservation and ischaemia and reperfusion mechanisms.A review of the literature was performed into studies regarding liver preservation or liver ischaemia and reperfusion. An overview of the literature is given with particular emphasis on perfusate type and volume, reperfusion pressure, flow, temperature, duration of perfusion, oxygenation and on applicable viability parameters (liver damage and function). The choice of IPRL set-up depends on the question examined and on the parameters of interest. A standard technique is cannulation of the portal vein, bile duct and caval vein with pressure-controlled perfusion at 20 cm H2O (15 mmHg) to reach a perfusion flow of approximately 3 mL/min/g liver weight. The preferred perfusion solution is Krebs-Henseleit buffer, without albumin. The usual volume is 150-300 cm3, oxygenated to a pO2 of more than 500 mmHg. The temperature of the perfusate is maintained at 37 degrees C. Standardized markers should be used to allow comparison with other experiments.","author":[{"dropping-particle":"","family":"Bessems","given":"M","non-dropping-particle":"","parse-names":false,"suffix":""},{"dropping-particle":"","family":"'t Hart","given":"N A","non-dropping-particle":"","parse-names":false,"suffix":""},{"dropping-particle":"","family":"Tolba","given":"R","non-dropping-particle":"","parse-names":false,"suffix":""},{"dropping-particle":"","family":"Doorschodt","given":"B M","non-dropping-particle":"","parse-names":false,"suffix":""},{"dropping-particle":"","family":"Leuvenink","given":"H G D","non-dropping-particle":"","parse-names":false,"suffix":""},{"dropping-particle":"","family":"Ploeg","given":"R J","non-dropping-particle":"","parse-names":false,"suffix":""},{"dropping-particle":"","family":"Minor","given":"T","non-dropping-particle":"","parse-names":false,"suffix":""},{"dropping-particle":"","family":"Gulik","given":"T M","non-dropping-particle":"van","parse-names":false,"suffix":""}],"container-title":"Laboratory animals","id":"ITEM-1","issue":"3","issued":{"date-parts":[["2006","7"]]},"language":"eng","page":"236-246","publisher-place":"England","title":"The isolated perfused rat liver: standardization of a time-honoured model.","type":"article-journal","volume":"40"},"uris":["http://www.mendeley.com/documents/?uuid=fce69a8c-8bd8-4c8d-bd89-bbc7f55fe3b9"]}],"mendeley":{"formattedCitation":"[2]","plainTextFormattedCitation":"[2]","previouslyFormattedCitation":"[2]"},"properties":{"noteIndex":0},"schema":"https://github.com/citation-style-language/schema/raw/master/csl-citation.json"}</w:instrText>
      </w:r>
      <w:r w:rsidRPr="0065056E">
        <w:rPr>
          <w:lang w:val="en-GB"/>
        </w:rPr>
        <w:fldChar w:fldCharType="separate"/>
      </w:r>
      <w:r w:rsidRPr="00C80ACE">
        <w:rPr>
          <w:noProof/>
          <w:lang w:val="en-GB"/>
        </w:rPr>
        <w:t>[2]</w:t>
      </w:r>
      <w:r w:rsidRPr="0065056E">
        <w:rPr>
          <w:lang w:val="en-GB"/>
        </w:rPr>
        <w:fldChar w:fldCharType="end"/>
      </w:r>
      <w:r>
        <w:rPr>
          <w:lang w:val="en-GB"/>
        </w:rPr>
        <w:t xml:space="preserve"> with modifications </w:t>
      </w:r>
      <w:r w:rsidR="00A36567" w:rsidRPr="00A36567">
        <w:t>as described</w:t>
      </w:r>
      <w:r>
        <w:rPr>
          <w:lang w:val="en-GB"/>
        </w:rPr>
        <w:t xml:space="preserve"> in a</w:t>
      </w:r>
      <w:r w:rsidRPr="00C80ACE">
        <w:rPr>
          <w:lang w:val="en-GB"/>
        </w:rPr>
        <w:t xml:space="preserve"> </w:t>
      </w:r>
      <w:r w:rsidRPr="0065056E">
        <w:rPr>
          <w:lang w:val="en-GB"/>
        </w:rPr>
        <w:t>protocol</w:t>
      </w:r>
      <w:r>
        <w:rPr>
          <w:lang w:val="en-GB"/>
        </w:rPr>
        <w:t xml:space="preserve"> </w:t>
      </w:r>
      <w:r>
        <w:rPr>
          <w:lang w:val="en-GB"/>
        </w:rPr>
        <w:fldChar w:fldCharType="begin" w:fldLock="1"/>
      </w:r>
      <w:r w:rsidR="00877868">
        <w:rPr>
          <w:lang w:val="en-GB"/>
        </w:rPr>
        <w:instrText>ADDIN CSL_CITATION {"citationItems":[{"id":"ITEM-1","itemData":{"DOI":"10.21203/rs.3.pex-1698/v1","ISSN":"2693-5015","abstract":"We present a protocol for the study of bilirubin uptake in the isolated and perfused rat liver. The liver is perfused with an albumin-free saline buffered solution supplemented with glucose, pyruvate and lactate, in the absence of oxygen, at a physiologically low flow rate. Fractions of the venous effluent are collected and analyzed for bilirubin, bilirubin glucuronide and biomarkers of liver integrity. The liver preparation is viable and intact for 1 h after isolation from the general circulation, with constant levels of both bilirubin and bilirubin glucuronide (&amp;amp;lt; 2 nM) in the effluent. Up to 12 boli of 10 nmol bilirubin can be sequentially injected into the portal vein without and with molecules that target sinusoidal membrane transporters of organic anions. Selective inhibition of bilirubin or bilirubin glucuronide uptake is detected as transient peaks in the effluent (Cmax up 6 to 60 nM). This protocol allows collecting repeated observations in the same liver, thus reducing the animal number by a factor of 10.","author":[{"dropping-particle":"","family":"Stebel","given":"Marco","non-dropping-particle":"","parse-names":false,"suffix":""},{"dropping-particle":"","family":"Medic","given":"Nevenka","non-dropping-particle":"","parse-names":false,"suffix":""},{"dropping-particle":"","family":"Pelizzo","given":"Paola","non-dropping-particle":"","parse-names":false,"suffix":""},{"dropping-particle":"","family":"Sist","given":"Paola","non-dropping-particle":"","parse-names":false,"suffix":""},{"dropping-particle":"","family":"Tramer","given":"Federica","non-dropping-particle":"","parse-names":false,"suffix":""},{"dropping-particle":"","family":"Passamonti","given":"Sabina","non-dropping-particle":"","parse-names":false,"suffix":""}],"container-title":"Protocol Exchange","id":"ITEM-1","issued":{"date-parts":[["2021"]]},"title":"Protocol for the study of hepatic bilirubin uptake in the isolated perfused rat liver","type":"report"},"uris":["http://www.mendeley.com/documents/?uuid=ac376d30-9a59-44af-a74f-4319f00d6918"]}],"mendeley":{"formattedCitation":"[3]","plainTextFormattedCitation":"[3]","previouslyFormattedCitation":"[3]"},"properties":{"noteIndex":0},"schema":"https://github.com/citation-style-language/schema/raw/master/csl-citation.json"}</w:instrText>
      </w:r>
      <w:r>
        <w:rPr>
          <w:lang w:val="en-GB"/>
        </w:rPr>
        <w:fldChar w:fldCharType="separate"/>
      </w:r>
      <w:r w:rsidRPr="00C80ACE">
        <w:rPr>
          <w:noProof/>
          <w:lang w:val="en-GB"/>
        </w:rPr>
        <w:t>[3]</w:t>
      </w:r>
      <w:r>
        <w:rPr>
          <w:lang w:val="en-GB"/>
        </w:rPr>
        <w:fldChar w:fldCharType="end"/>
      </w:r>
      <w:r w:rsidRPr="0065056E">
        <w:rPr>
          <w:lang w:val="en-GB"/>
        </w:rPr>
        <w:t xml:space="preserve">. </w:t>
      </w:r>
      <w:r w:rsidR="00937986" w:rsidRPr="00937986">
        <w:t>Surgical procedures were performed between 11 am and 1 pm. Only female rats were used, as in previous work</w:t>
      </w:r>
      <w:r w:rsidRPr="0065056E">
        <w:rPr>
          <w:lang w:val="en-GB"/>
        </w:rPr>
        <w:t xml:space="preserve"> </w:t>
      </w:r>
      <w:r w:rsidR="00937986" w:rsidRPr="00937986">
        <w:t>on the transport activity of bilitranslocase in vitro</w:t>
      </w:r>
      <w:r w:rsidR="00937986" w:rsidRPr="00937986">
        <w:rPr>
          <w:lang w:val="en-US"/>
        </w:rPr>
        <w:t xml:space="preserve"> </w:t>
      </w:r>
      <w:r w:rsidRPr="0065056E">
        <w:rPr>
          <w:lang w:val="en-GB"/>
        </w:rPr>
        <w:fldChar w:fldCharType="begin" w:fldLock="1"/>
      </w:r>
      <w:r>
        <w:rPr>
          <w:lang w:val="en-GB"/>
        </w:rPr>
        <w:instrText>ADDIN CSL_CITATION {"citationItems":[{"id":"ITEM-1","itemData":{"DOI":"10.1007/978-1-60761-723-5_21","ISSN":"1940-6029 (Electronic)","PMID":"20552460","abstract":"Bromosulfalein is an organic anion dye used in the study of a variety of membrane carriers expressed in animal tissues and involved in transport of drugs and metabolites. The spectrophotometric assay of electrogenic bromosulfalein transport in membrane vesicles, isolated from various mammalian organs or tissues, enables to specifically measure the transport activity of bilitranslocase (TCDB 2.A.65.1.1). The latter is a bilirubin- and flavonoid-specific transporter expressed in rat liver, the organ where its function has been best characterized. The spectrophotometric assay of electrogenic bromosulfalein transport requires minimal volumes of membrane vesicles, is completed within 1 min, and, therefore, is a useful tool to screen the transporter spectrum of potential substrates, by testing them as reversible inhibitors of bromosulfalein transport kinetics. Furthermore, the assay enables to study the progress of time-dependent inactivation of bromosulfalein transport, caused by different protein-specific reagents, including specific anti-sequence antibodies. Inactivation can be retarded by the presence of substrates in a concentration-dependent manner, enabling to derive the dissociation constants of the transporter-substrate complex and thus to gain further insight into the transporter structure-function relationship. This assay, implemented in membrane vesicles isolated from plant organs, has paved the way to the discovery of homologues of bilitranslocase in plants.","author":[{"dropping-particle":"","family":"Passamonti","given":"Sabina","non-dropping-particle":"","parse-names":false,"suffix":""},{"dropping-particle":"","family":"Tramer","given":"Federica","non-dropping-particle":"","parse-names":false,"suffix":""},{"dropping-particle":"","family":"Petrussa","given":"Elisa","non-dropping-particle":"","parse-names":false,"suffix":""},{"dropping-particle":"","family":"Braidot","given":"Enrico","non-dropping-particle":"","parse-names":false,"suffix":""},{"dropping-particle":"","family":"Vianello","given":"Angelo","non-dropping-particle":"","parse-names":false,"suffix":""}],"container-title":"Methods in molecular biology (Clifton, N.J.)","id":"ITEM-1","issued":{"date-parts":[["2010"]]},"language":"eng","page":"307-335","publisher-place":"United States","title":"Electrogenic bromosulfalein transport in isolated membrane vesicles: implementation in both animal and plant preparations for the study of flavonoid transporters.","type":"article-journal","volume":"643"},"uris":["http://www.mendeley.com/documents/?uuid=389d9576-7b62-412b-afd5-f307e0898146"]}],"mendeley":{"formattedCitation":"[4]","plainTextFormattedCitation":"[4]","previouslyFormattedCitation":"[4]"},"properties":{"noteIndex":0},"schema":"https://github.com/citation-style-language/schema/raw/master/csl-citation.json"}</w:instrText>
      </w:r>
      <w:r w:rsidRPr="0065056E">
        <w:rPr>
          <w:lang w:val="en-GB"/>
        </w:rPr>
        <w:fldChar w:fldCharType="separate"/>
      </w:r>
      <w:r w:rsidRPr="00C80ACE">
        <w:rPr>
          <w:noProof/>
          <w:lang w:val="en-GB"/>
        </w:rPr>
        <w:t>[4]</w:t>
      </w:r>
      <w:r w:rsidRPr="0065056E">
        <w:rPr>
          <w:lang w:val="en-GB"/>
        </w:rPr>
        <w:fldChar w:fldCharType="end"/>
      </w:r>
      <w:r w:rsidRPr="005B3D30">
        <w:rPr>
          <w:lang w:val="en-GB"/>
        </w:rPr>
        <w:t xml:space="preserve"> </w:t>
      </w:r>
      <w:r w:rsidRPr="0065056E">
        <w:rPr>
          <w:lang w:val="en-GB"/>
        </w:rPr>
        <w:fldChar w:fldCharType="begin" w:fldLock="1"/>
      </w:r>
      <w:r>
        <w:rPr>
          <w:lang w:val="en-GB"/>
        </w:rPr>
        <w:instrText>ADDIN CSL_CITATION {"citationItems":[{"id":"ITEM-1","itemData":{"DOI":"10.1016/j.aca.2011.07.004","ISSN":"1873-4324 (Electronic)","PMID":"21962375","abstract":"The transport activity of a membrane protein, bilitranslocase (T.C. # 2.A.65.1.1), which acts as a transporter of bilirubin from blood to liver cells, was experimentally determined for a large set of various endogenous compounds, drugs, purine and pyrimidine derivatives. On these grounds, the structure-activity models were developed following the OECD principles of QSAR models and their predictive ability for new chemicals was evaluated. The applicability domain of the models was estimated by Euclidean distances criteria according to the applied modeling method. The selection of the most influential structural variables was an important stage in the adopted modeling methodology. The interpretation of selected variables was performed in order to get an insight into the mechanism of transport through the cell membrane via bilitranslocase. Validation of the optimized models was performed by a previously determined validation set. The classification model was build to separate active from inactive compounds. The resulting accuracy, sensitivity, and specificity were 0.73, 0.89, and 0.64, respectively. Only active compounds were used to develop a predictive model for bilitranslocase inhibition constants. The model showed good predictive ability; Root Mean Squared error of the validation set, RMS(V)=0.29 log units.","author":[{"dropping-particle":"","family":"Zuperl","given":"Spela","non-dropping-particle":"","parse-names":false,"suffix":""},{"dropping-particle":"","family":"Fornasaro","given":"Stefano","non-dropping-particle":"","parse-names":false,"suffix":""},{"dropping-particle":"","family":"Novic","given":"Marjana","non-dropping-particle":"","parse-names":false,"suffix":""},{"dropping-particle":"","family":"Passamonti","given":"Sabina","non-dropping-particle":"","parse-names":false,"suffix":""}],"container-title":"Analytica chimica acta","id":"ITEM-1","issue":"1-2","issued":{"date-parts":[["2011","10"]]},"language":"eng","page":"322-333","publisher-place":"Netherlands","title":"Experimental determination and prediction of bilitranslocase transport activity.","type":"article-journal","volume":"705"},"uris":["http://www.mendeley.com/documents/?uuid=449fdc25-b67c-49a6-8c8a-cc1349e02422"]}],"mendeley":{"formattedCitation":"[5]","plainTextFormattedCitation":"[5]","previouslyFormattedCitation":"[5]"},"properties":{"noteIndex":0},"schema":"https://github.com/citation-style-language/schema/raw/master/csl-citation.json"}</w:instrText>
      </w:r>
      <w:r w:rsidRPr="0065056E">
        <w:rPr>
          <w:lang w:val="en-GB"/>
        </w:rPr>
        <w:fldChar w:fldCharType="separate"/>
      </w:r>
      <w:r w:rsidRPr="00C80ACE">
        <w:rPr>
          <w:noProof/>
          <w:lang w:val="en-GB"/>
        </w:rPr>
        <w:t>[5]</w:t>
      </w:r>
      <w:r w:rsidRPr="0065056E">
        <w:rPr>
          <w:lang w:val="en-GB"/>
        </w:rPr>
        <w:fldChar w:fldCharType="end"/>
      </w:r>
      <w:r w:rsidRPr="005B3D30">
        <w:rPr>
          <w:lang w:val="en-GB"/>
        </w:rPr>
        <w:t xml:space="preserve">. </w:t>
      </w:r>
      <w:r w:rsidR="00597CEC" w:rsidRPr="00597CEC">
        <w:t>Livers were isolated from the general circulation by intraportal perfusion of 110 mL of Hank's buffered saline solution (HBSS) at a flow rate of 6 mL min</w:t>
      </w:r>
      <w:r w:rsidR="00597CEC" w:rsidRPr="00597CEC">
        <w:rPr>
          <w:vertAlign w:val="superscript"/>
        </w:rPr>
        <w:t>-1</w:t>
      </w:r>
      <w:r w:rsidR="00597CEC" w:rsidRPr="00597CEC">
        <w:t xml:space="preserve"> and a temperature of 37°C. The outflow from the liver was collected via a </w:t>
      </w:r>
      <w:r w:rsidR="00597CEC" w:rsidRPr="00597CEC">
        <w:rPr>
          <w:lang w:val="en-US"/>
        </w:rPr>
        <w:t>ca</w:t>
      </w:r>
      <w:r w:rsidR="00597CEC">
        <w:rPr>
          <w:lang w:val="en-US"/>
        </w:rPr>
        <w:t>theter</w:t>
      </w:r>
      <w:r w:rsidR="00597CEC" w:rsidRPr="00597CEC">
        <w:t xml:space="preserve"> inserted into the posthepatic segment of the inferior vena cava via the right atrium</w:t>
      </w:r>
      <w:r w:rsidRPr="0065056E">
        <w:rPr>
          <w:lang w:val="en-GB"/>
        </w:rPr>
        <w:t xml:space="preserve">. </w:t>
      </w:r>
      <w:r w:rsidR="00E0666E" w:rsidRPr="00E0666E">
        <w:t>When the effluent from the liver was free of blood, we replaced HBSS with phosphate-buffered saline, pH 7.4 (PBS), as this was compatible with the analysis of BR</w:t>
      </w:r>
      <w:r w:rsidRPr="0065056E">
        <w:rPr>
          <w:lang w:val="en-GB"/>
        </w:rPr>
        <w:t xml:space="preserve">. </w:t>
      </w:r>
      <w:r w:rsidR="00E0666E" w:rsidRPr="00E0666E">
        <w:t>The perfusion PBS was without serum albumin to avoid variable equilibria of the BR -albumin complex</w:t>
      </w:r>
      <w:r w:rsidR="00E0666E" w:rsidRPr="00E0666E">
        <w:rPr>
          <w:lang w:val="en-US"/>
        </w:rPr>
        <w:t xml:space="preserve"> </w:t>
      </w:r>
      <w:r w:rsidRPr="0065056E">
        <w:rPr>
          <w:lang w:val="en-GB"/>
        </w:rPr>
        <w:fldChar w:fldCharType="begin" w:fldLock="1"/>
      </w:r>
      <w:r>
        <w:rPr>
          <w:lang w:val="en-GB"/>
        </w:rPr>
        <w:instrText>ADDIN CSL_CITATION {"citationItems":[{"id":"ITEM-1","itemData":{"DOI":"https://doi.org/10.1016/j.ejps.2018.08.008","ISSN":"0928-0987","abstract":"As explained by the free drug theory, the unbound fraction of drug has long been thought to drive the efficacy of a molecule. Thus, the fraction unbound term, or fu, appears in equations for fundamental pharmacokinetic parameters such as clearance, and is used when attempting in vitro to in vivo extrapolation (IVIVE). In recent years though, it has been noted that IVIVE does not always yield accurate predictions, and that some highly protein bound ligands have more efficient uptake than can be explained by their unbound fractions. This review explores the evolution of fu terms included when implementing IVIVE, the concept of protein-facilitated uptake, and the mechanisms that have been proposed to account for facilitated uptake.","author":[{"dropping-particle":"","family":"Bowman","given":"C M","non-dropping-particle":"","parse-names":false,"suffix":""},{"dropping-particle":"","family":"Benet","given":"L Z","non-dropping-particle":"","parse-names":false,"suffix":""}],"container-title":"European Journal of Pharmaceutical Sciences","id":"ITEM-1","issued":{"date-parts":[["2018"]]},"page":"502-514","title":"An examination of protein binding and protein-facilitated uptake relating to in vitro-in vivo extrapolation","type":"article-journal","volume":"123"},"uris":["http://www.mendeley.com/documents/?uuid=a7ae4f49-c8f7-416f-a3f1-966b73ec7a0b"]}],"mendeley":{"formattedCitation":"[6]","plainTextFormattedCitation":"[6]","previouslyFormattedCitation":"[6]"},"properties":{"noteIndex":0},"schema":"https://github.com/citation-style-language/schema/raw/master/csl-citation.json"}</w:instrText>
      </w:r>
      <w:r w:rsidRPr="0065056E">
        <w:rPr>
          <w:lang w:val="en-GB"/>
        </w:rPr>
        <w:fldChar w:fldCharType="separate"/>
      </w:r>
      <w:r w:rsidRPr="00C80ACE">
        <w:rPr>
          <w:noProof/>
          <w:lang w:val="en-GB"/>
        </w:rPr>
        <w:t>[6]</w:t>
      </w:r>
      <w:r w:rsidRPr="0065056E">
        <w:rPr>
          <w:lang w:val="en-GB"/>
        </w:rPr>
        <w:fldChar w:fldCharType="end"/>
      </w:r>
      <w:r>
        <w:rPr>
          <w:lang w:val="en-GB"/>
        </w:rPr>
        <w:t xml:space="preserve"> and contained </w:t>
      </w:r>
      <w:r w:rsidRPr="0065056E">
        <w:rPr>
          <w:lang w:val="en-GB"/>
        </w:rPr>
        <w:t xml:space="preserve">2.5 mM glucose, 2 mM pyruvate and 0.2 mM lactate. </w:t>
      </w:r>
      <w:r w:rsidR="007421DB" w:rsidRPr="007421DB">
        <w:t>Perfusion was performed without oxygenation to prevent the formation of oxygen free radicals and redox reactions with bilirubin</w:t>
      </w:r>
      <w:r w:rsidR="007421DB" w:rsidRPr="007421DB">
        <w:rPr>
          <w:lang w:val="en-US"/>
        </w:rPr>
        <w:t xml:space="preserve"> </w:t>
      </w:r>
      <w:r w:rsidRPr="0065056E">
        <w:rPr>
          <w:lang w:val="en-GB"/>
        </w:rPr>
        <w:fldChar w:fldCharType="begin" w:fldLock="1"/>
      </w:r>
      <w:r>
        <w:rPr>
          <w:lang w:val="en-GB"/>
        </w:rPr>
        <w:instrText>ADDIN CSL_CITATION {"citationItems":[{"id":"ITEM-1","itemData":{"ISSN":"0009-2797","author":[{"dropping-particle":"","family":"Asad","given":"S Farhan","non-dropping-particle":"","parse-names":false,"suffix":""},{"dropping-particle":"","family":"Singh","given":"Saurabh","non-dropping-particle":"","parse-names":false,"suffix":""},{"dropping-particle":"","family":"Ahmad","given":"Aamir","non-dropping-particle":"","parse-names":false,"suffix":""},{"dropping-particle":"","family":"Khan","given":"Nizam U","non-dropping-particle":"","parse-names":false,"suffix":""},{"dropping-particle":"","family":"Hadi","given":"S M","non-dropping-particle":"","parse-names":false,"suffix":""}],"container-title":"Chemico-biological interactions","id":"ITEM-1","issue":"1","issued":{"date-parts":[["2001"]]},"page":"59-74","publisher":"Elsevier","title":"Prooxidant and antioxidant activities of bilirubin and its metabolic precursor biliverdin: a structure–activity study","type":"article-journal","volume":"137"},"uris":["http://www.mendeley.com/documents/?uuid=ed2349e8-50b4-43a0-91b7-d31925f8d7c6"]}],"mendeley":{"formattedCitation":"[7]","plainTextFormattedCitation":"[7]","previouslyFormattedCitation":"[7]"},"properties":{"noteIndex":0},"schema":"https://github.com/citation-style-language/schema/raw/master/csl-citation.json"}</w:instrText>
      </w:r>
      <w:r w:rsidRPr="0065056E">
        <w:rPr>
          <w:lang w:val="en-GB"/>
        </w:rPr>
        <w:fldChar w:fldCharType="separate"/>
      </w:r>
      <w:r w:rsidRPr="00C80ACE">
        <w:rPr>
          <w:noProof/>
          <w:lang w:val="en-GB"/>
        </w:rPr>
        <w:t>[7]</w:t>
      </w:r>
      <w:r w:rsidRPr="0065056E">
        <w:rPr>
          <w:lang w:val="en-GB"/>
        </w:rPr>
        <w:fldChar w:fldCharType="end"/>
      </w:r>
      <w:r>
        <w:rPr>
          <w:lang w:val="en-GB"/>
        </w:rPr>
        <w:t xml:space="preserve"> and</w:t>
      </w:r>
      <w:r w:rsidRPr="0065056E">
        <w:rPr>
          <w:lang w:val="en-GB"/>
        </w:rPr>
        <w:t xml:space="preserve"> anthocyanins </w:t>
      </w:r>
      <w:r w:rsidRPr="0065056E">
        <w:rPr>
          <w:lang w:val="en-GB"/>
        </w:rPr>
        <w:fldChar w:fldCharType="begin" w:fldLock="1"/>
      </w:r>
      <w:r>
        <w:rPr>
          <w:lang w:val="en-GB"/>
        </w:rPr>
        <w:instrText>ADDIN CSL_CITATION {"citationItems":[{"id":"ITEM-1","itemData":{"DOI":"https://doi.org/10.1006/abbi.1996.0331","ISSN":"0003-9861","abstract":"Red anthocyanin prepared from petals ofHibiscus rosa-sinensisL. was photobleached in the EDTA–riboflavin system. The rate of bleaching monitored at 565 nm depended on the light intensity and EDTA concentrations. Anaerobic conditions and/or addition of superoxide dismutase prevented the bleaching of anthocyanin, whereas mannitol and catalase did not. A similar bleaching was observed under dark conditions in the xanthine–xanthine oxidase system. The results indicate that anthocyanin is bleached by the nonenzymatic reaction with the superoxide radical and suggest that the pigment can function as an antioxidant. The antioxidative efficiency of cyanidin to superoxide was 10-fold higher than that of cyanidin-3-sophoroside as aHibiscusanthocyanin.","author":[{"dropping-particle":"","family":"Yamasaki","given":"Hideo","non-dropping-particle":"","parse-names":false,"suffix":""},{"dropping-particle":"","family":"Uefuji","given":"Hirotaka","non-dropping-particle":"","parse-names":false,"suffix":""},{"dropping-particle":"","family":"Sakihama","given":"Yasuko","non-dropping-particle":"","parse-names":false,"suffix":""}],"container-title":"Archives of Biochemistry and Biophysics","id":"ITEM-1","issue":"1","issued":{"date-parts":[["1996"]]},"page":"183-186","title":"Bleaching of the Red Anthocyanin Induced by Superoxide Radical","type":"article-journal","volume":"332"},"uris":["http://www.mendeley.com/documents/?uuid=adb87fc5-219e-4391-86b6-6e2cdafd0852"]}],"mendeley":{"formattedCitation":"[8]","plainTextFormattedCitation":"[8]","previouslyFormattedCitation":"[8]"},"properties":{"noteIndex":0},"schema":"https://github.com/citation-style-language/schema/raw/master/csl-citation.json"}</w:instrText>
      </w:r>
      <w:r w:rsidRPr="0065056E">
        <w:rPr>
          <w:lang w:val="en-GB"/>
        </w:rPr>
        <w:fldChar w:fldCharType="separate"/>
      </w:r>
      <w:r w:rsidRPr="00C80ACE">
        <w:rPr>
          <w:noProof/>
          <w:lang w:val="en-GB"/>
        </w:rPr>
        <w:t>[8]</w:t>
      </w:r>
      <w:r w:rsidRPr="0065056E">
        <w:rPr>
          <w:lang w:val="en-GB"/>
        </w:rPr>
        <w:fldChar w:fldCharType="end"/>
      </w:r>
      <w:r>
        <w:rPr>
          <w:lang w:val="en-US"/>
        </w:rPr>
        <w:t xml:space="preserve">. </w:t>
      </w:r>
      <w:r w:rsidR="005F6CFD" w:rsidRPr="005F6CFD">
        <w:t>It is known that short-term ischemia has no effect on the structural</w:t>
      </w:r>
      <w:r w:rsidRPr="0065056E">
        <w:rPr>
          <w:lang w:val="en-GB"/>
        </w:rPr>
        <w:t xml:space="preserve"> </w:t>
      </w:r>
      <w:r w:rsidRPr="0065056E">
        <w:rPr>
          <w:lang w:val="en-GB"/>
        </w:rPr>
        <w:fldChar w:fldCharType="begin" w:fldLock="1"/>
      </w:r>
      <w:r>
        <w:rPr>
          <w:lang w:val="en-GB"/>
        </w:rPr>
        <w:instrText>ADDIN CSL_CITATION {"citationItems":[{"id":"ITEM-1","itemData":{"DOI":"10.1172/JCI116223","ISSN":"0021-9738","abstract":"The time course of oxidative stress and tissue damage in zonal liver ischemia-reperfusion in rat liver in vivo was evaluated. After 180 min of ischemia, surface chemiluminescence decreased to zero, state 3 mitochondrial respiration decreased by 70-80%, and xanthine oxidase activity increased by 26% without change in the water content and in the activities of superoxide dismutase, catalase, and glutathione peroxidase. After reperfusion, marked increases in oxyradical production and tissue damage were detected. Mitochondrial oxygen uptake in state 3 and respiratory control as well as the activities of superoxide dismutase, catalase, and glutathione peroxidase and the level of nonenzymatic antioxidants (evaluated by the hydroperoxide-initiated chemiluminescence) were decreased. The severity of the post-reperfusion changes correlated with the time of ischemia. Morphologically, hepatocytes appeared swollen with zonal cord disarrangement which ranged from mild to severe for the tissue reperfused after 60-180 min of ischemia. Neutrophil infiltration was observed after 180 min of ischemia and 30 min of reperfusion. Mitochondria appear as the major source of hydrogen peroxide in control and in reperfused liver, as indicated by the almost complete inhibition of hydrogen peroxide production exerted by the uncoupler carbonylcyanide p-(trifluoromethoxy) phenylhydrazone. Additionally, inhibition of mitochondrial electron transfer by antimycin in liver slices reproduced the inhibition of state 3 mitochondrial respiration and the increase in hydrogen peroxide steady-state concentration found in reperfused liver. Increased rates of oxyradical production by inhibited mitochondria appear as the initial cause of oxidative stress and liver damage during early reperfusion in rat liver. Images","author":[{"dropping-particle":"","family":"González-Flecha","given":"B","non-dropping-particle":"","parse-names":false,"suffix":""},{"dropping-particle":"","family":"Cutrin","given":"J C","non-dropping-particle":"","parse-names":false,"suffix":""},{"dropping-particle":"","family":"Boveris","given":"A","non-dropping-particle":"","parse-names":false,"suffix":""}],"container-title":"The Journal of Clinical Investigation","id":"ITEM-1","issue":"2","issued":{"date-parts":[["1993","2","1"]]},"page":"456-464","publisher":"The American Society for Clinical Investigation","title":"Time course and mechanism of oxidative stress and tissue damage in rat liver subjected to in vivo ischemia-reperfusion.","type":"article-journal","volume":"91"},"uris":["http://www.mendeley.com/documents/?uuid=fc312eec-7a82-4b93-b4df-ee77d03e1f7f"]}],"mendeley":{"formattedCitation":"[9]","plainTextFormattedCitation":"[9]","previouslyFormattedCitation":"[9]"},"properties":{"noteIndex":0},"schema":"https://github.com/citation-style-language/schema/raw/master/csl-citation.json"}</w:instrText>
      </w:r>
      <w:r w:rsidRPr="0065056E">
        <w:rPr>
          <w:lang w:val="en-GB"/>
        </w:rPr>
        <w:fldChar w:fldCharType="separate"/>
      </w:r>
      <w:r w:rsidRPr="00C80ACE">
        <w:rPr>
          <w:noProof/>
          <w:lang w:val="en-GB"/>
        </w:rPr>
        <w:t>[9]</w:t>
      </w:r>
      <w:r w:rsidRPr="0065056E">
        <w:rPr>
          <w:lang w:val="en-GB"/>
        </w:rPr>
        <w:fldChar w:fldCharType="end"/>
      </w:r>
      <w:r w:rsidRPr="0065056E">
        <w:rPr>
          <w:lang w:val="en-GB"/>
        </w:rPr>
        <w:t xml:space="preserve"> and metabolic integrity of the organ </w:t>
      </w:r>
      <w:r w:rsidRPr="0065056E">
        <w:rPr>
          <w:lang w:val="en-GB"/>
        </w:rPr>
        <w:fldChar w:fldCharType="begin" w:fldLock="1"/>
      </w:r>
      <w:r>
        <w:rPr>
          <w:lang w:val="en-GB"/>
        </w:rPr>
        <w:instrText>ADDIN CSL_CITATION {"citationItems":[{"id":"ITEM-1","itemData":{"DOI":"10.1371/journal.pone.0199177","ISSN":"1932-6203 (Electronic)","PMID":"29902244","abstract":"The liver is a highly vascularized organ receiving a dual input of oxygenated blood  from the hepatic artery and portal vein. The impact of decreased blood flow on glucose metabolism and how hepatocytes could adapt to this restrictive environment are still unclear. Using the left portal vein ligation (LPVL) rat model, we found that cellular injury was delayed after the onset of liver ischemia. We hypothesized that a metabolic adaptation by hepatocytes to maintain energy homeostasis could account for this lag phase. Liver glucose metabolism was characterized by 13C- and 1H-NMR spectroscopy and analysis of high-energy metabolites. ALT levels and caspase 3 activity in LPVL animals remained normal during the first 12 h following surgery (P&lt;0.05). Ischemia rapidly led to decreased intrahepatic tissue oxygen tension and blood flow (P&lt;0.05) and increased expression of Hypoxia-inducible factor 1-alpha. Intrahepatic glucose uptake, ATP/ADP ratio and energy charge level remained stable for up to 12 h after ligation. Entry of glucose in the Krebs cycle was impaired with lowered incorporation of 13C from [U-13C]glucose into glutamate and succinate from 0.25 to 12 h after LPVL. However, total hepatic succinate and glutamate increased 6 and 12 h after ischemia (P&lt;0.05). Glycolysis was initially reduced (P&lt;0.05) but reached maximum 13C-lactate (P&lt;0.001) and 13C-alanine (P&lt;0.01) enrichments 12 h after LPVL. In conclusion, early liver homeostasis stems from an inherent ability of ischemic hepatocytes to metabolically adapt through increased Krebs cycle and glycolysis activity to preserve bioenergetics and cell viability. This metabolic plasticity of hepatocytes could be harnessed to develop novel metabolic strategies to prevent ischemic liver damage.","author":[{"dropping-particle":"","family":"Chan","given":"Tom S","non-dropping-particle":"","parse-names":false,"suffix":""},{"dropping-particle":"","family":"Cassim","given":"Shamir","non-dropping-particle":"","parse-names":false,"suffix":""},{"dropping-particle":"","family":"Raymond","given":"Valérie-Ann","non-dropping-particle":"","parse-names":false,"suffix":""},{"dropping-particle":"","family":"Gottschalk","given":"Sven","non-dropping-particle":"","parse-names":false,"suffix":""},{"dropping-particle":"","family":"Merlen","given":"Grégory","non-dropping-particle":"","parse-names":false,"suffix":""},{"dropping-particle":"","family":"Zwingmann","given":"Claudia","non-dropping-particle":"","parse-names":false,"suffix":""},{"dropping-particle":"","family":"Lapierre","given":"Pascal","non-dropping-particle":"","parse-names":false,"suffix":""},{"dropping-particle":"","family":"Darby","given":"Peter","non-dropping-particle":"","parse-names":false,"suffix":""},{"dropping-particle":"","family":"Mazer","given":"Cyril David","non-dropping-particle":"","parse-names":false,"suffix":""},{"dropping-particle":"","family":"Bilodeau","given":"Marc","non-dropping-particle":"","parse-names":false,"suffix":""}],"container-title":"PloS one","id":"ITEM-1","issue":"6","issued":{"date-parts":[["2018"]]},"language":"eng","page":"e0199177","title":"Upregulation of Krebs cycle and anaerobic glycolysis activity early after onset of  liver ischemia.","type":"article-journal","volume":"13"},"uris":["http://www.mendeley.com/documents/?uuid=d84b8a85-f52f-483a-ade2-cb81be883e61"]}],"mendeley":{"formattedCitation":"[10]","plainTextFormattedCitation":"[10]","previouslyFormattedCitation":"[10]"},"properties":{"noteIndex":0},"schema":"https://github.com/citation-style-language/schema/raw/master/csl-citation.json"}</w:instrText>
      </w:r>
      <w:r w:rsidRPr="0065056E">
        <w:rPr>
          <w:lang w:val="en-GB"/>
        </w:rPr>
        <w:fldChar w:fldCharType="separate"/>
      </w:r>
      <w:r w:rsidRPr="00C80ACE">
        <w:rPr>
          <w:noProof/>
          <w:lang w:val="en-GB"/>
        </w:rPr>
        <w:t>[10]</w:t>
      </w:r>
      <w:r w:rsidRPr="0065056E">
        <w:rPr>
          <w:lang w:val="en-GB"/>
        </w:rPr>
        <w:fldChar w:fldCharType="end"/>
      </w:r>
      <w:r w:rsidRPr="0065056E">
        <w:rPr>
          <w:lang w:val="en-GB"/>
        </w:rPr>
        <w:t xml:space="preserve">. </w:t>
      </w:r>
      <w:r w:rsidR="006E773B" w:rsidRPr="006E773B">
        <w:t xml:space="preserve">The perfusion fluid was anoxic but not ischemic because glucose and the unequal pyruvate/lactate pair ensured both substrate-level phosphorylation and a "clamped" cellular </w:t>
      </w:r>
      <w:r>
        <w:rPr>
          <w:lang w:val="en-US"/>
        </w:rPr>
        <w:t>NAD</w:t>
      </w:r>
      <w:r w:rsidRPr="003E0D65">
        <w:rPr>
          <w:vertAlign w:val="superscript"/>
          <w:lang w:val="en-US"/>
        </w:rPr>
        <w:t>+</w:t>
      </w:r>
      <w:r>
        <w:rPr>
          <w:lang w:val="en-US"/>
        </w:rPr>
        <w:t>/NADH + H</w:t>
      </w:r>
      <w:r w:rsidRPr="00F36E12">
        <w:rPr>
          <w:vertAlign w:val="superscript"/>
          <w:lang w:val="en-US"/>
        </w:rPr>
        <w:t>+</w:t>
      </w:r>
      <w:r>
        <w:rPr>
          <w:lang w:val="en-US"/>
        </w:rPr>
        <w:t xml:space="preserve"> ratio. </w:t>
      </w:r>
      <w:r w:rsidR="00E1304F" w:rsidRPr="00E1304F">
        <w:t>Once the need for oxygen delivery to the liver was overcome, perfusion flow was maintained at 0.9 mL min</w:t>
      </w:r>
      <w:r w:rsidR="00E1304F" w:rsidRPr="00E1304F">
        <w:rPr>
          <w:vertAlign w:val="superscript"/>
        </w:rPr>
        <w:t>-1</w:t>
      </w:r>
      <w:r w:rsidR="00E1304F" w:rsidRPr="00E1304F">
        <w:t xml:space="preserve"> g</w:t>
      </w:r>
      <w:r w:rsidR="00E1304F" w:rsidRPr="00E1304F">
        <w:rPr>
          <w:vertAlign w:val="superscript"/>
        </w:rPr>
        <w:t>-1</w:t>
      </w:r>
      <w:r w:rsidR="00E1304F" w:rsidRPr="00E1304F">
        <w:t xml:space="preserve"> liver weight (6 mL min</w:t>
      </w:r>
      <w:r w:rsidR="00E1304F" w:rsidRPr="00E1304F">
        <w:rPr>
          <w:vertAlign w:val="superscript"/>
        </w:rPr>
        <w:t>-1</w:t>
      </w:r>
      <w:r w:rsidR="00E1304F" w:rsidRPr="00E1304F">
        <w:t>), which is within the range that ensures normal portal pressure and perfusion flow in the isolated rat liver</w:t>
      </w:r>
      <w:r w:rsidR="00E1304F" w:rsidRPr="00E1304F">
        <w:rPr>
          <w:lang w:val="en-US"/>
        </w:rPr>
        <w:t xml:space="preserve"> </w:t>
      </w:r>
      <w:r w:rsidRPr="0065056E">
        <w:rPr>
          <w:lang w:val="en-GB"/>
        </w:rPr>
        <w:fldChar w:fldCharType="begin" w:fldLock="1"/>
      </w:r>
      <w:r>
        <w:rPr>
          <w:lang w:val="en-GB"/>
        </w:rPr>
        <w:instrText>ADDIN CSL_CITATION {"citationItems":[{"id":"ITEM-1","itemData":{"DOI":"10.1152/ajpgi.1996.271.1.G201","ISSN":"0193-1857","abstract":"Intravital epifluorescent microscopy was used to quantitate microvascular parameters in the single-pass, dually perfused rat liver preparation. Livers perfused via the hepatic artery (HA) and portal vein (PV) at physiological pressures and perfusion rates responded to vasoactive agents and exhibited the HA buffer response. The distribution of arterial blood was found to be highly heterogeneous, whereas PV flow was distributed uniformly. The intrasinusoidal velocity of fluorescein isothiocyanate (FITC)-labeled red blood cells (RBCs) arriving from the HA was higher than that for RBCs arriving from the PV, indicating a shorter transit time for the arterially delivered FITC-RBCs. Experiments on livers perfused simultaneously via the HA and retrogradely via the hepatic vein revealed the presence of arteriovenous shunts, with some of the arterially delivered FITC-RBCs reaching the terminal hepatic venules via direct channels without traversing the sinusoidal bed. In livers perfused portally only, changes in PV flow rate (from 8 to 20 ml/min) produced small changes in perfusion pressure but large changes in vascular diameters, while portal pressure and transit time of portal blood remained relatively constant. In experiments designed to identify the location of hepatic vascular resistance, it was observed that hepatic venular diameters measured in the preparation under identical pressure and flow conditions were greater during retrograde than during prograde perfusion, suggesting that the site of hepatic vascular resistance is presinusoidal or sinusoidal.","author":[{"dropping-particle":"","family":"Sherman","given":"I A","non-dropping-particle":"","parse-names":false,"suffix":""},{"dropping-particle":"","family":"Dlugosz","given":"J A","non-dropping-particle":"","parse-names":false,"suffix":""},{"dropping-particle":"","family":"Barker","given":"F","non-dropping-particle":"","parse-names":false,"suffix":""},{"dropping-particle":"","family":"Sadeghi","given":"F M","non-dropping-particle":"","parse-names":false,"suffix":""},{"dropping-particle":"","family":"Pang","given":"K S","non-dropping-particle":"","parse-names":false,"suffix":""}],"container-title":"American Journal of Physiology-Gastrointestinal and Liver Physiology","id":"ITEM-1","issue":"1","issued":{"date-parts":[["1996","7","1"]]},"note":"doi: 10.1152/ajpgi.1996.271.1.G201","page":"G201-G210","publisher":"American Physiological Society","title":"Dynamics of arterial and portal venous flow interactions in perfused rat liver: an intravital microscopic study","type":"article-journal","volume":"271"},"uris":["http://www.mendeley.com/documents/?uuid=dc381f38-816c-4d7b-8b9a-3a4072cdaff6"]}],"mendeley":{"formattedCitation":"[11]","plainTextFormattedCitation":"[11]","previouslyFormattedCitation":"[11]"},"properties":{"noteIndex":0},"schema":"https://github.com/citation-style-language/schema/raw/master/csl-citation.json"}</w:instrText>
      </w:r>
      <w:r w:rsidRPr="0065056E">
        <w:rPr>
          <w:lang w:val="en-GB"/>
        </w:rPr>
        <w:fldChar w:fldCharType="separate"/>
      </w:r>
      <w:r w:rsidRPr="00C80ACE">
        <w:rPr>
          <w:noProof/>
          <w:lang w:val="en-GB"/>
        </w:rPr>
        <w:t>[11]</w:t>
      </w:r>
      <w:r w:rsidRPr="0065056E">
        <w:rPr>
          <w:lang w:val="en-GB"/>
        </w:rPr>
        <w:fldChar w:fldCharType="end"/>
      </w:r>
      <w:r w:rsidRPr="0065056E">
        <w:rPr>
          <w:lang w:val="en-GB"/>
        </w:rPr>
        <w:t xml:space="preserve">, and </w:t>
      </w:r>
      <w:r>
        <w:rPr>
          <w:lang w:val="en-GB"/>
        </w:rPr>
        <w:t xml:space="preserve">is </w:t>
      </w:r>
      <w:r w:rsidRPr="0065056E">
        <w:rPr>
          <w:lang w:val="en-GB"/>
        </w:rPr>
        <w:t>close to physiological portal blood flow in the rat (1.25 mL min</w:t>
      </w:r>
      <w:r w:rsidRPr="0065056E">
        <w:rPr>
          <w:vertAlign w:val="superscript"/>
          <w:lang w:val="en-GB"/>
        </w:rPr>
        <w:t>-1</w:t>
      </w:r>
      <w:r w:rsidRPr="0065056E">
        <w:rPr>
          <w:lang w:val="en-GB"/>
        </w:rPr>
        <w:t xml:space="preserve"> g</w:t>
      </w:r>
      <w:r w:rsidRPr="0065056E">
        <w:rPr>
          <w:vertAlign w:val="superscript"/>
          <w:lang w:val="en-GB"/>
        </w:rPr>
        <w:t>-1</w:t>
      </w:r>
      <w:r w:rsidRPr="0065056E">
        <w:rPr>
          <w:lang w:val="en-GB"/>
        </w:rPr>
        <w:t xml:space="preserve"> liver weight)</w:t>
      </w:r>
      <w:r>
        <w:rPr>
          <w:lang w:val="en-GB"/>
        </w:rPr>
        <w:t xml:space="preserve"> </w:t>
      </w:r>
      <w:r w:rsidRPr="0065056E">
        <w:rPr>
          <w:lang w:val="en-GB"/>
        </w:rPr>
        <w:fldChar w:fldCharType="begin" w:fldLock="1"/>
      </w:r>
      <w:r>
        <w:rPr>
          <w:lang w:val="en-GB"/>
        </w:rPr>
        <w:instrText>ADDIN CSL_CITATION {"citationItems":[{"id":"ITEM-1","itemData":{"DOI":"10.1016/0160-5402(89)90066-1","ISSN":"0160-5402 (Print)","PMID":"2526908","abstract":"This study describes the simultaneous measurement of hepatic arterial and portal  venous blood flow in the pentobarbital anesthetized rat by means of electromagnetic flowmeters. Hepatic arterial flow was 0.21 +/- 0.02 mL/min/g liver, and portal venous flow was 1.53 +/- 0.19 mL/min/g liver (n = 20). Flows remained stable for more than 3 hr. A clear advantage of the electromagnetic technique is that it allows the continuous simultaneous separate measurement of hepatic arterial and portal venous blood flow. Simultaneous measurement of hepatic blood flow by the electromagnetic method and the microsphere method yielded almost identical results. Adenosine infusion (100 micrograms/min) did not affect hepatic blood flow measured electromagnetically nor via the microsphere technique. The suitability of indocyanine green (ICG) as an indicator of hepatic blood flow was evaluated by comparing the ICG clearance at steady-state conditions to the values of liver flow obtained by direct electromagnetic measurement. ICG clearance was only 30% of the electromagnetically measured blood flow. These data strongly suggest that ICG clearance does not reflect liver flow in the rat. Intravenous infusion of the vasoactive agents phenylephrine (2, 4, 10 micrograms/min during 5 min) and adenosine (20, 40, 200 micrograms/min) did not affect portal venous nor hepatic arterial flow, measured by the electromagnetic method, although brisk effects on mean arterial blood pressure were observed. This suggests autoregulatory responses of the hepatic vascular bed. The data suggest that electromagnetic flowmeters may be used to measure portal venous and hepatic arterial flow simultaneously in anesthetized rats. The continuous measurement of both flows simultaneously offers a clear advantage over other methods of hepatic flow measurement.","author":[{"dropping-particle":"","family":"Daemen","given":"M J","non-dropping-particle":"","parse-names":false,"suffix":""},{"dropping-particle":"","family":"Thijssen","given":"H H","non-dropping-particle":"","parse-names":false,"suffix":""},{"dropping-particle":"","family":"Essen","given":"H","non-dropping-particle":"van","parse-names":false,"suffix":""},{"dropping-particle":"","family":"Vervoort-Peters","given":"H T","non-dropping-particle":"","parse-names":false,"suffix":""},{"dropping-particle":"","family":"Prinzen","given":"F W","non-dropping-particle":"","parse-names":false,"suffix":""},{"dropping-particle":"","family":"Struyker Boudier","given":"H A","non-dropping-particle":"","parse-names":false,"suffix":""},{"dropping-particle":"","family":"Smits","given":"J F","non-dropping-particle":"","parse-names":false,"suffix":""}],"container-title":"Journal of pharmacological methods","id":"ITEM-1","issue":"4","issued":{"date-parts":[["1989","7"]]},"language":"eng","page":"287-297","publisher-place":"United States","title":"Liver blood flow measurement in the rat. The electromagnetic versus the microsphere  and the clearance methods.","type":"article-journal","volume":"21"},"uris":["http://www.mendeley.com/documents/?uuid=7c6b77da-affc-490f-abb6-eb006f36dae4"]}],"mendeley":{"formattedCitation":"[12]","plainTextFormattedCitation":"[12]","previouslyFormattedCitation":"[12]"},"properties":{"noteIndex":0},"schema":"https://github.com/citation-style-language/schema/raw/master/csl-citation.json"}</w:instrText>
      </w:r>
      <w:r w:rsidRPr="0065056E">
        <w:rPr>
          <w:lang w:val="en-GB"/>
        </w:rPr>
        <w:fldChar w:fldCharType="separate"/>
      </w:r>
      <w:r w:rsidRPr="00C80ACE">
        <w:rPr>
          <w:noProof/>
          <w:lang w:val="en-GB"/>
        </w:rPr>
        <w:t>[12]</w:t>
      </w:r>
      <w:r w:rsidRPr="0065056E">
        <w:rPr>
          <w:lang w:val="en-GB"/>
        </w:rPr>
        <w:fldChar w:fldCharType="end"/>
      </w:r>
      <w:r w:rsidRPr="0065056E">
        <w:rPr>
          <w:lang w:val="en-GB"/>
        </w:rPr>
        <w:t>. These conditions preserve the sinusoidal endothelium from shear stress</w:t>
      </w:r>
      <w:r>
        <w:rPr>
          <w:lang w:val="en-GB"/>
        </w:rPr>
        <w:t xml:space="preserve"> </w:t>
      </w:r>
      <w:r>
        <w:rPr>
          <w:lang w:val="en-GB"/>
        </w:rPr>
        <w:fldChar w:fldCharType="begin" w:fldLock="1"/>
      </w:r>
      <w:r>
        <w:rPr>
          <w:lang w:val="en-GB"/>
        </w:rPr>
        <w:instrText>ADDIN CSL_CITATION {"citationItems":[{"id":"ITEM-1","itemData":{"DOI":"10.1016/0003-2697(87)90127-8","ISSN":"0003-2697","author":[{"dropping-particle":"","family":"Wolkoff","given":"Allan W","non-dropping-particle":"","parse-names":false,"suffix":""},{"dropping-particle":"","family":"Johansen","given":"Kirsten L","non-dropping-particle":"","parse-names":false,"suffix":""},{"dropping-particle":"","family":"Goeser","given":"Tobias","non-dropping-particle":"","parse-names":false,"suffix":""}],"container-title":"Analytical biochemistry","id":"ITEM-1","issue":"1","issued":{"date-parts":[["1987"]]},"page":"1-14","publisher":"Elsevier","title":"The isolated perfused rat liver: preparation and application","type":"article-journal","volume":"167"},"uris":["http://www.mendeley.com/documents/?uuid=9f611573-87c9-4491-9a46-099017f64880"]}],"mendeley":{"formattedCitation":"[13]","plainTextFormattedCitation":"[13]","previouslyFormattedCitation":"[13]"},"properties":{"noteIndex":0},"schema":"https://github.com/citation-style-language/schema/raw/master/csl-citation.json"}</w:instrText>
      </w:r>
      <w:r>
        <w:rPr>
          <w:lang w:val="en-GB"/>
        </w:rPr>
        <w:fldChar w:fldCharType="separate"/>
      </w:r>
      <w:r w:rsidRPr="00C80ACE">
        <w:rPr>
          <w:noProof/>
          <w:lang w:val="en-GB"/>
        </w:rPr>
        <w:t>[13]</w:t>
      </w:r>
      <w:r>
        <w:rPr>
          <w:lang w:val="en-GB"/>
        </w:rPr>
        <w:fldChar w:fldCharType="end"/>
      </w:r>
      <w:r w:rsidRPr="0065056E">
        <w:rPr>
          <w:lang w:val="en-GB"/>
        </w:rPr>
        <w:t xml:space="preserve">, </w:t>
      </w:r>
      <w:r w:rsidR="00E1304F" w:rsidRPr="00E1304F">
        <w:t>which can trigger the release of hepatic enzymes</w:t>
      </w:r>
      <w:r w:rsidR="00E1304F" w:rsidRPr="00E1304F">
        <w:rPr>
          <w:lang w:val="en-US"/>
        </w:rPr>
        <w:t xml:space="preserve"> </w:t>
      </w:r>
      <w:r w:rsidRPr="0065056E">
        <w:rPr>
          <w:lang w:val="en-GB"/>
        </w:rPr>
        <w:fldChar w:fldCharType="begin" w:fldLock="1"/>
      </w:r>
      <w:r>
        <w:rPr>
          <w:lang w:val="en-GB"/>
        </w:rPr>
        <w:instrText>ADDIN CSL_CITATION {"citationItems":[{"id":"ITEM-1","itemData":{"DOI":"10.1155/2017/1360565","ISSN":"1942-0900","abstract":"We have found selective elevation of serum enzyme activities in rats subjected to partial hepatectomy (PH), apparently controlled by hemodynamic flow-bearing physical forces. Here, we assess the involvement of stretch-sensitive calcium channels and calcium mobilization in isolated livers, after chemical modifications of the endothelial glycocalyx and changing perfusion directionality. Inhibiting in vivo protein synthesis, we found that liver enzyme release is influenced by de novo synthesis of endothelial glycocalyx components, and released enzymes are confined into a liver &amp;#x201c;pool.&amp;#x201d; Moreover, liver enzyme release depended on extracellular calcium entry possibly mediated by stretch-sensitive calcium channels, and this endothelial-mediated mechanotransduction in liver enzyme release was also evidenced by modifying the glycocalyx carbohydrate components, directionality of perfusing flow rate, and the participation of nitric oxide (NO) and malondialdehyde (MDA), leading to modifications in the intracellular distribution of these enzymes mainly as nuclear enrichment of &amp;#x201c;mitochondrial&amp;#x201d; enzymes. In conclusion, the flow-induced shear stress may provide fine-tuned control of released hepatic enzymes through mediation by the endothelium glycocalyx, which provides evidence of a biological role of the enzyme release rather to be merely a biomarker for evaluating hepatotoxicity and liver damage, actually positively influencing progression of liver regeneration in mammals. ","author":[{"dropping-particle":"","family":"Díaz-Juárez","given":"Julieta A","non-dropping-particle":"","parse-names":false,"suffix":""},{"dropping-particle":"","family":"Hernández-Muñoz","given":"Rolando","non-dropping-particle":"","parse-names":false,"suffix":""}],"container-title":"Oxidative Medicine and Cellular Longevity","editor":[{"dropping-particle":"","family":"Cirillo","given":"Giuseppe","non-dropping-particle":"","parse-names":false,"suffix":""}],"id":"ITEM-1","issued":{"date-parts":[["2017"]]},"page":"1360565","publisher":"Hindawi","title":"Rat Liver Enzyme Release Depends on Blood Flow-Bearing Physical Forces Acting in Endothelium Glycocalyx rather than on Liver Damage","type":"article-journal","volume":"2017"},"uris":["http://www.mendeley.com/documents/?uuid=9990ade8-d621-468b-9f96-898670015eff"]}],"mendeley":{"formattedCitation":"[14]","plainTextFormattedCitation":"[14]","previouslyFormattedCitation":"[14]"},"properties":{"noteIndex":0},"schema":"https://github.com/citation-style-language/schema/raw/master/csl-citation.json"}</w:instrText>
      </w:r>
      <w:r w:rsidRPr="0065056E">
        <w:rPr>
          <w:lang w:val="en-GB"/>
        </w:rPr>
        <w:fldChar w:fldCharType="separate"/>
      </w:r>
      <w:r w:rsidRPr="00C80ACE">
        <w:rPr>
          <w:noProof/>
          <w:lang w:val="en-GB"/>
        </w:rPr>
        <w:t>[14]</w:t>
      </w:r>
      <w:r w:rsidRPr="0065056E">
        <w:rPr>
          <w:lang w:val="en-GB"/>
        </w:rPr>
        <w:fldChar w:fldCharType="end"/>
      </w:r>
      <w:r w:rsidRPr="0065056E">
        <w:rPr>
          <w:lang w:val="en-GB"/>
        </w:rPr>
        <w:t>.</w:t>
      </w:r>
      <w:r>
        <w:rPr>
          <w:lang w:val="en-GB"/>
        </w:rPr>
        <w:t xml:space="preserve"> </w:t>
      </w:r>
      <w:r w:rsidR="004431C1" w:rsidRPr="004431C1">
        <w:t>The bile duct was not cannulated</w:t>
      </w:r>
      <w:r w:rsidR="000A0F2F" w:rsidRPr="000A0F2F">
        <w:rPr>
          <w:lang w:val="en-US"/>
        </w:rPr>
        <w:t>, as recommended</w:t>
      </w:r>
      <w:r w:rsidR="000A0F2F">
        <w:rPr>
          <w:lang w:val="en-US"/>
        </w:rPr>
        <w:t>,</w:t>
      </w:r>
      <w:r w:rsidR="004431C1" w:rsidRPr="004431C1">
        <w:t xml:space="preserve"> to avoid accidental cholestasis and its unpredictable influence on</w:t>
      </w:r>
      <w:r w:rsidR="000A0F2F" w:rsidRPr="000A0F2F">
        <w:rPr>
          <w:lang w:val="en-US"/>
        </w:rPr>
        <w:t xml:space="preserve"> the kinetics</w:t>
      </w:r>
      <w:r w:rsidR="000A0F2F">
        <w:rPr>
          <w:lang w:val="en-US"/>
        </w:rPr>
        <w:t xml:space="preserve"> of hepatic</w:t>
      </w:r>
      <w:r w:rsidR="004431C1" w:rsidRPr="004431C1">
        <w:t xml:space="preserve"> BR uptake </w:t>
      </w:r>
      <w:r w:rsidRPr="0065056E">
        <w:rPr>
          <w:lang w:val="en-GB"/>
        </w:rPr>
        <w:fldChar w:fldCharType="begin" w:fldLock="1"/>
      </w:r>
      <w:r>
        <w:rPr>
          <w:lang w:val="en-GB"/>
        </w:rPr>
        <w:instrText>ADDIN CSL_CITATION {"citationItems":[{"id":"ITEM-1","itemData":{"DOI":"10.1124/dmd.116.070532","ISSN":"1521-009X (Electronic)","PMID":"27208382","abstract":"Hyperbilirubinemia (HB) is sometimes encountered following bile-duct cannulation in  rats. It possibly originates from the reduced functioning of multidrug resistance-associated protein 2 (Mrp2) and subsequent adaptive alterations in the expression of Mrp3 and the organic anion transporting polypeptides (Oatps). Our aim was to clarify the importance of excluding bile-duct-cannulated (BDC) rats with HB for proper conduct of drug excretion studies. We detected HB [serum total bilirubin concentration (TBIL) ≥0.20 mg/dl] in 16% of all BDC rats prepared. The serum activities of aspartate aminotransferase, alanine aminotransferase, leucine aminopeptidase, and alkaline phosphatase were within the respective normal ranges in the BDC rats with mild HB (TBIL, 0.20-0.79 mg/dl), indicating the absence of hepatic failure. In the pharmacokinetics of pravastatin, an Oatps/Mrp2 probe drug in the BDC rats, the apparent volume of distribution and the clearance were smaller in the mild HB group as compared with the normal group, suggesting the reduction of apparent hepatic uptake and hepatobiliary elimination. The biliary excretion (percentage of dose) was significantly reduced by 54%, suggesting that the biliary efflux activity via Mrp2 was reduced to a greater extent relative to metabolic activity in hepatocytes. The serum γ-glutamyltransferase (GGT) activity correlated with TBIL and inversely correlated with biliary excretion of pravastatin, a finding which could serve as a clue to uncover the regulatory system involving cooperation between GGT and Mrp2. In conclusion, BDC rats with HB, however mild, should be excluded from drug excretion studies to avoid the risk of underestimation of the biliary excretion of drugs.","author":[{"dropping-particle":"","family":"Kato","given":"Koji","non-dropping-particle":"","parse-names":false,"suffix":""},{"dropping-particle":"","family":"Hasegawa","given":"Yoshitaka","non-dropping-particle":"","parse-names":false,"suffix":""},{"dropping-particle":"","family":"Iwata","given":"Katsuya","non-dropping-particle":"","parse-names":false,"suffix":""},{"dropping-particle":"","family":"Ichikawa","given":"Takuya","non-dropping-particle":"","parse-names":false,"suffix":""},{"dropping-particle":"","family":"Yahara","given":"Tohru","non-dropping-particle":"","parse-names":false,"suffix":""},{"dropping-particle":"","family":"Tsuji","given":"Satoshi","non-dropping-particle":"","parse-names":false,"suffix":""},{"dropping-particle":"","family":"Sugiura","given":"Masayuki","non-dropping-particle":"","parse-names":false,"suffix":""},{"dropping-particle":"","family":"Yamaguchi","given":"Jun-Ichi","non-dropping-particle":"","parse-names":false,"suffix":""}],"container-title":"Drug metabolism and disposition: the biological fate of chemicals","id":"ITEM-1","issue":"8","issued":{"date-parts":[["2016","8"]]},"language":"eng","page":"1180-1183","publisher-place":"United States","title":"Recommendation to Exclude Bile-Duct-Cannulated Rats with Hyperbilirubinemia for  Proper Conduct of Biliary Drug Excretion Studies.","type":"article-journal","volume":"44"},"uris":["http://www.mendeley.com/documents/?uuid=841d1bcd-b623-4d65-bd27-6163f9681a54"]}],"mendeley":{"formattedCitation":"[15]","plainTextFormattedCitation":"[15]","previouslyFormattedCitation":"[15]"},"properties":{"noteIndex":0},"schema":"https://github.com/citation-style-language/schema/raw/master/csl-citation.json"}</w:instrText>
      </w:r>
      <w:r w:rsidRPr="0065056E">
        <w:rPr>
          <w:lang w:val="en-GB"/>
        </w:rPr>
        <w:fldChar w:fldCharType="separate"/>
      </w:r>
      <w:r w:rsidRPr="00C80ACE">
        <w:rPr>
          <w:noProof/>
          <w:lang w:val="en-GB"/>
        </w:rPr>
        <w:t>[15]</w:t>
      </w:r>
      <w:r w:rsidRPr="0065056E">
        <w:rPr>
          <w:lang w:val="en-GB"/>
        </w:rPr>
        <w:fldChar w:fldCharType="end"/>
      </w:r>
      <w:r w:rsidRPr="0065056E">
        <w:rPr>
          <w:lang w:val="en-GB"/>
        </w:rPr>
        <w:t xml:space="preserve">. </w:t>
      </w:r>
      <w:r>
        <w:rPr>
          <w:lang w:val="en-GB"/>
        </w:rPr>
        <w:t xml:space="preserve"> </w:t>
      </w:r>
    </w:p>
    <w:p w14:paraId="15AB37FA" w14:textId="77777777" w:rsidR="00C80ACE" w:rsidRDefault="00C80ACE" w:rsidP="003B76E2">
      <w:pPr>
        <w:widowControl w:val="0"/>
        <w:autoSpaceDE w:val="0"/>
        <w:autoSpaceDN w:val="0"/>
        <w:adjustRightInd w:val="0"/>
        <w:jc w:val="both"/>
        <w:rPr>
          <w:b/>
          <w:bCs/>
          <w:sz w:val="28"/>
          <w:szCs w:val="28"/>
          <w:lang w:val="en-US"/>
        </w:rPr>
      </w:pPr>
    </w:p>
    <w:p w14:paraId="689928F2" w14:textId="349D6B3E" w:rsidR="002F01D4" w:rsidRPr="00AD7CB3" w:rsidRDefault="002F01D4" w:rsidP="003B76E2">
      <w:pPr>
        <w:pStyle w:val="Titolo3"/>
        <w:jc w:val="both"/>
        <w:rPr>
          <w:lang w:val="en-US"/>
        </w:rPr>
      </w:pPr>
      <w:bookmarkStart w:id="7" w:name="_Toc89853417"/>
      <w:r w:rsidRPr="00AD7CB3">
        <w:rPr>
          <w:lang w:val="en-US"/>
        </w:rPr>
        <w:t xml:space="preserve">Viability tests </w:t>
      </w:r>
      <w:r w:rsidR="001F4356">
        <w:rPr>
          <w:lang w:val="en-US"/>
        </w:rPr>
        <w:t>on</w:t>
      </w:r>
      <w:r w:rsidRPr="00AD7CB3">
        <w:rPr>
          <w:lang w:val="en-US"/>
        </w:rPr>
        <w:t xml:space="preserve"> isolated perfused rat liver</w:t>
      </w:r>
      <w:bookmarkEnd w:id="7"/>
    </w:p>
    <w:p w14:paraId="56C4A8D3" w14:textId="396C7481" w:rsidR="002F01D4" w:rsidRPr="0086377D" w:rsidRDefault="00C80ACE" w:rsidP="003B76E2">
      <w:pPr>
        <w:jc w:val="both"/>
      </w:pPr>
      <w:r w:rsidRPr="00C80ACE">
        <w:rPr>
          <w:lang w:val="en-US"/>
        </w:rPr>
        <w:t>T</w:t>
      </w:r>
      <w:r w:rsidR="00F874A9">
        <w:rPr>
          <w:lang w:val="en-US"/>
        </w:rPr>
        <w:t>he t</w:t>
      </w:r>
      <w:r w:rsidRPr="00C80ACE">
        <w:rPr>
          <w:lang w:val="en-US"/>
        </w:rPr>
        <w:t xml:space="preserve">ests were performed as described in detail </w:t>
      </w:r>
      <w:r w:rsidRPr="00C80ACE">
        <w:rPr>
          <w:lang w:val="en-US"/>
        </w:rPr>
        <w:fldChar w:fldCharType="begin" w:fldLock="1"/>
      </w:r>
      <w:r w:rsidR="00877868">
        <w:rPr>
          <w:lang w:val="en-US"/>
        </w:rPr>
        <w:instrText>ADDIN CSL_CITATION {"citationItems":[{"id":"ITEM-1","itemData":{"DOI":"10.21203/rs.3.pex-1698/v1","ISSN":"2693-5015","abstract":"We present a protocol for the study of bilirubin uptake in the isolated and perfused rat liver. The liver is perfused with an albumin-free saline buffered solution supplemented with glucose, pyruvate and lactate, in the absence of oxygen, at a physiologically low flow rate. Fractions of the venous effluent are collected and analyzed for bilirubin, bilirubin glucuronide and biomarkers of liver integrity. The liver preparation is viable and intact for 1 h after isolation from the general circulation, with constant levels of both bilirubin and bilirubin glucuronide (&amp;amp;lt; 2 nM) in the effluent. Up to 12 boli of 10 nmol bilirubin can be sequentially injected into the portal vein without and with molecules that target sinusoidal membrane transporters of organic anions. Selective inhibition of bilirubin or bilirubin glucuronide uptake is detected as transient peaks in the effluent (Cmax up 6 to 60 nM). This protocol allows collecting repeated observations in the same liver, thus reducing the animal number by a factor of 10.","author":[{"dropping-particle":"","family":"Stebel","given":"Marco","non-dropping-particle":"","parse-names":false,"suffix":""},{"dropping-particle":"","family":"Medic","given":"Nevenka","non-dropping-particle":"","parse-names":false,"suffix":""},{"dropping-particle":"","family":"Pelizzo","given":"Paola","non-dropping-particle":"","parse-names":false,"suffix":""},{"dropping-particle":"","family":"Sist","given":"Paola","non-dropping-particle":"","parse-names":false,"suffix":""},{"dropping-particle":"","family":"Tramer","given":"Federica","non-dropping-particle":"","parse-names":false,"suffix":""},{"dropping-particle":"","family":"Passamonti","given":"Sabina","non-dropping-particle":"","parse-names":false,"suffix":""}],"container-title":"Protocol Exchange","id":"ITEM-1","issued":{"date-parts":[["2021"]]},"title":"Protocol for the study of hepatic bilirubin uptake in the isolated perfused rat liver","type":"report"},"uris":["http://www.mendeley.com/documents/?uuid=ac376d30-9a59-44af-a74f-4319f00d6918"]}],"mendeley":{"formattedCitation":"[3]","plainTextFormattedCitation":"[3]","previouslyFormattedCitation":"[3]"},"properties":{"noteIndex":0},"schema":"https://github.com/citation-style-language/schema/raw/master/csl-citation.json"}</w:instrText>
      </w:r>
      <w:r w:rsidRPr="00C80ACE">
        <w:rPr>
          <w:lang w:val="en-US"/>
        </w:rPr>
        <w:fldChar w:fldCharType="separate"/>
      </w:r>
      <w:r w:rsidRPr="00C80ACE">
        <w:rPr>
          <w:noProof/>
          <w:lang w:val="en-US"/>
        </w:rPr>
        <w:t>[3]</w:t>
      </w:r>
      <w:r w:rsidRPr="00C80ACE">
        <w:rPr>
          <w:lang w:val="en-US"/>
        </w:rPr>
        <w:fldChar w:fldCharType="end"/>
      </w:r>
      <w:r w:rsidRPr="00C80ACE">
        <w:rPr>
          <w:lang w:val="en-US"/>
        </w:rPr>
        <w:t>.</w:t>
      </w:r>
      <w:r>
        <w:rPr>
          <w:lang w:val="en-US"/>
        </w:rPr>
        <w:t xml:space="preserve"> </w:t>
      </w:r>
      <w:r w:rsidR="0086377D">
        <w:t>Liver perfusion effluent was assayed for a marker of membrane lipid oxidation (malondialdehyde), which was undetectable in contrast to oxygenated liver perfusion</w:t>
      </w:r>
      <w:r w:rsidR="00BB7045">
        <w:rPr>
          <w:lang w:val="en-US"/>
        </w:rPr>
        <w:t xml:space="preserve"> </w:t>
      </w:r>
      <w:r w:rsidR="00BB7045">
        <w:rPr>
          <w:lang w:val="en-US"/>
        </w:rPr>
        <w:fldChar w:fldCharType="begin" w:fldLock="1"/>
      </w:r>
      <w:r w:rsidR="00BB7045">
        <w:rPr>
          <w:lang w:val="en-US"/>
        </w:rPr>
        <w:instrText>ADDIN CSL_CITATION {"citationItems":[{"id":"ITEM-1","itemData":{"DOI":"10.1155/2017/1360565","ISSN":"1942-0900","abstract":"We have found selective elevation of serum enzyme activities in rats subjected to partial hepatectomy (PH), apparently controlled by hemodynamic flow-bearing physical forces. Here, we assess the involvement of stretch-sensitive calcium channels and calcium mobilization in isolated livers, after chemical modifications of the endothelial glycocalyx and changing perfusion directionality. Inhibiting in vivo protein synthesis, we found that liver enzyme release is influenced by de novo synthesis of endothelial glycocalyx components, and released enzymes are confined into a liver &amp;#x201c;pool.&amp;#x201d; Moreover, liver enzyme release depended on extracellular calcium entry possibly mediated by stretch-sensitive calcium channels, and this endothelial-mediated mechanotransduction in liver enzyme release was also evidenced by modifying the glycocalyx carbohydrate components, directionality of perfusing flow rate, and the participation of nitric oxide (NO) and malondialdehyde (MDA), leading to modifications in the intracellular distribution of these enzymes mainly as nuclear enrichment of &amp;#x201c;mitochondrial&amp;#x201d; enzymes. In conclusion, the flow-induced shear stress may provide fine-tuned control of released hepatic enzymes through mediation by the endothelium glycocalyx, which provides evidence of a biological role of the enzyme release rather to be merely a biomarker for evaluating hepatotoxicity and liver damage, actually positively influencing progression of liver regeneration in mammals. ","author":[{"dropping-particle":"","family":"Díaz-Juárez","given":"Julieta A","non-dropping-particle":"","parse-names":false,"suffix":""},{"dropping-particle":"","family":"Hernández-Muñoz","given":"Rolando","non-dropping-particle":"","parse-names":false,"suffix":""}],"container-title":"Oxidative Medicine and Cellular Longevity","editor":[{"dropping-particle":"","family":"Cirillo","given":"Giuseppe","non-dropping-particle":"","parse-names":false,"suffix":""}],"id":"ITEM-1","issued":{"date-parts":[["2017"]]},"page":"1360565","publisher":"Hindawi","title":"Rat Liver Enzyme Release Depends on Blood Flow-Bearing Physical Forces Acting in Endothelium Glycocalyx rather than on Liver Damage","type":"article-journal","volume":"2017"},"uris":["http://www.mendeley.com/documents/?uuid=9990ade8-d621-468b-9f96-898670015eff"]}],"mendeley":{"formattedCitation":"[14]","plainTextFormattedCitation":"[14]","previouslyFormattedCitation":"[14]"},"properties":{"noteIndex":0},"schema":"https://github.com/citation-style-language/schema/raw/master/csl-citation.json"}</w:instrText>
      </w:r>
      <w:r w:rsidR="00BB7045">
        <w:rPr>
          <w:lang w:val="en-US"/>
        </w:rPr>
        <w:fldChar w:fldCharType="separate"/>
      </w:r>
      <w:r w:rsidR="00BB7045" w:rsidRPr="00C80ACE">
        <w:rPr>
          <w:noProof/>
          <w:lang w:val="en-US"/>
        </w:rPr>
        <w:t>[14]</w:t>
      </w:r>
      <w:r w:rsidR="00BB7045">
        <w:rPr>
          <w:lang w:val="en-US"/>
        </w:rPr>
        <w:fldChar w:fldCharType="end"/>
      </w:r>
      <w:r w:rsidR="00BB7045">
        <w:rPr>
          <w:lang w:val="en-US"/>
        </w:rPr>
        <w:t xml:space="preserve">. There was no apparent membrane </w:t>
      </w:r>
      <w:r w:rsidR="00BB7045" w:rsidRPr="0065056E">
        <w:rPr>
          <w:lang w:val="en-GB"/>
        </w:rPr>
        <w:t>permeabilization (ATP</w:t>
      </w:r>
      <w:r w:rsidR="00D53B45">
        <w:rPr>
          <w:lang w:val="en-GB"/>
        </w:rPr>
        <w:t xml:space="preserve"> release</w:t>
      </w:r>
      <w:r w:rsidR="00BB7045" w:rsidRPr="0065056E">
        <w:rPr>
          <w:lang w:val="en-GB"/>
        </w:rPr>
        <w:t>)</w:t>
      </w:r>
      <w:r w:rsidR="00BB7045">
        <w:rPr>
          <w:lang w:val="en-GB"/>
        </w:rPr>
        <w:t xml:space="preserve"> or </w:t>
      </w:r>
      <w:r w:rsidR="00BB7045" w:rsidRPr="0065056E">
        <w:rPr>
          <w:lang w:val="en-GB"/>
        </w:rPr>
        <w:t>cytolysis (LDH</w:t>
      </w:r>
      <w:r w:rsidR="00D53B45">
        <w:rPr>
          <w:lang w:val="en-GB"/>
        </w:rPr>
        <w:t xml:space="preserve"> release</w:t>
      </w:r>
      <w:r w:rsidR="00BB7045" w:rsidRPr="0065056E">
        <w:rPr>
          <w:lang w:val="en-GB"/>
        </w:rPr>
        <w:t>)</w:t>
      </w:r>
      <w:r w:rsidR="00BB7045">
        <w:rPr>
          <w:lang w:val="en-GB"/>
        </w:rPr>
        <w:t xml:space="preserve"> (Suppl</w:t>
      </w:r>
      <w:r w:rsidR="001867D9">
        <w:rPr>
          <w:lang w:val="en-GB"/>
        </w:rPr>
        <w:t>.</w:t>
      </w:r>
      <w:r w:rsidR="00BB7045">
        <w:rPr>
          <w:lang w:val="en-GB"/>
        </w:rPr>
        <w:t xml:space="preserve"> Fig</w:t>
      </w:r>
      <w:r w:rsidR="001867D9">
        <w:rPr>
          <w:lang w:val="en-GB"/>
        </w:rPr>
        <w:t>.</w:t>
      </w:r>
      <w:r w:rsidR="00BB7045">
        <w:rPr>
          <w:lang w:val="en-GB"/>
        </w:rPr>
        <w:t xml:space="preserve"> 1A)</w:t>
      </w:r>
      <w:r w:rsidR="00BB7045" w:rsidRPr="0065056E">
        <w:rPr>
          <w:lang w:val="en-GB"/>
        </w:rPr>
        <w:t xml:space="preserve">, and </w:t>
      </w:r>
      <w:r w:rsidR="00BD3341">
        <w:rPr>
          <w:lang w:val="en-GB"/>
        </w:rPr>
        <w:t xml:space="preserve">the </w:t>
      </w:r>
      <w:r w:rsidR="00BB7045">
        <w:rPr>
          <w:lang w:val="en-GB"/>
        </w:rPr>
        <w:t>microcirculation</w:t>
      </w:r>
      <w:r w:rsidR="00BB7045" w:rsidRPr="0065056E">
        <w:rPr>
          <w:lang w:val="en-GB"/>
        </w:rPr>
        <w:t xml:space="preserve"> </w:t>
      </w:r>
      <w:r w:rsidR="00BB7045">
        <w:rPr>
          <w:lang w:val="en-GB"/>
        </w:rPr>
        <w:t>was preserved, as assessed by recovery of a</w:t>
      </w:r>
      <w:r w:rsidR="00BB7045" w:rsidRPr="0065056E">
        <w:rPr>
          <w:lang w:val="en-GB"/>
        </w:rPr>
        <w:t xml:space="preserve"> </w:t>
      </w:r>
      <w:r w:rsidR="00BB7045">
        <w:rPr>
          <w:lang w:val="en-GB"/>
        </w:rPr>
        <w:t>bovine serum albumin bolus (Suppl</w:t>
      </w:r>
      <w:r w:rsidR="00BD3341">
        <w:rPr>
          <w:lang w:val="en-GB"/>
        </w:rPr>
        <w:t>.</w:t>
      </w:r>
      <w:r w:rsidR="00BB7045">
        <w:rPr>
          <w:lang w:val="en-GB"/>
        </w:rPr>
        <w:t xml:space="preserve"> Fig</w:t>
      </w:r>
      <w:r w:rsidR="00BD3341">
        <w:rPr>
          <w:lang w:val="en-GB"/>
        </w:rPr>
        <w:t>.</w:t>
      </w:r>
      <w:r w:rsidR="00BB7045">
        <w:rPr>
          <w:lang w:val="en-GB"/>
        </w:rPr>
        <w:t xml:space="preserve"> 1B)</w:t>
      </w:r>
      <w:r w:rsidR="00BB7045" w:rsidRPr="0065056E">
        <w:rPr>
          <w:lang w:val="en-GB"/>
        </w:rPr>
        <w:t>.</w:t>
      </w:r>
      <w:r w:rsidR="00BB7045">
        <w:rPr>
          <w:lang w:val="en-GB"/>
        </w:rPr>
        <w:t xml:space="preserve"> </w:t>
      </w:r>
      <w:r w:rsidR="00BD3341">
        <w:t xml:space="preserve">The liver showed a </w:t>
      </w:r>
      <w:r w:rsidR="00BD3341">
        <w:lastRenderedPageBreak/>
        <w:t>constant release of taurocholate</w:t>
      </w:r>
      <w:r w:rsidR="00BD3341" w:rsidRPr="00BD3341">
        <w:rPr>
          <w:lang w:val="en-US"/>
        </w:rPr>
        <w:t xml:space="preserve"> </w:t>
      </w:r>
      <w:r w:rsidR="00D53B45">
        <w:rPr>
          <w:lang w:val="en-GB"/>
        </w:rPr>
        <w:t>(Suppl</w:t>
      </w:r>
      <w:r w:rsidR="00BD3341">
        <w:rPr>
          <w:lang w:val="en-GB"/>
        </w:rPr>
        <w:t>.</w:t>
      </w:r>
      <w:r w:rsidR="00D53B45">
        <w:rPr>
          <w:lang w:val="en-GB"/>
        </w:rPr>
        <w:t xml:space="preserve"> Fig</w:t>
      </w:r>
      <w:r w:rsidR="00BD3341">
        <w:rPr>
          <w:lang w:val="en-GB"/>
        </w:rPr>
        <w:t>.</w:t>
      </w:r>
      <w:r w:rsidR="00D53B45">
        <w:rPr>
          <w:lang w:val="en-GB"/>
        </w:rPr>
        <w:t xml:space="preserve"> 1C), </w:t>
      </w:r>
      <w:r w:rsidR="00BD3341">
        <w:t xml:space="preserve">which was not affected by the portal injection </w:t>
      </w:r>
      <w:r w:rsidR="00D53B45">
        <w:rPr>
          <w:lang w:val="en-GB"/>
        </w:rPr>
        <w:t>of BR</w:t>
      </w:r>
      <w:r w:rsidR="00C95D49">
        <w:rPr>
          <w:lang w:val="en-GB"/>
        </w:rPr>
        <w:t>, C3G, or E17G.</w:t>
      </w:r>
    </w:p>
    <w:p w14:paraId="4E18DE38" w14:textId="77777777" w:rsidR="00760B34" w:rsidRDefault="00760B34" w:rsidP="003B76E2">
      <w:pPr>
        <w:jc w:val="both"/>
        <w:rPr>
          <w:lang w:val="en-GB"/>
        </w:rPr>
      </w:pPr>
    </w:p>
    <w:p w14:paraId="119709B1" w14:textId="77777777" w:rsidR="00760B34" w:rsidRPr="00035536" w:rsidRDefault="00760B34" w:rsidP="003B76E2">
      <w:pPr>
        <w:pStyle w:val="Titolo3"/>
        <w:jc w:val="both"/>
        <w:rPr>
          <w:lang w:val="en-US"/>
        </w:rPr>
      </w:pPr>
      <w:bookmarkStart w:id="8" w:name="_Toc83808086"/>
      <w:bookmarkStart w:id="9" w:name="_Toc83808193"/>
      <w:bookmarkStart w:id="10" w:name="_Toc86073633"/>
      <w:bookmarkStart w:id="11" w:name="_Toc89853418"/>
      <w:r w:rsidRPr="00035536">
        <w:rPr>
          <w:lang w:val="en-US"/>
        </w:rPr>
        <w:t>Hepatic bilirubin uptake</w:t>
      </w:r>
      <w:bookmarkEnd w:id="8"/>
      <w:bookmarkEnd w:id="9"/>
      <w:r w:rsidRPr="00035536">
        <w:rPr>
          <w:lang w:val="en-US"/>
        </w:rPr>
        <w:t>: assumptions</w:t>
      </w:r>
      <w:bookmarkEnd w:id="10"/>
      <w:bookmarkEnd w:id="11"/>
      <w:r w:rsidRPr="00035536">
        <w:rPr>
          <w:lang w:val="en-US"/>
        </w:rPr>
        <w:t xml:space="preserve"> </w:t>
      </w:r>
    </w:p>
    <w:p w14:paraId="515AFE24" w14:textId="5CBB5C20" w:rsidR="00760B34" w:rsidRPr="00A37675" w:rsidRDefault="00A37675" w:rsidP="003B76E2">
      <w:pPr>
        <w:jc w:val="both"/>
      </w:pPr>
      <w:r>
        <w:t xml:space="preserve">According to data from isolated perfused rat liver </w:t>
      </w:r>
      <w:r w:rsidR="00760B34">
        <w:rPr>
          <w:lang w:val="en-GB"/>
        </w:rPr>
        <w:fldChar w:fldCharType="begin" w:fldLock="1"/>
      </w:r>
      <w:r w:rsidR="00D82436">
        <w:rPr>
          <w:lang w:val="en-GB"/>
        </w:rPr>
        <w:instrText>ADDIN CSL_CITATION {"citationItems":[{"id":"ITEM-1","itemData":{"DOI":"10.1042/cs0510169","ISSN":"0301-0538","abstract":"1. The uptake of bilirubin was studied in the perfused rat liver by a multiple-indicator dilution technique employing the three-compartment model of Goresky. 2. The kinetics of hepatic bilirubin uptake could be described by the Michaelis—Menten equation. 3. The maximal uptake velocity (Vmax.) and the apparent half-saturation constant (Km) were 4·4 ± 0·5 nmol s−1 g−1 of liver and 58 ±16 nmol/g of liver respectively, indicating that the hepatic uptake system for bilirubin under normal conditions is operating far below saturation. 4. Sodium taurocholate did not compete with bilirubin for hepatic uptake. 5. These findings are consistent with the concept that carrier-mediated transport is responsible for hepatocellular uptake of bilirubin and that bilirubin and bile acids enter the hepatocyte via separate pathways.","author":[{"dropping-particle":"","family":"Paumgartner","given":"G","non-dropping-particle":"","parse-names":false,"suffix":""},{"dropping-particle":"","family":"Reichen","given":"J","non-dropping-particle":"","parse-names":false,"suffix":""}],"container-title":"Clinical science and molecular medicine","id":"ITEM-1","issue":"2","issued":{"date-parts":[["1976"]]},"page":"169-176","publisher":"Portland Press Ltd.","title":"Kinetics of hepatic uptake of unconjugated bilirubin","type":"article-journal","volume":"51"},"uris":["http://www.mendeley.com/documents/?uuid=3b75f4ed-45fd-4ed3-bc39-b4096387d899"]}],"mendeley":{"formattedCitation":"[16]","plainTextFormattedCitation":"[16]","previouslyFormattedCitation":"[16]"},"properties":{"noteIndex":0},"schema":"https://github.com/citation-style-language/schema/raw/master/csl-citation.json"}</w:instrText>
      </w:r>
      <w:r w:rsidR="00760B34">
        <w:rPr>
          <w:lang w:val="en-GB"/>
        </w:rPr>
        <w:fldChar w:fldCharType="separate"/>
      </w:r>
      <w:r w:rsidR="008C0DA1" w:rsidRPr="008C0DA1">
        <w:rPr>
          <w:noProof/>
          <w:lang w:val="en-GB"/>
        </w:rPr>
        <w:t>[16]</w:t>
      </w:r>
      <w:r w:rsidR="00760B34">
        <w:rPr>
          <w:lang w:val="en-GB"/>
        </w:rPr>
        <w:fldChar w:fldCharType="end"/>
      </w:r>
      <w:r w:rsidR="00760B34">
        <w:rPr>
          <w:lang w:val="en-GB"/>
        </w:rPr>
        <w:fldChar w:fldCharType="begin" w:fldLock="1"/>
      </w:r>
      <w:r w:rsidR="00D82436">
        <w:rPr>
          <w:lang w:val="en-GB"/>
        </w:rPr>
        <w:instrText>ADDIN CSL_CITATION {"citationItems":[{"id":"ITEM-1","itemData":{"DOI":"10.1172/JCI111021","ISSN":"0021-9738 (Print)","PMID":"6308060","abstract":"Bilirubin uptake by the liver is a rapid process of high specificity that has kinetic characteristics which suggest carrier-mediation. In the circulation, bilirubin is readily bound to albumin, from which it is extracted by the liver. Although several studies suggested that it is the small, unbound fraction of bilirubin which interacts with hepatocytes and is removed from the circulation, recent experiments have been interpreted as suggesting that binding to albumin facilitates ligand uptake. A liver cell surface receptor for albumin has been postulated. The present study was designed to examine directly whether albumin facilitates the hepatic uptake of bilirubin and whether uptake of bilirubin depends on binding to albumin. Rat liver was perfused with a protein-free fluorocarbon medium, and single-pass uptake of 1, 10, or 200 nmol of [3H]bilirubin was determined after injection as an equimolar complex with 125I-albumin, with 125I-ligandin, or free with only a [14C]sucrose reference. Uptake of 10 nmol of [3H]bilirubin was 67.5 +/- 3.7% of the dose when injected with 125I-albumin, 67.4 +/- 6.5% when injected with 125I-ligandin, and 74.9 +/- 2.4% when injected with [14C]sucrose (P greater than 0.1). At 200 nmol, uptake fell to 46.4 +/- 3.1% (125I-albumin) and 63.3 +/- 3.4% [( 14C]sucrose) of injected [3H]bilirubin (P less than 0.01), which suggests saturation of the uptake mechanism. When influx was quantitated by the model of Goresky, similar results were obtained. When [3H]bilirubin was injected simultaneously with equimolar 125I-albumin and a [14C]sucrose reference, there was no delay in 125I-albumin transit as compared with that of [14C]sucrose. This suggested that the off-rate of albumin from a putative hepatocyte receptor would have to be very rapid, which is unusual for high affinity receptor-ligand interaction. There was no evidence for facilitation of bilirubin uptake by binding to albumin or for interaction of albumin with a liver cell surface receptor. These results suggest that the hepatic bilirubin uptake mechanism is one of high affinity which can extract bilirubin from circulating carriers such as albumin, ligandin, or fluorocarbon.","author":[{"dropping-particle":"","family":"Stollman","given":"Y R","non-dropping-particle":"","parse-names":false,"suffix":""},{"dropping-particle":"","family":"Gartner","given":"U","non-dropping-particle":"","parse-names":false,"suffix":""},{"dropping-particle":"","family":"Theilmann","given":"L","non-dropping-particle":"","parse-names":false,"suffix":""},{"dropping-particle":"","family":"Ohmi","given":"N","non-dropping-particle":"","parse-names":false,"suffix":""},{"dropping-particle":"","family":"Wolkoff","given":"A W","non-dropping-particle":"","parse-names":false,"suffix":""}],"container-title":"The Journal of clinical investigation","id":"ITEM-1","issue":"2","issued":{"date-parts":[["1983","8"]]},"language":"eng","page":"718-723","publisher-place":"United States","title":"Hepatic bilirubin uptake in the isolated perfused rat liver is not facilitated by albumin binding.","type":"article-journal","volume":"72"},"uris":["http://www.mendeley.com/documents/?uuid=55bf28cd-6abd-4fa6-83d9-0623e6ea4531"]}],"mendeley":{"formattedCitation":"[17]","plainTextFormattedCitation":"[17]","previouslyFormattedCitation":"[17]"},"properties":{"noteIndex":0},"schema":"https://github.com/citation-style-language/schema/raw/master/csl-citation.json"}</w:instrText>
      </w:r>
      <w:r w:rsidR="00760B34">
        <w:rPr>
          <w:lang w:val="en-GB"/>
        </w:rPr>
        <w:fldChar w:fldCharType="separate"/>
      </w:r>
      <w:r w:rsidR="008C0DA1" w:rsidRPr="008C0DA1">
        <w:rPr>
          <w:noProof/>
          <w:lang w:val="en-GB"/>
        </w:rPr>
        <w:t>[17]</w:t>
      </w:r>
      <w:r w:rsidR="00760B34">
        <w:rPr>
          <w:lang w:val="en-GB"/>
        </w:rPr>
        <w:fldChar w:fldCharType="end"/>
      </w:r>
      <w:r w:rsidR="00760B34">
        <w:rPr>
          <w:lang w:val="en-GB"/>
        </w:rPr>
        <w:t xml:space="preserve">, </w:t>
      </w:r>
      <w:r>
        <w:t>&gt; 50% of an intra-portal bolus of 10 nmol BR is expected to be taken up, resulting in recovery of the remaining fraction in hepatic venous effluent</w:t>
      </w:r>
      <w:r w:rsidR="00760B34" w:rsidRPr="003210B5">
        <w:rPr>
          <w:color w:val="000000" w:themeColor="text1"/>
          <w:lang w:val="en-GB"/>
        </w:rPr>
        <w:t xml:space="preserve">. </w:t>
      </w:r>
      <w:r w:rsidR="00473413">
        <w:t xml:space="preserve">Variations may occur if the liver loses its ability to absorb bilirubin, as has been observed in the perfused liver of endotoxemic rats </w:t>
      </w:r>
      <w:r w:rsidR="00760B34">
        <w:rPr>
          <w:lang w:val="en-GB"/>
        </w:rPr>
        <w:fldChar w:fldCharType="begin" w:fldLock="1"/>
      </w:r>
      <w:r w:rsidR="00D82436">
        <w:rPr>
          <w:lang w:val="en-GB"/>
        </w:rPr>
        <w:instrText>ADDIN CSL_CITATION {"citationItems":[{"id":"ITEM-1","itemData":{"DOI":"10.1016/0016-5085(94)90232-1","ISSN":"0016-5085 (Print)","PMID":"7926459","abstract":"BACKGROUND/AIMS: Hyperbilirubinemia associated with sepsis is frequently observed in  humans. In this study, an experimental rat model was developed to study bilirubin metabolism and transport during endotoxemia. METHODS: Rats were injected intravenously with a single bolus of lipopolysaccharide (1 mg/kg); after 18 hours, the liver was removed for single-pass perfusion. Unconjugated bilirubin, bilirubin ditaurate (125 nmol/min), and/or taurocholate (1.5 mumol/min) were infused. Rate constants for uptake were determined from the disappearance of a bolus of bilirubin ditaurate in a recirculating perfusion. RESULTS: In endotoxemic livers, biliary excretion of bilirubin-glucuronides was reduced by 49% (2.04 +/- 0.2 and 3.99 +/- 0.24 nmol.min-1.g liver-1). Similar results were obtained with bilirubin ditaurate, indicating that the reduced transport is not caused by a reduced conjugation capacity. The rate constant of sinusoidal uptake was significantly reduced during endotoxemia (0.191 +/- 0.034 vs. 0.090 +/- 0.035, respectively). Secretion of taurocholate into bile was also reduced (92 +/- 22 vs. 127 +/- 10 nmol.min-1.g liver-1). CONCLUSIONS: In endotoxemic rats, biliary clearance of bilirubin and taurocholate is substantially decreased, suggesting that decreased output of bilirubin-glucuronides is not caused by impaired conjugation but by a reduction in transport.","author":[{"dropping-particle":"","family":"Roelofsen","given":"H","non-dropping-particle":"","parse-names":false,"suffix":""},{"dropping-particle":"","family":"Veere","given":"C N","non-dropping-particle":"van der","parse-names":false,"suffix":""},{"dropping-particle":"","family":"Ottenhoff","given":"R","non-dropping-particle":"","parse-names":false,"suffix":""},{"dropping-particle":"","family":"Schoemaker","given":"B","non-dropping-particle":"","parse-names":false,"suffix":""},{"dropping-particle":"","family":"Jansen","given":"P L","non-dropping-particle":"","parse-names":false,"suffix":""},{"dropping-particle":"","family":"Oude Elferink","given":"R P","non-dropping-particle":"","parse-names":false,"suffix":""}],"container-title":"Gastroenterology","id":"ITEM-1","issue":"4","issued":{"date-parts":[["1994","10"]]},"language":"eng","page":"1075-1084","publisher-place":"United States","title":"Decreased bilirubin transport in the perfused liver of endotoxemic rats.","type":"article-journal","volume":"107"},"uris":["http://www.mendeley.com/documents/?uuid=22878a98-7cab-41d5-bce3-ea5663234a29"]}],"mendeley":{"formattedCitation":"[18]","plainTextFormattedCitation":"[18]","previouslyFormattedCitation":"[18]"},"properties":{"noteIndex":0},"schema":"https://github.com/citation-style-language/schema/raw/master/csl-citation.json"}</w:instrText>
      </w:r>
      <w:r w:rsidR="00760B34">
        <w:rPr>
          <w:lang w:val="en-GB"/>
        </w:rPr>
        <w:fldChar w:fldCharType="separate"/>
      </w:r>
      <w:r w:rsidR="008C0DA1" w:rsidRPr="008C0DA1">
        <w:rPr>
          <w:noProof/>
          <w:lang w:val="en-GB"/>
        </w:rPr>
        <w:t>[18]</w:t>
      </w:r>
      <w:r w:rsidR="00760B34">
        <w:rPr>
          <w:lang w:val="en-GB"/>
        </w:rPr>
        <w:fldChar w:fldCharType="end"/>
      </w:r>
      <w:r w:rsidR="00760B34">
        <w:rPr>
          <w:lang w:val="en-GB"/>
        </w:rPr>
        <w:t xml:space="preserve">, </w:t>
      </w:r>
      <w:r w:rsidR="00473413">
        <w:t>or its ability to capture BR by intracellular conjugation, as has been observed in the Gunn rat, which carries an inherited bilirubin-UDP-glucuronosyl transferase deficiency</w:t>
      </w:r>
      <w:r w:rsidR="00760B34">
        <w:rPr>
          <w:lang w:val="en-GB"/>
        </w:rPr>
        <w:t xml:space="preserve"> </w:t>
      </w:r>
      <w:r w:rsidR="00760B34">
        <w:rPr>
          <w:lang w:val="en-GB"/>
        </w:rPr>
        <w:fldChar w:fldCharType="begin" w:fldLock="1"/>
      </w:r>
      <w:r w:rsidR="00D82436">
        <w:rPr>
          <w:lang w:val="en-GB"/>
        </w:rPr>
        <w:instrText>ADDIN CSL_CITATION {"citationItems":[{"id":"ITEM-1","itemData":{"DOI":"10.1172/JCI109105","ISSN":"0021-9738 (Print)","PMID":"96142","abstract":"The microsomal enzyme uridine diphosphate (UDP) glucuronate glucuronyltransferase  (E.C. 2.4.1.17) catalyzes formation of bilirubin mono-glucuronide from bilirubin and UDPglucuronic acid. Bilirubin glucuronoside glucuronosyltransferase (E.C. 2.4.1.95), an enzyme concentrated in plasma membrane-enriched fractions of rat liver, converts bilirubin monoglucuronide to bilirubin diglucuronide. Bilirubin glucuronoside glucuronosyltransferase activity was studied in homogenates of liver biopsy specimens obtained from patients with the Crigler-Najjar syndrome (Type I) and in subcellular liver fractions of rats homozygous for UDP glucuronate glucuronyltransferase deficiency (Gunn strain). In patients with the Crigler-Najjar syndrome (Type I) and in Gunn rats, hepatic UDPglucuronate glucuronyltransferase activity was not measurable; however, bilirubin glucuronoside glucuronosyltransferase activity was similar to that in normal controls. The subcellular distribution of bilirubin glucuronoside glucuronosyltransferase activity in Gunn rat liver was similar to the distribution observed in normal Wistar rat liver.When bilirubin monoglucuronide was infused intravenously into Gunn rats, 29+/-5% of the conjugated bilirubin excreted in bile was bilirubin diglucuronide. After transplantation of normal Wistar rat kidney, which contained UDPglucuronate glucuronyltransferase activity, in Gunn rats, the serum bilirubin concentration decreased by 80% in 4 days. The major route of bilirubin removal was biliary excretion of conjugated bilirubin, approximately 70% of which was bilirubin diglucuronide. Although patients with the Crigler-Najjar syndrome (Type I) and Gunn rats lack UDP glucuronate glucuronyltransferase, their livers enzymatically convert bilirubin monoglucuronide to diglucuronide in vitro. Conversion in bilirubin monoglucuronide to diglucuronide was demonstrated in Gunn rats in vivo.","author":[{"dropping-particle":"","family":"Chowdhury","given":"J R","non-dropping-particle":"","parse-names":false,"suffix":""},{"dropping-particle":"","family":"Jansen","given":"P L","non-dropping-particle":"","parse-names":false,"suffix":""},{"dropping-particle":"","family":"Fischberg","given":"E B","non-dropping-particle":"","parse-names":false,"suffix":""},{"dropping-particle":"","family":"Daniller","given":"A","non-dropping-particle":"","parse-names":false,"suffix":""},{"dropping-particle":"","family":"Arias","given":"I M","non-dropping-particle":"","parse-names":false,"suffix":""}],"container-title":"The Journal of clinical investigation","id":"ITEM-1","issue":"1","issued":{"date-parts":[["1978","7"]]},"language":"eng","page":"191-196","title":"Hepatic conversion of bilirubin monoglucuronide to diglucuronide in uridine  diphosphate-glucuronyl transferase-deficient man and rat by bilirubin glucuronoside glucuronosyltransferase.","type":"article-journal","volume":"62"},"uris":["http://www.mendeley.com/documents/?uuid=284072f5-388f-4524-a804-dd436a0966dc"]}],"mendeley":{"formattedCitation":"[19]","plainTextFormattedCitation":"[19]","previouslyFormattedCitation":"[19]"},"properties":{"noteIndex":0},"schema":"https://github.com/citation-style-language/schema/raw/master/csl-citation.json"}</w:instrText>
      </w:r>
      <w:r w:rsidR="00760B34">
        <w:rPr>
          <w:lang w:val="en-GB"/>
        </w:rPr>
        <w:fldChar w:fldCharType="separate"/>
      </w:r>
      <w:r w:rsidR="008C0DA1" w:rsidRPr="008C0DA1">
        <w:rPr>
          <w:noProof/>
          <w:lang w:val="en-GB"/>
        </w:rPr>
        <w:t>[19]</w:t>
      </w:r>
      <w:r w:rsidR="00760B34">
        <w:rPr>
          <w:lang w:val="en-GB"/>
        </w:rPr>
        <w:fldChar w:fldCharType="end"/>
      </w:r>
      <w:r w:rsidR="00760B34">
        <w:rPr>
          <w:lang w:val="en-GB"/>
        </w:rPr>
        <w:t xml:space="preserve">, </w:t>
      </w:r>
      <w:r w:rsidR="00D03680">
        <w:t>or eventually loses its ability to keep intracellular BRG concentration low by biliary excretion, as is the case in the Eisai rat, which carries a genetic defect in Mrp2 function</w:t>
      </w:r>
      <w:r w:rsidR="00760B34">
        <w:rPr>
          <w:lang w:val="en-GB"/>
        </w:rPr>
        <w:t xml:space="preserve"> </w:t>
      </w:r>
      <w:r w:rsidR="00760B34">
        <w:rPr>
          <w:lang w:val="en-GB"/>
        </w:rPr>
        <w:fldChar w:fldCharType="begin" w:fldLock="1"/>
      </w:r>
      <w:r w:rsidR="00D82436">
        <w:rPr>
          <w:lang w:val="en-GB"/>
        </w:rPr>
        <w:instrText>ADDIN CSL_CITATION {"citationItems":[{"id":"ITEM-1","itemData":{"DOI":"10.1007/s11095-005-2502-1","ISSN":"0724-8741","PMID":"15846474","author":[{"dropping-particle":"","family":"Hirouchi","given":"Masakazu","non-dropping-particle":"","parse-names":false,"suffix":""},{"dropping-particle":"","family":"Suzuki","given":"Hiroshi","non-dropping-particle":"","parse-names":false,"suffix":""},{"dropping-particle":"","family":"Sugiyama","given":"Yuichi","non-dropping-particle":"","parse-names":false,"suffix":""}],"container-title":"Pharmaceutical research","id":"ITEM-1","issue":"4","issued":{"date-parts":[["2005"]]},"page":"661-666","publisher":"Springer","title":"Treatment of hyperbilirubinemia in Eisai hyperbilirubinemic rat by transfecting human MRP2/ABCC2 gene","type":"article-journal","volume":"22"},"uris":["http://www.mendeley.com/documents/?uuid=c4e6e631-582f-411d-8895-7dbdf9a136f1"]}],"mendeley":{"formattedCitation":"[20]","plainTextFormattedCitation":"[20]","previouslyFormattedCitation":"[20]"},"properties":{"noteIndex":0},"schema":"https://github.com/citation-style-language/schema/raw/master/csl-citation.json"}</w:instrText>
      </w:r>
      <w:r w:rsidR="00760B34">
        <w:rPr>
          <w:lang w:val="en-GB"/>
        </w:rPr>
        <w:fldChar w:fldCharType="separate"/>
      </w:r>
      <w:r w:rsidR="008C0DA1" w:rsidRPr="008C0DA1">
        <w:rPr>
          <w:noProof/>
          <w:lang w:val="en-GB"/>
        </w:rPr>
        <w:t>[20]</w:t>
      </w:r>
      <w:r w:rsidR="00760B34">
        <w:rPr>
          <w:lang w:val="en-GB"/>
        </w:rPr>
        <w:fldChar w:fldCharType="end"/>
      </w:r>
      <w:r w:rsidR="00760B34">
        <w:rPr>
          <w:lang w:val="en-GB"/>
        </w:rPr>
        <w:t xml:space="preserve">. </w:t>
      </w:r>
    </w:p>
    <w:p w14:paraId="2AD47B2E" w14:textId="7094BD96" w:rsidR="00760B34" w:rsidRPr="00507229" w:rsidRDefault="00507229" w:rsidP="003B76E2">
      <w:pPr>
        <w:jc w:val="both"/>
      </w:pPr>
      <w:r>
        <w:t xml:space="preserve">If the transport of BR from the sinusoid into the hepatocyte is mediated by one or more sinusoidal membrane transporters, the membrane permeability to BR can be reduced by specific reversible inhibitors at appropriate concentrations. This would be evident in a transient increase in the concentration of BR in hepatic venous effluent. The target transporters and the compounds tested for possible inhibition of sinusoidal uptake of BR are listed </w:t>
      </w:r>
      <w:r w:rsidR="00760B34">
        <w:rPr>
          <w:lang w:val="en-GB"/>
        </w:rPr>
        <w:t xml:space="preserve">in </w:t>
      </w:r>
      <w:r w:rsidR="00760B34" w:rsidRPr="00F02EEF">
        <w:rPr>
          <w:lang w:val="en-GB"/>
        </w:rPr>
        <w:t xml:space="preserve">Suppl. Table </w:t>
      </w:r>
      <w:r w:rsidR="000B7AD9">
        <w:rPr>
          <w:lang w:val="en-GB"/>
        </w:rPr>
        <w:t>1.</w:t>
      </w:r>
    </w:p>
    <w:p w14:paraId="26E6CBDD" w14:textId="45496544" w:rsidR="00760B34" w:rsidRDefault="00760B34" w:rsidP="003B76E2">
      <w:pPr>
        <w:jc w:val="both"/>
        <w:rPr>
          <w:lang w:val="en-GB"/>
        </w:rPr>
      </w:pPr>
    </w:p>
    <w:p w14:paraId="5AF71D38" w14:textId="77777777" w:rsidR="001C699B" w:rsidRPr="001C699B" w:rsidRDefault="001C699B" w:rsidP="003B76E2">
      <w:pPr>
        <w:jc w:val="both"/>
        <w:rPr>
          <w:rFonts w:asciiTheme="majorHAnsi" w:eastAsiaTheme="majorEastAsia" w:hAnsiTheme="majorHAnsi" w:cstheme="majorBidi"/>
          <w:color w:val="1F3763" w:themeColor="accent1" w:themeShade="7F"/>
        </w:rPr>
      </w:pPr>
      <w:r w:rsidRPr="001C699B">
        <w:rPr>
          <w:rFonts w:asciiTheme="majorHAnsi" w:eastAsiaTheme="majorEastAsia" w:hAnsiTheme="majorHAnsi" w:cstheme="majorBidi"/>
          <w:color w:val="1F3763" w:themeColor="accent1" w:themeShade="7F"/>
        </w:rPr>
        <w:t>The general experimental design for testing hepatic bilirubin uptake</w:t>
      </w:r>
    </w:p>
    <w:p w14:paraId="573C7666" w14:textId="341AD152" w:rsidR="00E95BCC" w:rsidRPr="008E21D0" w:rsidRDefault="008E21D0" w:rsidP="003B76E2">
      <w:pPr>
        <w:jc w:val="both"/>
      </w:pPr>
      <w:r>
        <w:t>Because the focus of this study was to characterize the pharmacology of hepatic single-pass BR uptake, which occurs in &lt; 0.5 min</w:t>
      </w:r>
      <w:r w:rsidRPr="008E21D0">
        <w:rPr>
          <w:lang w:val="en-US"/>
        </w:rPr>
        <w:t xml:space="preserve"> </w:t>
      </w:r>
      <w:r w:rsidR="00531539">
        <w:rPr>
          <w:lang w:val="en-US"/>
        </w:rPr>
        <w:fldChar w:fldCharType="begin" w:fldLock="1"/>
      </w:r>
      <w:r w:rsidR="00D82436">
        <w:rPr>
          <w:lang w:val="en-US"/>
        </w:rPr>
        <w:instrText>ADDIN CSL_CITATION {"citationItems":[{"id":"ITEM-1","itemData":{"DOI":"10.1042/cs0510169","ISSN":"0301-0538","abstract":"1. The uptake of bilirubin was studied in the perfused rat liver by a multiple-indicator dilution technique employing the three-compartment model of Goresky. 2. The kinetics of hepatic bilirubin uptake could be described by the Michaelis—Menten equation. 3. The maximal uptake velocity (Vmax.) and the apparent half-saturation constant (Km) were 4·4 ± 0·5 nmol s−1 g−1 of liver and 58 ±16 nmol/g of liver respectively, indicating that the hepatic uptake system for bilirubin under normal conditions is operating far below saturation. 4. Sodium taurocholate did not compete with bilirubin for hepatic uptake. 5. These findings are consistent with the concept that carrier-mediated transport is responsible for hepatocellular uptake of bilirubin and that bilirubin and bile acids enter the hepatocyte via separate pathways.","author":[{"dropping-particle":"","family":"Paumgartner","given":"G","non-dropping-particle":"","parse-names":false,"suffix":""},{"dropping-particle":"","family":"Reichen","given":"J","non-dropping-particle":"","parse-names":false,"suffix":""}],"container-title":"Clinical science and molecular medicine","id":"ITEM-1","issue":"2","issued":{"date-parts":[["1976"]]},"page":"169-176","publisher":"Portland Press Ltd.","title":"Kinetics of hepatic uptake of unconjugated bilirubin","type":"article-journal","volume":"51"},"uris":["http://www.mendeley.com/documents/?uuid=3b75f4ed-45fd-4ed3-bc39-b4096387d899"]}],"mendeley":{"formattedCitation":"[16]","plainTextFormattedCitation":"[16]","previouslyFormattedCitation":"[16]"},"properties":{"noteIndex":0},"schema":"https://github.com/citation-style-language/schema/raw/master/csl-citation.json"}</w:instrText>
      </w:r>
      <w:r w:rsidR="00531539">
        <w:rPr>
          <w:lang w:val="en-US"/>
        </w:rPr>
        <w:fldChar w:fldCharType="separate"/>
      </w:r>
      <w:r w:rsidR="008C0DA1" w:rsidRPr="008C0DA1">
        <w:rPr>
          <w:noProof/>
          <w:lang w:val="en-US"/>
        </w:rPr>
        <w:t>[16]</w:t>
      </w:r>
      <w:r w:rsidR="00531539">
        <w:rPr>
          <w:lang w:val="en-US"/>
        </w:rPr>
        <w:fldChar w:fldCharType="end"/>
      </w:r>
      <w:r w:rsidR="00531539">
        <w:rPr>
          <w:lang w:val="en-US"/>
        </w:rPr>
        <w:fldChar w:fldCharType="begin" w:fldLock="1"/>
      </w:r>
      <w:r w:rsidR="00D82436">
        <w:rPr>
          <w:lang w:val="en-US"/>
        </w:rPr>
        <w:instrText>ADDIN CSL_CITATION {"citationItems":[{"id":"ITEM-1","itemData":{"DOI":"10.1172/JCI111021","ISSN":"0021-9738 (Print)","PMID":"6308060","abstract":"Bilirubin uptake by the liver is a rapid process of high specificity that has kinetic characteristics which suggest carrier-mediation. In the circulation, bilirubin is readily bound to albumin, from which it is extracted by the liver. Although several studies suggested that it is the small, unbound fraction of bilirubin which interacts with hepatocytes and is removed from the circulation, recent experiments have been interpreted as suggesting that binding to albumin facilitates ligand uptake. A liver cell surface receptor for albumin has been postulated. The present study was designed to examine directly whether albumin facilitates the hepatic uptake of bilirubin and whether uptake of bilirubin depends on binding to albumin. Rat liver was perfused with a protein-free fluorocarbon medium, and single-pass uptake of 1, 10, or 200 nmol of [3H]bilirubin was determined after injection as an equimolar complex with 125I-albumin, with 125I-ligandin, or free with only a [14C]sucrose reference. Uptake of 10 nmol of [3H]bilirubin was 67.5 +/- 3.7% of the dose when injected with 125I-albumin, 67.4 +/- 6.5% when injected with 125I-ligandin, and 74.9 +/- 2.4% when injected with [14C]sucrose (P greater than 0.1). At 200 nmol, uptake fell to 46.4 +/- 3.1% (125I-albumin) and 63.3 +/- 3.4% [( 14C]sucrose) of injected [3H]bilirubin (P less than 0.01), which suggests saturation of the uptake mechanism. When influx was quantitated by the model of Goresky, similar results were obtained. When [3H]bilirubin was injected simultaneously with equimolar 125I-albumin and a [14C]sucrose reference, there was no delay in 125I-albumin transit as compared with that of [14C]sucrose. This suggested that the off-rate of albumin from a putative hepatocyte receptor would have to be very rapid, which is unusual for high affinity receptor-ligand interaction. There was no evidence for facilitation of bilirubin uptake by binding to albumin or for interaction of albumin with a liver cell surface receptor. These results suggest that the hepatic bilirubin uptake mechanism is one of high affinity which can extract bilirubin from circulating carriers such as albumin, ligandin, or fluorocarbon.","author":[{"dropping-particle":"","family":"Stollman","given":"Y R","non-dropping-particle":"","parse-names":false,"suffix":""},{"dropping-particle":"","family":"Gartner","given":"U","non-dropping-particle":"","parse-names":false,"suffix":""},{"dropping-particle":"","family":"Theilmann","given":"L","non-dropping-particle":"","parse-names":false,"suffix":""},{"dropping-particle":"","family":"Ohmi","given":"N","non-dropping-particle":"","parse-names":false,"suffix":""},{"dropping-particle":"","family":"Wolkoff","given":"A W","non-dropping-particle":"","parse-names":false,"suffix":""}],"container-title":"The Journal of clinical investigation","id":"ITEM-1","issue":"2","issued":{"date-parts":[["1983","8"]]},"language":"eng","page":"718-723","publisher-place":"United States","title":"Hepatic bilirubin uptake in the isolated perfused rat liver is not facilitated by albumin binding.","type":"article-journal","volume":"72"},"uris":["http://www.mendeley.com/documents/?uuid=55bf28cd-6abd-4fa6-83d9-0623e6ea4531"]}],"mendeley":{"formattedCitation":"[17]","plainTextFormattedCitation":"[17]","previouslyFormattedCitation":"[17]"},"properties":{"noteIndex":0},"schema":"https://github.com/citation-style-language/schema/raw/master/csl-citation.json"}</w:instrText>
      </w:r>
      <w:r w:rsidR="00531539">
        <w:rPr>
          <w:lang w:val="en-US"/>
        </w:rPr>
        <w:fldChar w:fldCharType="separate"/>
      </w:r>
      <w:r w:rsidR="008C0DA1" w:rsidRPr="008C0DA1">
        <w:rPr>
          <w:noProof/>
          <w:lang w:val="en-US"/>
        </w:rPr>
        <w:t>[17]</w:t>
      </w:r>
      <w:r w:rsidR="00531539">
        <w:rPr>
          <w:lang w:val="en-US"/>
        </w:rPr>
        <w:fldChar w:fldCharType="end"/>
      </w:r>
      <w:r w:rsidR="00531539">
        <w:rPr>
          <w:lang w:val="en-US"/>
        </w:rPr>
        <w:t xml:space="preserve">, </w:t>
      </w:r>
      <w:r w:rsidR="00B5415F">
        <w:t>we administered small intraportal BR boli, each corresponding to approximately 3.6% of the dose (38.5 nmol</w:t>
      </w:r>
      <w:r w:rsidR="00B5415F" w:rsidRPr="00B5415F">
        <w:rPr>
          <w:lang w:val="en-US"/>
        </w:rPr>
        <w:t xml:space="preserve"> </w:t>
      </w:r>
      <w:r w:rsidR="00B5415F">
        <w:t>g</w:t>
      </w:r>
      <w:r w:rsidR="00B5415F" w:rsidRPr="00B5415F">
        <w:rPr>
          <w:vertAlign w:val="superscript"/>
          <w:lang w:val="en-US"/>
        </w:rPr>
        <w:t>-1</w:t>
      </w:r>
      <w:r w:rsidR="00B5415F">
        <w:t xml:space="preserve"> liver) that would be taken up by the liver at half-maximal rate</w:t>
      </w:r>
      <w:r w:rsidR="00531539" w:rsidRPr="005200E5">
        <w:rPr>
          <w:lang w:val="en-US"/>
        </w:rPr>
        <w:t xml:space="preserve"> </w:t>
      </w:r>
      <w:r w:rsidR="00531539" w:rsidRPr="005200E5">
        <w:rPr>
          <w:lang w:val="en-US"/>
        </w:rPr>
        <w:fldChar w:fldCharType="begin" w:fldLock="1"/>
      </w:r>
      <w:r w:rsidR="00D82436">
        <w:rPr>
          <w:lang w:val="en-US"/>
        </w:rPr>
        <w:instrText>ADDIN CSL_CITATION {"citationItems":[{"id":"ITEM-1","itemData":{"DOI":"10.1042/cs0510169","ISSN":"0301-0538","abstract":"1. The uptake of bilirubin was studied in the perfused rat liver by a multiple-indicator dilution technique employing the three-compartment model of Goresky. 2. The kinetics of hepatic bilirubin uptake could be described by the Michaelis—Menten equation. 3. The maximal uptake velocity (Vmax.) and the apparent half-saturation constant (Km) were 4·4 ± 0·5 nmol s−1 g−1 of liver and 58 ±16 nmol/g of liver respectively, indicating that the hepatic uptake system for bilirubin under normal conditions is operating far below saturation. 4. Sodium taurocholate did not compete with bilirubin for hepatic uptake. 5. These findings are consistent with the concept that carrier-mediated transport is responsible for hepatocellular uptake of bilirubin and that bilirubin and bile acids enter the hepatocyte via separate pathways.","author":[{"dropping-particle":"","family":"Paumgartner","given":"G","non-dropping-particle":"","parse-names":false,"suffix":""},{"dropping-particle":"","family":"Reichen","given":"J","non-dropping-particle":"","parse-names":false,"suffix":""}],"container-title":"Clinical science and molecular medicine","id":"ITEM-1","issue":"2","issued":{"date-parts":[["1976"]]},"page":"169-176","publisher":"Portland Press Ltd.","title":"Kinetics of hepatic uptake of unconjugated bilirubin","type":"article-journal","volume":"51"},"uris":["http://www.mendeley.com/documents/?uuid=3b75f4ed-45fd-4ed3-bc39-b4096387d899"]}],"mendeley":{"formattedCitation":"[16]","plainTextFormattedCitation":"[16]","previouslyFormattedCitation":"[16]"},"properties":{"noteIndex":0},"schema":"https://github.com/citation-style-language/schema/raw/master/csl-citation.json"}</w:instrText>
      </w:r>
      <w:r w:rsidR="00531539" w:rsidRPr="005200E5">
        <w:rPr>
          <w:lang w:val="en-US"/>
        </w:rPr>
        <w:fldChar w:fldCharType="separate"/>
      </w:r>
      <w:r w:rsidR="008C0DA1" w:rsidRPr="008C0DA1">
        <w:rPr>
          <w:noProof/>
          <w:lang w:val="en-US"/>
        </w:rPr>
        <w:t>[16]</w:t>
      </w:r>
      <w:r w:rsidR="00531539" w:rsidRPr="005200E5">
        <w:rPr>
          <w:lang w:val="en-US"/>
        </w:rPr>
        <w:fldChar w:fldCharType="end"/>
      </w:r>
      <w:r w:rsidR="00531539" w:rsidRPr="005200E5">
        <w:rPr>
          <w:lang w:val="en-US"/>
        </w:rPr>
        <w:t xml:space="preserve">. </w:t>
      </w:r>
      <w:r w:rsidR="00E95BCC" w:rsidRPr="0065056E">
        <w:rPr>
          <w:lang w:val="en-GB"/>
        </w:rPr>
        <w:t xml:space="preserve">Up to 12 repeated BR </w:t>
      </w:r>
      <w:proofErr w:type="spellStart"/>
      <w:r w:rsidR="00E95BCC" w:rsidRPr="0065056E">
        <w:rPr>
          <w:lang w:val="en-GB"/>
        </w:rPr>
        <w:t>boli</w:t>
      </w:r>
      <w:proofErr w:type="spellEnd"/>
      <w:r w:rsidR="00E95BCC" w:rsidRPr="0065056E">
        <w:rPr>
          <w:lang w:val="en-GB"/>
        </w:rPr>
        <w:t xml:space="preserve"> (0.2 mL</w:t>
      </w:r>
      <w:r w:rsidR="00E95BCC">
        <w:rPr>
          <w:lang w:val="en-GB"/>
        </w:rPr>
        <w:t>; 0.0</w:t>
      </w:r>
      <w:r w:rsidR="00E95BCC" w:rsidRPr="0065056E">
        <w:rPr>
          <w:lang w:val="en-GB"/>
        </w:rPr>
        <w:t>5</w:t>
      </w:r>
      <w:r w:rsidR="00E95BCC">
        <w:rPr>
          <w:lang w:val="en-GB"/>
        </w:rPr>
        <w:t xml:space="preserve"> m</w:t>
      </w:r>
      <w:r w:rsidR="00E95BCC" w:rsidRPr="0065056E">
        <w:rPr>
          <w:lang w:val="en-GB"/>
        </w:rPr>
        <w:t xml:space="preserve">M in </w:t>
      </w:r>
      <w:proofErr w:type="gramStart"/>
      <w:r w:rsidR="00E95BCC" w:rsidRPr="0065056E">
        <w:rPr>
          <w:lang w:val="en-GB"/>
        </w:rPr>
        <w:t>PBS:DMSO</w:t>
      </w:r>
      <w:proofErr w:type="gramEnd"/>
      <w:r w:rsidR="00E95BCC" w:rsidRPr="0065056E">
        <w:rPr>
          <w:lang w:val="en-GB"/>
        </w:rPr>
        <w:t>, 80:20 vol/vol) were injected into the portal vein using a 1 mL</w:t>
      </w:r>
      <w:r w:rsidR="0092759F">
        <w:rPr>
          <w:lang w:val="en-GB"/>
        </w:rPr>
        <w:t xml:space="preserve"> </w:t>
      </w:r>
      <w:r w:rsidR="00E95BCC" w:rsidRPr="0065056E">
        <w:rPr>
          <w:lang w:val="en-GB"/>
        </w:rPr>
        <w:t xml:space="preserve">syringe connected to a port of the cannula inserted into the portal vein. </w:t>
      </w:r>
      <w:r w:rsidR="0092759F">
        <w:t>Thus, BR boli were administered under constant perfusion flow</w:t>
      </w:r>
      <w:r w:rsidR="00E95BCC" w:rsidRPr="0065056E">
        <w:rPr>
          <w:lang w:val="en-GB"/>
        </w:rPr>
        <w:t xml:space="preserve">. </w:t>
      </w:r>
      <w:r w:rsidR="0092759F">
        <w:t>After each bolus, ten fractions (0.35 mL) of hepatic venous effluent were collected in Eppendorf tubes at 4 seconds/fraction intervals</w:t>
      </w:r>
      <w:r w:rsidR="00E95BCC" w:rsidRPr="0065056E">
        <w:rPr>
          <w:lang w:val="en-GB"/>
        </w:rPr>
        <w:t xml:space="preserve">.  </w:t>
      </w:r>
      <w:r w:rsidR="0092759F">
        <w:t xml:space="preserve">Thereafter, the effluent was collected in bulk (3.5 mL) for 40 seconds. </w:t>
      </w:r>
      <w:r w:rsidR="0011000F">
        <w:t>During this time, the 1-mL syringe was prepared for delivery of the next BR bolus and collection of hepatic venous outflow continued. The entire test took approximately 25 minutes. Known inhibitors/substrates of hepatic sinusoidal transporters were injected or co-injected with BR in the same vehicles as above at the concentrations indicated in Table 2 and in the captions. See protocol</w:t>
      </w:r>
      <w:r w:rsidR="00573A04">
        <w:rPr>
          <w:lang w:val="en-GB"/>
        </w:rPr>
        <w:t xml:space="preserve"> </w:t>
      </w:r>
      <w:r w:rsidR="00573A04">
        <w:rPr>
          <w:lang w:val="en-GB"/>
        </w:rPr>
        <w:fldChar w:fldCharType="begin" w:fldLock="1"/>
      </w:r>
      <w:r w:rsidR="006A7258">
        <w:rPr>
          <w:lang w:val="en-GB"/>
        </w:rPr>
        <w:instrText>ADDIN CSL_CITATION {"citationItems":[{"id":"ITEM-1","itemData":{"DOI":"10.21203/rs.3.pex-1698/v1","ISSN":"2693-5015","abstract":"We present a protocol for the study of bilirubin uptake in the isolated and perfused rat liver. The liver is perfused with an albumin-free saline buffered solution supplemented with glucose, pyruvate and lactate, in the absence of oxygen, at a physiologically low flow rate. Fractions of the venous effluent are collected and analyzed for bilirubin, bilirubin glucuronide and biomarkers of liver integrity. The liver preparation is viable and intact for 1 h after isolation from the general circulation, with constant levels of both bilirubin and bilirubin glucuronide (&amp;amp;lt; 2 nM) in the effluent. Up to 12 boli of 10 nmol bilirubin can be sequentially injected into the portal vein without and with molecules that target sinusoidal membrane transporters of organic anions. Selective inhibition of bilirubin or bilirubin glucuronide uptake is detected as transient peaks in the effluent (Cmax up 6 to 60 nM). This protocol allows collecting repeated observations in the same liver, thus reducing the animal number by a factor of 10.","author":[{"dropping-particle":"","family":"Stebel","given":"Marco","non-dropping-particle":"","parse-names":false,"suffix":""},{"dropping-particle":"","family":"Medic","given":"Nevenka","non-dropping-particle":"","parse-names":false,"suffix":""},{"dropping-particle":"","family":"Pelizzo","given":"Paola","non-dropping-particle":"","parse-names":false,"suffix":""},{"dropping-particle":"","family":"Sist","given":"Paola","non-dropping-particle":"","parse-names":false,"suffix":""},{"dropping-particle":"","family":"Tramer","given":"Federica","non-dropping-particle":"","parse-names":false,"suffix":""},{"dropping-particle":"","family":"Passamonti","given":"Sabina","non-dropping-particle":"","parse-names":false,"suffix":""}],"container-title":"Protocol Exchange","id":"ITEM-1","issued":{"date-parts":[["2021"]]},"title":"Protocol for the study of hepatic bilirubin uptake in the isolated perfused rat liver","type":"report"},"uris":["http://www.mendeley.com/documents/?uuid=ac376d30-9a59-44af-a74f-4319f00d6918"]}],"mendeley":{"formattedCitation":"[3]","plainTextFormattedCitation":"[3]","previouslyFormattedCitation":"[3]"},"properties":{"noteIndex":0},"schema":"https://github.com/citation-style-language/schema/raw/master/csl-citation.json"}</w:instrText>
      </w:r>
      <w:r w:rsidR="00573A04">
        <w:rPr>
          <w:lang w:val="en-GB"/>
        </w:rPr>
        <w:fldChar w:fldCharType="separate"/>
      </w:r>
      <w:r w:rsidR="00573A04" w:rsidRPr="00573A04">
        <w:rPr>
          <w:noProof/>
          <w:lang w:val="en-GB"/>
        </w:rPr>
        <w:t>[3]</w:t>
      </w:r>
      <w:r w:rsidR="00573A04">
        <w:rPr>
          <w:lang w:val="en-GB"/>
        </w:rPr>
        <w:fldChar w:fldCharType="end"/>
      </w:r>
      <w:r w:rsidR="0011000F">
        <w:rPr>
          <w:lang w:val="en-GB"/>
        </w:rPr>
        <w:t xml:space="preserve"> </w:t>
      </w:r>
      <w:r w:rsidR="0011000F">
        <w:t>for further details</w:t>
      </w:r>
      <w:r w:rsidR="00573A04">
        <w:rPr>
          <w:lang w:val="en-GB"/>
        </w:rPr>
        <w:t>.</w:t>
      </w:r>
    </w:p>
    <w:p w14:paraId="2BBEAC1C" w14:textId="77777777" w:rsidR="00531539" w:rsidRPr="00531539" w:rsidRDefault="00531539" w:rsidP="003B76E2">
      <w:pPr>
        <w:jc w:val="both"/>
        <w:rPr>
          <w:lang w:val="en-US"/>
        </w:rPr>
      </w:pPr>
    </w:p>
    <w:p w14:paraId="4298F024" w14:textId="77777777" w:rsidR="00760B34" w:rsidRPr="006C6D25" w:rsidRDefault="00760B34" w:rsidP="003B76E2">
      <w:pPr>
        <w:pStyle w:val="Titolo2"/>
        <w:jc w:val="both"/>
        <w:rPr>
          <w:lang w:val="en-US"/>
        </w:rPr>
      </w:pPr>
      <w:bookmarkStart w:id="12" w:name="_Toc89853419"/>
      <w:r w:rsidRPr="006C6D25">
        <w:rPr>
          <w:lang w:val="en-US"/>
        </w:rPr>
        <w:t>HUG-based fluorometric assay of bilirubin and bilirubin glucuronide</w:t>
      </w:r>
      <w:bookmarkEnd w:id="12"/>
    </w:p>
    <w:p w14:paraId="28671936" w14:textId="0D1FF4EF" w:rsidR="001F0DAF" w:rsidRPr="008E21D0" w:rsidRDefault="00760B34" w:rsidP="003B76E2">
      <w:pPr>
        <w:jc w:val="both"/>
      </w:pPr>
      <w:r w:rsidRPr="0065056E">
        <w:rPr>
          <w:lang w:val="en-US"/>
        </w:rPr>
        <w:t xml:space="preserve">The BR assay was performed </w:t>
      </w:r>
      <w:r w:rsidR="009E0614">
        <w:rPr>
          <w:lang w:val="en-US"/>
        </w:rPr>
        <w:t>using</w:t>
      </w:r>
      <w:r w:rsidR="006A7258">
        <w:rPr>
          <w:lang w:val="en-US"/>
        </w:rPr>
        <w:t xml:space="preserve"> the HUG fluorometric assay </w:t>
      </w:r>
      <w:r w:rsidR="006A7258">
        <w:rPr>
          <w:lang w:val="en-US"/>
        </w:rPr>
        <w:fldChar w:fldCharType="begin" w:fldLock="1"/>
      </w:r>
      <w:r w:rsidR="00E05C4B">
        <w:rPr>
          <w:lang w:val="en-US"/>
        </w:rPr>
        <w:instrText>ADDIN CSL_CITATION {"citationItems":[{"id":"ITEM-1","itemData":{"DOI":"10.1002/bit.27217","ISSN":"0006-3592","abstract":"Abstract A new, bifunctional recombinant protein was expressed as the fusion product of human elastin-like polypeptide (HELP) and the bilirubin-binding protein UnaG. The engineered product displays both the HELP-specific property of forming a functional hydrogel matrix and the UnaG-specific capacity of emitting green fluorescence upon ligand binding. The new fusion protein has been proven to be effective at detecting bilirubin in complex environments with high background noise. A cell culture model of the stress response, consisting of bilirubin released in the cell culture medium, was set up to assess the bilirubin-sensing properties of the functional matrix obtained by cross-linking the HELP moiety. Our engineered protein allowed us to monitor cell induction by the release of bilirubin in the culture medium on a nanomolar scale. This study shows that elastin-like protein fusion represents a versatile platform for the development of novel and commercially viable analytical and biosensing devices.","author":[{"dropping-particle":"","family":"Bandiera","given":"Antonella","non-dropping-particle":"","parse-names":false,"suffix":""},{"dropping-particle":"","family":"Corich","given":"Lucia","non-dropping-particle":"","parse-names":false,"suffix":""},{"dropping-particle":"","family":"Tommasi","given":"Silvia","non-dropping-particle":"","parse-names":false,"suffix":""},{"dropping-particle":"","family":"Bortoli","given":"Marco","non-dropping-particle":"De","parse-names":false,"suffix":""},{"dropping-particle":"","family":"Pelizzo","given":"Paola","non-dropping-particle":"","parse-names":false,"suffix":""},{"dropping-particle":"","family":"Stebel","given":"Marco","non-dropping-particle":"","parse-names":false,"suffix":""},{"dropping-particle":"","family":"Paladin","given":"Dino","non-dropping-particle":"","parse-names":false,"suffix":""},{"dropping-particle":"","family":"Passamonti","given":"Sabina","non-dropping-particle":"","parse-names":false,"suffix":""}],"container-title":"Biotechnology and Bioengineering","id":"ITEM-1","issue":"2","issued":{"date-parts":[["2020","2","1"]]},"note":"doi: 10.1002/bit.27217","page":"354-361","publisher":"John Wiley &amp; Sons, Ltd","title":"Human elastin-like polypeptides as a versatile platform for exploitation of ultrasensitive bilirubin detection by UnaG","type":"article-journal","volume":"117"},"uris":["http://www.mendeley.com/documents/?uuid=b7ecb6a4-84ef-4374-8da6-4ce4206f2dcb"]}],"mendeley":{"formattedCitation":"[21]","plainTextFormattedCitation":"[21]","previouslyFormattedCitation":"[21]"},"properties":{"noteIndex":0},"schema":"https://github.com/citation-style-language/schema/raw/master/csl-citation.json"}</w:instrText>
      </w:r>
      <w:r w:rsidR="006A7258">
        <w:rPr>
          <w:lang w:val="en-US"/>
        </w:rPr>
        <w:fldChar w:fldCharType="separate"/>
      </w:r>
      <w:r w:rsidR="006A7258" w:rsidRPr="006A7258">
        <w:rPr>
          <w:noProof/>
          <w:lang w:val="en-US"/>
        </w:rPr>
        <w:t>[21]</w:t>
      </w:r>
      <w:r w:rsidR="006A7258">
        <w:rPr>
          <w:lang w:val="en-US"/>
        </w:rPr>
        <w:fldChar w:fldCharType="end"/>
      </w:r>
      <w:r w:rsidR="009E0614">
        <w:rPr>
          <w:lang w:val="en-US"/>
        </w:rPr>
        <w:t>.</w:t>
      </w:r>
      <w:r w:rsidR="006A7258">
        <w:rPr>
          <w:lang w:val="en-US"/>
        </w:rPr>
        <w:t xml:space="preserve"> </w:t>
      </w:r>
      <w:r w:rsidR="009E0614">
        <w:t>96-well plates (Nunc) containing 0.010 mL HUG (0.4 mg/mL) were used</w:t>
      </w:r>
      <w:r w:rsidRPr="0065056E">
        <w:rPr>
          <w:lang w:val="en-US"/>
        </w:rPr>
        <w:t xml:space="preserve">. A freshly prepared BR standard solution (0-0.05 mM in </w:t>
      </w:r>
      <w:proofErr w:type="gramStart"/>
      <w:r w:rsidRPr="0065056E">
        <w:rPr>
          <w:lang w:val="en-US"/>
        </w:rPr>
        <w:t>PBS:DMSO</w:t>
      </w:r>
      <w:proofErr w:type="gramEnd"/>
      <w:r w:rsidRPr="0065056E">
        <w:rPr>
          <w:lang w:val="en-US"/>
        </w:rPr>
        <w:t xml:space="preserve">, 97:3, vol/vol; 0.2 mL) was used to calibrate the fluorescence of the HUG-BR complex, </w:t>
      </w:r>
      <w:r w:rsidR="009E0614">
        <w:rPr>
          <w:lang w:val="en-US"/>
        </w:rPr>
        <w:t xml:space="preserve">which was </w:t>
      </w:r>
      <w:r w:rsidRPr="0065056E">
        <w:rPr>
          <w:lang w:val="en-US"/>
        </w:rPr>
        <w:t xml:space="preserve">recorded in a multiplate reader (Synergy H1; </w:t>
      </w:r>
      <w:proofErr w:type="spellStart"/>
      <w:r w:rsidRPr="0065056E">
        <w:rPr>
          <w:lang w:val="en-US"/>
        </w:rPr>
        <w:t>BioTek</w:t>
      </w:r>
      <w:proofErr w:type="spellEnd"/>
      <w:r w:rsidRPr="0065056E">
        <w:rPr>
          <w:lang w:val="en-US"/>
        </w:rPr>
        <w:t xml:space="preserve"> Winooski, VT) at </w:t>
      </w:r>
      <w:proofErr w:type="spellStart"/>
      <w:r w:rsidRPr="0065056E">
        <w:rPr>
          <w:rFonts w:cstheme="minorHAnsi"/>
          <w:lang w:val="en-US"/>
        </w:rPr>
        <w:t>λ</w:t>
      </w:r>
      <w:r w:rsidRPr="0065056E">
        <w:rPr>
          <w:rFonts w:cstheme="minorHAnsi"/>
          <w:vertAlign w:val="subscript"/>
          <w:lang w:val="en-US"/>
        </w:rPr>
        <w:t>ex</w:t>
      </w:r>
      <w:proofErr w:type="spellEnd"/>
      <w:r w:rsidRPr="0065056E">
        <w:rPr>
          <w:lang w:val="en-US"/>
        </w:rPr>
        <w:t xml:space="preserve"> = 485 nm and </w:t>
      </w:r>
      <w:proofErr w:type="spellStart"/>
      <w:r w:rsidRPr="0065056E">
        <w:rPr>
          <w:rFonts w:cstheme="minorHAnsi"/>
          <w:lang w:val="en-US"/>
        </w:rPr>
        <w:t>λ</w:t>
      </w:r>
      <w:r w:rsidRPr="0065056E">
        <w:rPr>
          <w:rFonts w:cstheme="minorHAnsi"/>
          <w:vertAlign w:val="subscript"/>
          <w:lang w:val="en-US"/>
        </w:rPr>
        <w:t>em</w:t>
      </w:r>
      <w:proofErr w:type="spellEnd"/>
      <w:r w:rsidRPr="0065056E">
        <w:rPr>
          <w:lang w:val="en-US"/>
        </w:rPr>
        <w:t xml:space="preserve"> = 528 nm</w:t>
      </w:r>
      <w:r>
        <w:rPr>
          <w:lang w:val="en-US"/>
        </w:rPr>
        <w:t xml:space="preserve">, yielding a lower limit of detection </w:t>
      </w:r>
      <w:proofErr w:type="spellStart"/>
      <w:r w:rsidRPr="00587461">
        <w:rPr>
          <w:lang w:val="en-US"/>
        </w:rPr>
        <w:t>LoD</w:t>
      </w:r>
      <w:proofErr w:type="spellEnd"/>
      <w:r w:rsidRPr="00587461">
        <w:rPr>
          <w:lang w:val="en-US"/>
        </w:rPr>
        <w:t xml:space="preserve"> = </w:t>
      </w:r>
      <w:r w:rsidRPr="0038565A">
        <w:rPr>
          <w:lang w:val="en-US"/>
        </w:rPr>
        <w:t xml:space="preserve">0.74 </w:t>
      </w:r>
      <w:proofErr w:type="spellStart"/>
      <w:r w:rsidRPr="0038565A">
        <w:rPr>
          <w:lang w:val="en-US"/>
        </w:rPr>
        <w:t>nM</w:t>
      </w:r>
      <w:proofErr w:type="spellEnd"/>
      <w:r w:rsidRPr="0038565A">
        <w:rPr>
          <w:lang w:val="en-US"/>
        </w:rPr>
        <w:t xml:space="preserve"> and a lower limit of quantification </w:t>
      </w:r>
      <w:proofErr w:type="spellStart"/>
      <w:r w:rsidRPr="0038565A">
        <w:rPr>
          <w:lang w:val="en-US"/>
        </w:rPr>
        <w:t>LoQ</w:t>
      </w:r>
      <w:proofErr w:type="spellEnd"/>
      <w:r w:rsidRPr="0038565A">
        <w:rPr>
          <w:lang w:val="en-US"/>
        </w:rPr>
        <w:t xml:space="preserve"> = 2.25</w:t>
      </w:r>
      <w:r w:rsidRPr="0065056E">
        <w:rPr>
          <w:lang w:val="en-US"/>
        </w:rPr>
        <w:t xml:space="preserve"> </w:t>
      </w:r>
      <w:proofErr w:type="spellStart"/>
      <w:r w:rsidRPr="0065056E">
        <w:rPr>
          <w:lang w:val="en-US"/>
        </w:rPr>
        <w:t>nM</w:t>
      </w:r>
      <w:proofErr w:type="spellEnd"/>
      <w:r w:rsidRPr="0065056E">
        <w:rPr>
          <w:lang w:val="en-US"/>
        </w:rPr>
        <w:t xml:space="preserve"> </w:t>
      </w:r>
      <w:r w:rsidRPr="00123210">
        <w:rPr>
          <w:lang w:val="en-US"/>
        </w:rPr>
        <w:t>(n=40)</w:t>
      </w:r>
      <w:r>
        <w:rPr>
          <w:lang w:val="en-US"/>
        </w:rPr>
        <w:t xml:space="preserve"> (Suppl. Fig. 2). </w:t>
      </w:r>
      <w:r w:rsidR="00074585">
        <w:t xml:space="preserve">Controls were performed to evaluate the potential interference of molecules co-injected with BR by adding them to serially diluted standard solutions </w:t>
      </w:r>
      <w:r w:rsidR="00074585" w:rsidRPr="00074585">
        <w:rPr>
          <w:lang w:val="en-US"/>
        </w:rPr>
        <w:t xml:space="preserve">of </w:t>
      </w:r>
      <w:r w:rsidR="00074585">
        <w:t>BR</w:t>
      </w:r>
      <w:r w:rsidRPr="0065056E">
        <w:rPr>
          <w:lang w:val="en-US"/>
        </w:rPr>
        <w:t xml:space="preserve"> </w:t>
      </w:r>
      <w:r>
        <w:rPr>
          <w:lang w:val="en-US"/>
        </w:rPr>
        <w:t xml:space="preserve">(Suppl. Fig. 2). </w:t>
      </w:r>
      <w:r w:rsidRPr="0065056E">
        <w:rPr>
          <w:lang w:val="en-US"/>
        </w:rPr>
        <w:t xml:space="preserve"> </w:t>
      </w:r>
      <w:r w:rsidR="002A3746">
        <w:t xml:space="preserve">Immediately after collection, fractions of hepatic venous effluent (0.2 mL) were transferred to the multi-well plates containing HUG (0.4 mg/mL) to prevent </w:t>
      </w:r>
      <w:r w:rsidR="002A3746" w:rsidRPr="002A3746">
        <w:rPr>
          <w:lang w:val="en-US"/>
        </w:rPr>
        <w:t>decay</w:t>
      </w:r>
      <w:r w:rsidR="002A3746">
        <w:t xml:space="preserve"> of trace amounts of BR in the perfusion solution</w:t>
      </w:r>
      <w:r w:rsidRPr="0065056E">
        <w:rPr>
          <w:lang w:val="en-US"/>
        </w:rPr>
        <w:t xml:space="preserve">. </w:t>
      </w:r>
      <w:r w:rsidR="002A3746">
        <w:t>The covered multi-well plate was incubated at T = 25°C for 1 hour and the emission fluorescence was recorded</w:t>
      </w:r>
      <w:r w:rsidRPr="0065056E">
        <w:rPr>
          <w:lang w:val="en-US"/>
        </w:rPr>
        <w:t xml:space="preserve">. </w:t>
      </w:r>
      <w:r w:rsidR="00247337">
        <w:t>Then, BRG present in the same samples was analyzed by adding 0.01 mL (8 IU) of β-glucuronidase (Sigma) to each well, including the wells containing the standard solutions BR, and keeping the plate at T = 25°C</w:t>
      </w:r>
      <w:r w:rsidRPr="0065056E">
        <w:rPr>
          <w:lang w:val="en-US"/>
        </w:rPr>
        <w:t xml:space="preserve">. </w:t>
      </w:r>
      <w:r w:rsidR="00247337">
        <w:t xml:space="preserve">Emission fluorescence was recorded 2 hours later as described above. The multiwell plate was stored covered at 4°C overnight and </w:t>
      </w:r>
      <w:r w:rsidR="00247337">
        <w:lastRenderedPageBreak/>
        <w:t>the fluorescence was recorded again</w:t>
      </w:r>
      <w:r w:rsidR="00247337" w:rsidRPr="00247337">
        <w:rPr>
          <w:lang w:val="en-US"/>
        </w:rPr>
        <w:t xml:space="preserve"> </w:t>
      </w:r>
      <w:r>
        <w:rPr>
          <w:lang w:val="en-US"/>
        </w:rPr>
        <w:t xml:space="preserve">(Suppl. Fig. 2). </w:t>
      </w:r>
      <w:r w:rsidR="00247337">
        <w:t>The value of the last reading represents the total bilirubin concentration (BR + BRG) and allows the calculation of the BRG concentration</w:t>
      </w:r>
      <w:r w:rsidR="00247337" w:rsidRPr="00247337">
        <w:rPr>
          <w:lang w:val="en-US"/>
        </w:rPr>
        <w:t xml:space="preserve">. </w:t>
      </w:r>
      <w:r w:rsidR="001F0DAF">
        <w:t>See protocol</w:t>
      </w:r>
      <w:r w:rsidR="001F0DAF">
        <w:rPr>
          <w:lang w:val="en-GB"/>
        </w:rPr>
        <w:t xml:space="preserve"> </w:t>
      </w:r>
      <w:r w:rsidR="001F0DAF">
        <w:rPr>
          <w:lang w:val="en-GB"/>
        </w:rPr>
        <w:fldChar w:fldCharType="begin" w:fldLock="1"/>
      </w:r>
      <w:r w:rsidR="001F0DAF">
        <w:rPr>
          <w:lang w:val="en-GB"/>
        </w:rPr>
        <w:instrText>ADDIN CSL_CITATION {"citationItems":[{"id":"ITEM-1","itemData":{"DOI":"10.21203/rs.3.pex-1698/v1","ISSN":"2693-5015","abstract":"We present a protocol for the study of bilirubin uptake in the isolated and perfused rat liver. The liver is perfused with an albumin-free saline buffered solution supplemented with glucose, pyruvate and lactate, in the absence of oxygen, at a physiologically low flow rate. Fractions of the venous effluent are collected and analyzed for bilirubin, bilirubin glucuronide and biomarkers of liver integrity. The liver preparation is viable and intact for 1 h after isolation from the general circulation, with constant levels of both bilirubin and bilirubin glucuronide (&amp;amp;lt; 2 nM) in the effluent. Up to 12 boli of 10 nmol bilirubin can be sequentially injected into the portal vein without and with molecules that target sinusoidal membrane transporters of organic anions. Selective inhibition of bilirubin or bilirubin glucuronide uptake is detected as transient peaks in the effluent (Cmax up 6 to 60 nM). This protocol allows collecting repeated observations in the same liver, thus reducing the animal number by a factor of 10.","author":[{"dropping-particle":"","family":"Stebel","given":"Marco","non-dropping-particle":"","parse-names":false,"suffix":""},{"dropping-particle":"","family":"Medic","given":"Nevenka","non-dropping-particle":"","parse-names":false,"suffix":""},{"dropping-particle":"","family":"Pelizzo","given":"Paola","non-dropping-particle":"","parse-names":false,"suffix":""},{"dropping-particle":"","family":"Sist","given":"Paola","non-dropping-particle":"","parse-names":false,"suffix":""},{"dropping-particle":"","family":"Tramer","given":"Federica","non-dropping-particle":"","parse-names":false,"suffix":""},{"dropping-particle":"","family":"Passamonti","given":"Sabina","non-dropping-particle":"","parse-names":false,"suffix":""}],"container-title":"Protocol Exchange","id":"ITEM-1","issued":{"date-parts":[["2021"]]},"title":"Protocol for the study of hepatic bilirubin uptake in the isolated perfused rat liver","type":"report"},"uris":["http://www.mendeley.com/documents/?uuid=ac376d30-9a59-44af-a74f-4319f00d6918"]}],"mendeley":{"formattedCitation":"[3]","plainTextFormattedCitation":"[3]","previouslyFormattedCitation":"[3]"},"properties":{"noteIndex":0},"schema":"https://github.com/citation-style-language/schema/raw/master/csl-citation.json"}</w:instrText>
      </w:r>
      <w:r w:rsidR="001F0DAF">
        <w:rPr>
          <w:lang w:val="en-GB"/>
        </w:rPr>
        <w:fldChar w:fldCharType="separate"/>
      </w:r>
      <w:r w:rsidR="001F0DAF" w:rsidRPr="00573A04">
        <w:rPr>
          <w:noProof/>
          <w:lang w:val="en-GB"/>
        </w:rPr>
        <w:t>[3]</w:t>
      </w:r>
      <w:r w:rsidR="001F0DAF">
        <w:rPr>
          <w:lang w:val="en-GB"/>
        </w:rPr>
        <w:fldChar w:fldCharType="end"/>
      </w:r>
      <w:r w:rsidR="001F0DAF">
        <w:rPr>
          <w:lang w:val="en-GB"/>
        </w:rPr>
        <w:t xml:space="preserve"> </w:t>
      </w:r>
      <w:r w:rsidR="001F0DAF">
        <w:t>for further details</w:t>
      </w:r>
      <w:r w:rsidR="001F0DAF">
        <w:rPr>
          <w:lang w:val="en-GB"/>
        </w:rPr>
        <w:t>.</w:t>
      </w:r>
    </w:p>
    <w:p w14:paraId="29D0F4C4" w14:textId="163EF287" w:rsidR="004B0754" w:rsidRDefault="004B0754" w:rsidP="003B76E2">
      <w:pPr>
        <w:jc w:val="both"/>
        <w:rPr>
          <w:lang w:val="en-GB"/>
        </w:rPr>
      </w:pPr>
    </w:p>
    <w:p w14:paraId="50CB9392" w14:textId="23F08134" w:rsidR="0059279B" w:rsidRPr="0059279B" w:rsidRDefault="0059279B" w:rsidP="003B76E2">
      <w:pPr>
        <w:jc w:val="both"/>
        <w:rPr>
          <w:rFonts w:asciiTheme="majorHAnsi" w:eastAsiaTheme="majorEastAsia" w:hAnsiTheme="majorHAnsi" w:cstheme="majorBidi"/>
          <w:color w:val="2F5496" w:themeColor="accent1" w:themeShade="BF"/>
          <w:sz w:val="26"/>
          <w:szCs w:val="26"/>
        </w:rPr>
      </w:pPr>
      <w:r w:rsidRPr="0059279B">
        <w:rPr>
          <w:rFonts w:asciiTheme="majorHAnsi" w:eastAsiaTheme="majorEastAsia" w:hAnsiTheme="majorHAnsi" w:cstheme="majorBidi"/>
          <w:color w:val="2F5496" w:themeColor="accent1" w:themeShade="BF"/>
          <w:sz w:val="26"/>
          <w:szCs w:val="26"/>
        </w:rPr>
        <w:t>Analysis of anthocyanins and taurocholate</w:t>
      </w:r>
    </w:p>
    <w:p w14:paraId="569E45DE" w14:textId="77777777" w:rsidR="005D3268" w:rsidRDefault="005D3268" w:rsidP="003B76E2">
      <w:pPr>
        <w:jc w:val="both"/>
      </w:pPr>
      <w:r>
        <w:t>C3G and peonidin 3-glucoside (P3G) in perfusion effluent were analyzed using HPLC-DAD</w:t>
      </w:r>
    </w:p>
    <w:p w14:paraId="3EA18A44" w14:textId="2664557E" w:rsidR="008C25E9" w:rsidRDefault="004B0754" w:rsidP="003B76E2">
      <w:pPr>
        <w:jc w:val="both"/>
      </w:pPr>
      <w:r>
        <w:rPr>
          <w:lang w:val="en-US"/>
        </w:rPr>
        <w:fldChar w:fldCharType="begin" w:fldLock="1"/>
      </w:r>
      <w:r w:rsidR="00D82436">
        <w:rPr>
          <w:lang w:val="en-US"/>
        </w:rPr>
        <w:instrText>ADDIN CSL_CITATION {"citationItems":[{"id":"ITEM-1","itemData":{"PMID":"18655007","abstract":"Anthocyanins are among the most common flavonoids in the human diet. In spite of their very low bioavailability, anthocyanins are indicated as active in preventing the progress of cardiovascular and neurodegenerative diseases, obesity, inflammation, and cancer. Any piece of knowledge concerning absorption, tissue distribution, metabolism, and excretion of dietary anthocyanins is expected to help understanding the apparent paradox between their low concentrations in cells and their bioactivity. The aim of this work was to investigate the renal uptake of dietary anthocyanins and the underlying molecular mechanism. A solution containing anthocyanins extracted from grape (Vitis vinifera) was introduced into the isolated stomach of anesthetized rats; after both 10 and 30 min, plasma, liver, and kidney were analyzed for their anthocyanin contents. While anthocyanins in the liver were at apparent equilibrium with plasma both after 10 and 30 min, kidney anthocyanins were 3- and 2.3-fold higher than in plasma, after 10 and 30 min, respectively. Since the transport activity of the bilitranslocase in kidney basolateral membrane vesicles was competitively inhibited by malvidin 3-glucoside (K(i) = 4.8 +/- 0.2 microM), the anthocyanin uptake from blood into kidney tubular cells is likely to be mediated by the kidney isoform of this organic anion membrane transporter.","author":[{"dropping-particle":"","family":"Vanzo","given":"Andreja","non-dropping-particle":"","parse-names":false,"suffix":""},{"dropping-particle":"","family":"Terdoslavich","given":"Michela","non-dropping-particle":"","parse-names":false,"suffix":""},{"dropping-particle":"","family":"Brandoni","given":"Anabel","non-dropping-particle":"","parse-names":false,"suffix":""},{"dropping-particle":"","family":"Torres","given":"Adriana M.","non-dropping-particle":"","parse-names":false,"suffix":""},{"dropping-particle":"","family":"Vrhovsek","given":"Urska","non-dropping-particle":"","parse-names":false,"suffix":""},{"dropping-particle":"","family":"Passamonti","given":"Sabina","non-dropping-particle":"","parse-names":false,"suffix":""}],"container-title":"Molecular Nutrition and Food Research","id":"ITEM-1","issue":"10","issued":{"date-parts":[["2008"]]},"page":"1106-1116","title":"Uptake of grape anthocyanins into the rat kidney and the involvement of bilitranslocase","type":"article-journal","volume":"52"},"uris":["http://www.mendeley.com/documents/?uuid=a296c9ab-cf95-4f59-bf4d-02f9dbf2ccec"]}],"mendeley":{"formattedCitation":"[22]","plainTextFormattedCitation":"[22]","previouslyFormattedCitation":"[22]"},"properties":{"noteIndex":0},"schema":"https://github.com/citation-style-language/schema/raw/master/csl-citation.json"}</w:instrText>
      </w:r>
      <w:r>
        <w:rPr>
          <w:lang w:val="en-US"/>
        </w:rPr>
        <w:fldChar w:fldCharType="separate"/>
      </w:r>
      <w:r w:rsidR="008C0DA1" w:rsidRPr="008C0DA1">
        <w:rPr>
          <w:noProof/>
          <w:lang w:val="en-US"/>
        </w:rPr>
        <w:t>[22]</w:t>
      </w:r>
      <w:r>
        <w:rPr>
          <w:lang w:val="en-US"/>
        </w:rPr>
        <w:fldChar w:fldCharType="end"/>
      </w:r>
      <w:r>
        <w:rPr>
          <w:lang w:val="en-US"/>
        </w:rPr>
        <w:t xml:space="preserve">. </w:t>
      </w:r>
      <w:r w:rsidR="008C25E9">
        <w:t>Samples (0.1 mL) were mixed with methanol (0.1 mL) and stored at -20°C. At the time of analysis, samples were acidified with 1 µL of 70% perchloric acid, filtered through a 0.22 µ PDVF filter (Millipore Corporation, MA, USA) and injected directly into a Purospher C18 column (250x4.6 mm, 5 µm; Merck, Darmstadt, Germany) with a Purospher C18 guard column (4x4 mm, 5 µm) on an 1100 HPLC-DAD (Agilent Technologies, Palo Alto, USA).</w:t>
      </w:r>
      <w:r w:rsidR="008C25E9">
        <w:rPr>
          <w:lang w:val="en-US"/>
        </w:rPr>
        <w:t xml:space="preserve"> </w:t>
      </w:r>
      <w:r w:rsidR="008C25E9">
        <w:t xml:space="preserve">Anthocyanins were detected and quantified using a slightly modified method as described in </w:t>
      </w:r>
    </w:p>
    <w:p w14:paraId="5BB65ED2" w14:textId="130C88E1" w:rsidR="004B0754" w:rsidRPr="008C25E9" w:rsidRDefault="004B0754" w:rsidP="003B76E2">
      <w:pPr>
        <w:jc w:val="both"/>
      </w:pPr>
      <w:r>
        <w:rPr>
          <w:lang w:val="en-GB"/>
        </w:rPr>
        <w:fldChar w:fldCharType="begin" w:fldLock="1"/>
      </w:r>
      <w:r w:rsidR="00D82436">
        <w:rPr>
          <w:lang w:val="en-GB"/>
        </w:rPr>
        <w:instrText>ADDIN CSL_CITATION {"citationItems":[{"id":"ITEM-1","itemData":{"PMID":"18655007","abstract":"Anthocyanins are among the most common flavonoids in the human diet. In spite of their very low bioavailability, anthocyanins are indicated as active in preventing the progress of cardiovascular and neurodegenerative diseases, obesity, inflammation, and cancer. Any piece of knowledge concerning absorption, tissue distribution, metabolism, and excretion of dietary anthocyanins is expected to help understanding the apparent paradox between their low concentrations in cells and their bioactivity. The aim of this work was to investigate the renal uptake of dietary anthocyanins and the underlying molecular mechanism. A solution containing anthocyanins extracted from grape (Vitis vinifera) was introduced into the isolated stomach of anesthetized rats; after both 10 and 30 min, plasma, liver, and kidney were analyzed for their anthocyanin contents. While anthocyanins in the liver were at apparent equilibrium with plasma both after 10 and 30 min, kidney anthocyanins were 3- and 2.3-fold higher than in plasma, after 10 and 30 min, respectively. Since the transport activity of the bilitranslocase in kidney basolateral membrane vesicles was competitively inhibited by malvidin 3-glucoside (K(i) = 4.8 +/- 0.2 microM), the anthocyanin uptake from blood into kidney tubular cells is likely to be mediated by the kidney isoform of this organic anion membrane transporter.","author":[{"dropping-particle":"","family":"Vanzo","given":"Andreja","non-dropping-particle":"","parse-names":false,"suffix":""},{"dropping-particle":"","family":"Terdoslavich","given":"Michela","non-dropping-particle":"","parse-names":false,"suffix":""},{"dropping-particle":"","family":"Brandoni","given":"Anabel","non-dropping-particle":"","parse-names":false,"suffix":""},{"dropping-particle":"","family":"Torres","given":"Adriana M.","non-dropping-particle":"","parse-names":false,"suffix":""},{"dropping-particle":"","family":"Vrhovsek","given":"Urska","non-dropping-particle":"","parse-names":false,"suffix":""},{"dropping-particle":"","family":"Passamonti","given":"Sabina","non-dropping-particle":"","parse-names":false,"suffix":""}],"container-title":"Molecular Nutrition and Food Research","id":"ITEM-1","issue":"10","issued":{"date-parts":[["2008"]]},"page":"1106-1116","title":"Uptake of grape anthocyanins into the rat kidney and the involvement of bilitranslocase","type":"article-journal","volume":"52"},"uris":["http://www.mendeley.com/documents/?uuid=a296c9ab-cf95-4f59-bf4d-02f9dbf2ccec"]}],"mendeley":{"formattedCitation":"[22]","plainTextFormattedCitation":"[22]","previouslyFormattedCitation":"[22]"},"properties":{"noteIndex":0},"schema":"https://github.com/citation-style-language/schema/raw/master/csl-citation.json"}</w:instrText>
      </w:r>
      <w:r>
        <w:rPr>
          <w:lang w:val="en-GB"/>
        </w:rPr>
        <w:fldChar w:fldCharType="separate"/>
      </w:r>
      <w:r w:rsidR="008C0DA1" w:rsidRPr="008C0DA1">
        <w:rPr>
          <w:noProof/>
          <w:lang w:val="en-GB"/>
        </w:rPr>
        <w:t>[22]</w:t>
      </w:r>
      <w:r>
        <w:rPr>
          <w:lang w:val="en-GB"/>
        </w:rPr>
        <w:fldChar w:fldCharType="end"/>
      </w:r>
      <w:r w:rsidRPr="00864170">
        <w:rPr>
          <w:lang w:val="en-GB"/>
        </w:rPr>
        <w:t xml:space="preserve">. </w:t>
      </w:r>
      <w:r w:rsidR="008C25E9">
        <w:t>The mobile phase consisted of 0.3% perchloric acid in Milli-Q water (phase A) and 100% methanol (phase B). The separation was carried out at T = 35 °C. Linear gradient conditions started at 28.5% B, reached 42% B in 25 min, then 100% B in 1 min, and remained at 100% B for 3 min</w:t>
      </w:r>
      <w:r w:rsidRPr="00864170">
        <w:rPr>
          <w:lang w:val="en-GB"/>
        </w:rPr>
        <w:t xml:space="preserve">. </w:t>
      </w:r>
      <w:r w:rsidR="003D78F7">
        <w:t>The column was equilibrated for 6 min before each analysis. The flow rate was 0.55 mL min-1 and the injection volume was 70 µl. UV-Vis spectra were recorded from 200 to 700 nm. Identification of the peaks was based on both the retention times and the UV-Vis spectra of the pure reference compounds. Quantification of C3G and P3G was based on the peak areas</w:t>
      </w:r>
      <w:r w:rsidR="003D78F7" w:rsidRPr="003D78F7">
        <w:rPr>
          <w:lang w:val="en-US"/>
        </w:rPr>
        <w:t xml:space="preserve"> a</w:t>
      </w:r>
      <w:r w:rsidR="003D78F7">
        <w:rPr>
          <w:lang w:val="en-US"/>
        </w:rPr>
        <w:t xml:space="preserve">t </w:t>
      </w:r>
      <w:r>
        <w:rPr>
          <w:lang w:val="en-GB"/>
        </w:rPr>
        <w:sym w:font="Symbol" w:char="F06C"/>
      </w:r>
      <w:r>
        <w:rPr>
          <w:lang w:val="en-GB"/>
        </w:rPr>
        <w:t>=</w:t>
      </w:r>
      <w:r w:rsidRPr="00864170">
        <w:rPr>
          <w:lang w:val="en-GB"/>
        </w:rPr>
        <w:t>520 nm and concentrations were estimated using the external standard method.</w:t>
      </w:r>
    </w:p>
    <w:p w14:paraId="2B40A7D2" w14:textId="77777777" w:rsidR="00953EB3" w:rsidRDefault="004B0754" w:rsidP="003B76E2">
      <w:pPr>
        <w:jc w:val="both"/>
      </w:pPr>
      <w:r>
        <w:rPr>
          <w:bCs/>
          <w:lang w:val="en-US"/>
        </w:rPr>
        <w:t xml:space="preserve">An </w:t>
      </w:r>
      <w:r w:rsidRPr="003E13C5">
        <w:rPr>
          <w:lang w:val="en-US"/>
        </w:rPr>
        <w:t>Ultra High Performance Liquid Chromatography-</w:t>
      </w:r>
      <w:proofErr w:type="spellStart"/>
      <w:r w:rsidRPr="003E13C5">
        <w:rPr>
          <w:lang w:val="en-US"/>
        </w:rPr>
        <w:t>ElectroSpray</w:t>
      </w:r>
      <w:proofErr w:type="spellEnd"/>
      <w:r w:rsidRPr="003E13C5">
        <w:rPr>
          <w:lang w:val="en-US"/>
        </w:rPr>
        <w:t xml:space="preserve"> Ionization-tandem mass spectrometry</w:t>
      </w:r>
      <w:r>
        <w:rPr>
          <w:lang w:val="en-US"/>
        </w:rPr>
        <w:t xml:space="preserve"> </w:t>
      </w:r>
      <w:r w:rsidR="003D78F7">
        <w:t>method (UHPLC-ESI-MS /MS) was used for the simultaneous analysis of taurocholate, C3G, and P3G in the perfusion effluent fractions</w:t>
      </w:r>
      <w:r>
        <w:rPr>
          <w:bCs/>
          <w:lang w:val="en-US"/>
        </w:rPr>
        <w:t xml:space="preserve">. </w:t>
      </w:r>
      <w:r w:rsidR="0030565C">
        <w:t xml:space="preserve">Samples (0.18 mL) were added to a 96-well plate together with 0.02 mL of 1 ppm taurocholate-d5 in methanol and mixed on an </w:t>
      </w:r>
      <w:r w:rsidRPr="00763591">
        <w:rPr>
          <w:lang w:val="en-US"/>
        </w:rPr>
        <w:t>Eppendorf shaker (Eppendorf, Milan, Italy)</w:t>
      </w:r>
      <w:r>
        <w:rPr>
          <w:lang w:val="en-US"/>
        </w:rPr>
        <w:t xml:space="preserve"> at 300 rpm for 5 min.</w:t>
      </w:r>
      <w:r>
        <w:rPr>
          <w:b/>
          <w:lang w:val="en-US"/>
        </w:rPr>
        <w:t xml:space="preserve"> </w:t>
      </w:r>
      <w:r>
        <w:rPr>
          <w:lang w:val="en-US"/>
        </w:rPr>
        <w:t>Calibration curves (15 points) were prepared in methanol by serial dilution of the mother solution (5 ppm taurocholate, 1.5 ppm taurocholate-d</w:t>
      </w:r>
      <w:r>
        <w:rPr>
          <w:vertAlign w:val="subscript"/>
          <w:lang w:val="en-US"/>
        </w:rPr>
        <w:t>5</w:t>
      </w:r>
      <w:r>
        <w:rPr>
          <w:lang w:val="en-US"/>
        </w:rPr>
        <w:t>, and 2.5 ppm of both C3G and P3G).</w:t>
      </w:r>
      <w:r>
        <w:rPr>
          <w:bCs/>
          <w:lang w:val="en-US"/>
        </w:rPr>
        <w:t xml:space="preserve"> </w:t>
      </w:r>
      <w:r w:rsidR="00344DDC">
        <w:t>Analyses were performed using a</w:t>
      </w:r>
      <w:r>
        <w:rPr>
          <w:lang w:val="en-US"/>
        </w:rPr>
        <w:t xml:space="preserve"> AB </w:t>
      </w:r>
      <w:proofErr w:type="spellStart"/>
      <w:r>
        <w:rPr>
          <w:lang w:val="en-US"/>
        </w:rPr>
        <w:t>Sciex</w:t>
      </w:r>
      <w:proofErr w:type="spellEnd"/>
      <w:r>
        <w:rPr>
          <w:lang w:val="en-US"/>
        </w:rPr>
        <w:t xml:space="preserve"> 6500+ triple quadrupole coupled to a Shimadzu LC-30AD pump (Ab </w:t>
      </w:r>
      <w:proofErr w:type="spellStart"/>
      <w:r>
        <w:rPr>
          <w:lang w:val="en-US"/>
        </w:rPr>
        <w:t>Sciex</w:t>
      </w:r>
      <w:proofErr w:type="spellEnd"/>
      <w:r>
        <w:rPr>
          <w:lang w:val="en-US"/>
        </w:rPr>
        <w:t xml:space="preserve">, Milan, Italy). Chromatographic separation was performed on </w:t>
      </w:r>
      <w:proofErr w:type="spellStart"/>
      <w:r>
        <w:rPr>
          <w:lang w:val="en-US"/>
        </w:rPr>
        <w:t>Acquity</w:t>
      </w:r>
      <w:proofErr w:type="spellEnd"/>
      <w:r>
        <w:rPr>
          <w:lang w:val="en-US"/>
        </w:rPr>
        <w:t xml:space="preserve"> Premier HSST3 2.1 x 15</w:t>
      </w:r>
      <w:r w:rsidRPr="002C1996">
        <w:rPr>
          <w:lang w:val="en-US"/>
        </w:rPr>
        <w:t xml:space="preserve">0 mm (1.8 µm particle size) </w:t>
      </w:r>
      <w:r>
        <w:rPr>
          <w:lang w:val="en-US"/>
        </w:rPr>
        <w:t>(</w:t>
      </w:r>
      <w:r w:rsidRPr="002C1996">
        <w:rPr>
          <w:lang w:val="en-US"/>
        </w:rPr>
        <w:t>Waters</w:t>
      </w:r>
      <w:r>
        <w:rPr>
          <w:lang w:val="en-US"/>
        </w:rPr>
        <w:t xml:space="preserve">, </w:t>
      </w:r>
      <w:r w:rsidRPr="002C1996">
        <w:rPr>
          <w:lang w:val="en-US"/>
        </w:rPr>
        <w:t xml:space="preserve">Milan, Italy). </w:t>
      </w:r>
      <w:r>
        <w:rPr>
          <w:lang w:val="en-US"/>
        </w:rPr>
        <w:t>The m</w:t>
      </w:r>
      <w:r w:rsidRPr="002C1996">
        <w:rPr>
          <w:lang w:val="en-US"/>
        </w:rPr>
        <w:t xml:space="preserve">obile phase was 0.1% </w:t>
      </w:r>
      <w:r>
        <w:rPr>
          <w:lang w:val="en-US"/>
        </w:rPr>
        <w:t xml:space="preserve">formic acid, </w:t>
      </w:r>
      <w:r w:rsidR="00BA41BD">
        <w:t>either in water (phase A) or acetonitrile</w:t>
      </w:r>
      <w:r w:rsidR="00BA41BD" w:rsidRPr="00BA41BD">
        <w:rPr>
          <w:lang w:val="en-US"/>
        </w:rPr>
        <w:t xml:space="preserve"> </w:t>
      </w:r>
      <w:r>
        <w:rPr>
          <w:lang w:val="en-US"/>
        </w:rPr>
        <w:t>(phase B)</w:t>
      </w:r>
      <w:r w:rsidRPr="002C1996">
        <w:rPr>
          <w:lang w:val="en-US"/>
        </w:rPr>
        <w:t>.</w:t>
      </w:r>
      <w:r>
        <w:rPr>
          <w:lang w:val="en-US"/>
        </w:rPr>
        <w:t xml:space="preserve"> The linear gradient at a constant flow of 0.4 mL/min started at 20% B and reached 100% B at 2 min</w:t>
      </w:r>
      <w:r w:rsidR="00BA41BD">
        <w:rPr>
          <w:lang w:val="en-US"/>
        </w:rPr>
        <w:t xml:space="preserve">. </w:t>
      </w:r>
      <w:r w:rsidR="00BA41BD">
        <w:t>It was continued for 1.30 min, then the column was re-equilibrated at the original conditions</w:t>
      </w:r>
      <w:r w:rsidR="00102599" w:rsidRPr="00102599">
        <w:t xml:space="preserve"> </w:t>
      </w:r>
      <w:r w:rsidR="00102599">
        <w:t>The total analysis time was 5.80 minutes. ESI was run in positive ion mode to detect cyanidin, C3G, peonidin and P3G and in negative mode to detect taurocholate and taurocholate-</w:t>
      </w:r>
      <w:r>
        <w:rPr>
          <w:lang w:val="en-US"/>
        </w:rPr>
        <w:t>d</w:t>
      </w:r>
      <w:r>
        <w:rPr>
          <w:vertAlign w:val="subscript"/>
          <w:lang w:val="en-US"/>
        </w:rPr>
        <w:t>5</w:t>
      </w:r>
      <w:r>
        <w:rPr>
          <w:lang w:val="en-US"/>
        </w:rPr>
        <w:t xml:space="preserve">. </w:t>
      </w:r>
      <w:r w:rsidR="00953EB3">
        <w:t>The curtain gas (CUR) was set at 35 PSI, the ion source (IS) gas 1 and 2 were set at 45 and 55 PSI, respectively; CUR and IS were air; collision gas was nitrogen</w:t>
      </w:r>
      <w:r w:rsidRPr="00763591">
        <w:rPr>
          <w:lang w:val="en-US"/>
        </w:rPr>
        <w:t xml:space="preserve">. </w:t>
      </w:r>
      <w:r w:rsidR="00953EB3">
        <w:t>The source temperature was 400°C; the ion spray voltage was 5500 V in positive ion mode and 4500 V in negative ion mode</w:t>
      </w:r>
      <w:r w:rsidRPr="00763591">
        <w:rPr>
          <w:lang w:val="en-US"/>
        </w:rPr>
        <w:t xml:space="preserve">. </w:t>
      </w:r>
      <w:r w:rsidR="00953EB3">
        <w:t>Compound-dependent parameters, such as Declustering Potential (DP), Entrance Potential (EP), Collision Energy (CE), and Collision-cell exit potential (CXP), were determined by direct infusion of the pure standard. Analytical details can be found in Suppl. Table 2.</w:t>
      </w:r>
    </w:p>
    <w:p w14:paraId="0219E5E9" w14:textId="6A72E97F" w:rsidR="00760B34" w:rsidRPr="003D78F7" w:rsidRDefault="00760B34" w:rsidP="003B76E2">
      <w:pPr>
        <w:jc w:val="both"/>
      </w:pPr>
      <w:r>
        <w:rPr>
          <w:lang w:val="en-GB"/>
        </w:rPr>
        <w:br w:type="page"/>
      </w:r>
    </w:p>
    <w:p w14:paraId="454234E3" w14:textId="4904B31D" w:rsidR="00C7188D" w:rsidRDefault="007E0949" w:rsidP="003B76E2">
      <w:pPr>
        <w:pStyle w:val="Titolo1"/>
        <w:jc w:val="both"/>
        <w:rPr>
          <w:lang w:val="en-US"/>
        </w:rPr>
      </w:pPr>
      <w:bookmarkStart w:id="13" w:name="_Toc89853420"/>
      <w:r>
        <w:rPr>
          <w:lang w:val="en-US"/>
        </w:rPr>
        <w:lastRenderedPageBreak/>
        <w:t>Supporting information</w:t>
      </w:r>
      <w:bookmarkEnd w:id="13"/>
    </w:p>
    <w:p w14:paraId="3B237B0A" w14:textId="77777777" w:rsidR="00C7188D" w:rsidRPr="00C7188D" w:rsidRDefault="00C7188D" w:rsidP="003B76E2">
      <w:pPr>
        <w:jc w:val="both"/>
        <w:rPr>
          <w:lang w:val="en-US"/>
        </w:rPr>
      </w:pPr>
    </w:p>
    <w:p w14:paraId="1A52EE69" w14:textId="7B9604C7" w:rsidR="00B3136C" w:rsidRPr="003F5771" w:rsidRDefault="00B3136C" w:rsidP="003B76E2">
      <w:pPr>
        <w:pStyle w:val="Titolo2"/>
        <w:jc w:val="both"/>
        <w:rPr>
          <w:lang w:val="en-US"/>
        </w:rPr>
      </w:pPr>
      <w:bookmarkStart w:id="14" w:name="_Toc89853421"/>
      <w:r w:rsidRPr="003F5771">
        <w:rPr>
          <w:lang w:val="en-US"/>
        </w:rPr>
        <w:t xml:space="preserve">Table </w:t>
      </w:r>
      <w:r w:rsidR="00E65251">
        <w:rPr>
          <w:lang w:val="en-US"/>
        </w:rPr>
        <w:t>S</w:t>
      </w:r>
      <w:r>
        <w:rPr>
          <w:lang w:val="en-US"/>
        </w:rPr>
        <w:t>1</w:t>
      </w:r>
      <w:r w:rsidR="007928F9">
        <w:rPr>
          <w:lang w:val="en-US"/>
        </w:rPr>
        <w:t xml:space="preserve">. </w:t>
      </w:r>
      <w:r>
        <w:rPr>
          <w:lang w:val="en-US"/>
        </w:rPr>
        <w:t xml:space="preserve">Hepatic membrane transporters for bilirubin and bilirubin glucuronide </w:t>
      </w:r>
      <w:r w:rsidR="007928F9">
        <w:rPr>
          <w:lang w:val="en-US"/>
        </w:rPr>
        <w:t xml:space="preserve">(A) </w:t>
      </w:r>
      <w:r>
        <w:rPr>
          <w:lang w:val="en-US"/>
        </w:rPr>
        <w:t>and their substrates/inhibitors</w:t>
      </w:r>
      <w:r w:rsidR="007928F9">
        <w:rPr>
          <w:lang w:val="en-US"/>
        </w:rPr>
        <w:t xml:space="preserve"> (B)</w:t>
      </w:r>
      <w:bookmarkEnd w:id="14"/>
    </w:p>
    <w:p w14:paraId="7A90EFA8" w14:textId="77777777" w:rsidR="00B3136C" w:rsidRDefault="00B3136C" w:rsidP="003B76E2">
      <w:pPr>
        <w:jc w:val="both"/>
        <w:rPr>
          <w:b/>
          <w:bCs/>
          <w:lang w:val="en-US"/>
        </w:rPr>
      </w:pPr>
    </w:p>
    <w:p w14:paraId="309BA710" w14:textId="50D13DD4" w:rsidR="00B3136C" w:rsidRPr="00815C80" w:rsidRDefault="00B3136C" w:rsidP="003B76E2">
      <w:pPr>
        <w:jc w:val="both"/>
        <w:rPr>
          <w:lang w:val="en-GB"/>
        </w:rPr>
      </w:pPr>
      <w:r w:rsidRPr="004646A9">
        <w:rPr>
          <w:b/>
          <w:bCs/>
          <w:lang w:val="en-GB"/>
        </w:rPr>
        <w:t xml:space="preserve">Table </w:t>
      </w:r>
      <w:r>
        <w:rPr>
          <w:b/>
          <w:bCs/>
          <w:lang w:val="en-GB"/>
        </w:rPr>
        <w:t>S1A.</w:t>
      </w:r>
      <w:r w:rsidRPr="004646A9">
        <w:rPr>
          <w:b/>
          <w:bCs/>
          <w:lang w:val="en-GB"/>
        </w:rPr>
        <w:t xml:space="preserve"> Sinusoidal membrane transporters of bilirubin and bilirubin glucuronide considered in this study.</w:t>
      </w:r>
      <w:r w:rsidRPr="001923AF">
        <w:rPr>
          <w:lang w:val="en-GB"/>
        </w:rPr>
        <w:t xml:space="preserve">  Codes are given by: Transporter Classification Database (TCDB), the Rat Genome Database (RGD), the Mouse Genome Database (MGI), and the HUGO Gene Nomenclature Committee (HGNC)</w:t>
      </w:r>
      <w:r>
        <w:rPr>
          <w:lang w:val="en-GB"/>
        </w:rPr>
        <w:t xml:space="preserve">. </w:t>
      </w:r>
    </w:p>
    <w:tbl>
      <w:tblPr>
        <w:tblStyle w:val="Grigliatabella"/>
        <w:tblpPr w:leftFromText="141" w:rightFromText="141" w:vertAnchor="text" w:tblpY="1"/>
        <w:tblOverlap w:val="never"/>
        <w:tblW w:w="9213" w:type="dxa"/>
        <w:tblLayout w:type="fixed"/>
        <w:tblLook w:val="04A0" w:firstRow="1" w:lastRow="0" w:firstColumn="1" w:lastColumn="0" w:noHBand="0" w:noVBand="1"/>
      </w:tblPr>
      <w:tblGrid>
        <w:gridCol w:w="1101"/>
        <w:gridCol w:w="1275"/>
        <w:gridCol w:w="2552"/>
        <w:gridCol w:w="1276"/>
        <w:gridCol w:w="1167"/>
        <w:gridCol w:w="1842"/>
      </w:tblGrid>
      <w:tr w:rsidR="00B3136C" w:rsidRPr="007D79B1" w14:paraId="1AC00FAF" w14:textId="77777777" w:rsidTr="008C0DA1">
        <w:trPr>
          <w:trHeight w:val="360"/>
        </w:trPr>
        <w:tc>
          <w:tcPr>
            <w:tcW w:w="1101" w:type="dxa"/>
            <w:noWrap/>
            <w:vAlign w:val="center"/>
            <w:hideMark/>
          </w:tcPr>
          <w:p w14:paraId="1C475E60" w14:textId="77777777" w:rsidR="00B3136C" w:rsidRPr="007D79B1" w:rsidRDefault="00B3136C" w:rsidP="003B76E2">
            <w:pPr>
              <w:jc w:val="both"/>
              <w:rPr>
                <w:b/>
                <w:sz w:val="21"/>
                <w:szCs w:val="21"/>
                <w:lang w:val="en-GB"/>
              </w:rPr>
            </w:pPr>
            <w:r w:rsidRPr="007D79B1">
              <w:rPr>
                <w:b/>
                <w:sz w:val="21"/>
                <w:szCs w:val="21"/>
                <w:lang w:val="en-GB"/>
              </w:rPr>
              <w:t>Acronym</w:t>
            </w:r>
          </w:p>
        </w:tc>
        <w:tc>
          <w:tcPr>
            <w:tcW w:w="1275" w:type="dxa"/>
            <w:noWrap/>
            <w:vAlign w:val="center"/>
            <w:hideMark/>
          </w:tcPr>
          <w:p w14:paraId="78FC3E25" w14:textId="77777777" w:rsidR="00B3136C" w:rsidRPr="007D79B1" w:rsidRDefault="00B3136C" w:rsidP="003B76E2">
            <w:pPr>
              <w:jc w:val="both"/>
              <w:rPr>
                <w:b/>
                <w:sz w:val="21"/>
                <w:szCs w:val="21"/>
                <w:lang w:val="en-GB"/>
              </w:rPr>
            </w:pPr>
            <w:r w:rsidRPr="007D79B1">
              <w:rPr>
                <w:b/>
                <w:sz w:val="21"/>
                <w:szCs w:val="21"/>
                <w:lang w:val="en-GB"/>
              </w:rPr>
              <w:t>Organisms</w:t>
            </w:r>
          </w:p>
        </w:tc>
        <w:tc>
          <w:tcPr>
            <w:tcW w:w="2552" w:type="dxa"/>
            <w:vAlign w:val="center"/>
          </w:tcPr>
          <w:p w14:paraId="7FE91743" w14:textId="77777777" w:rsidR="00B3136C" w:rsidRPr="007D79B1" w:rsidRDefault="00B3136C" w:rsidP="003B76E2">
            <w:pPr>
              <w:jc w:val="both"/>
              <w:rPr>
                <w:b/>
                <w:sz w:val="21"/>
                <w:szCs w:val="21"/>
                <w:lang w:val="en-GB"/>
              </w:rPr>
            </w:pPr>
            <w:r w:rsidRPr="007D79B1">
              <w:rPr>
                <w:b/>
                <w:sz w:val="21"/>
                <w:szCs w:val="21"/>
                <w:lang w:val="en-GB"/>
              </w:rPr>
              <w:t>Names and Synonyms</w:t>
            </w:r>
          </w:p>
        </w:tc>
        <w:tc>
          <w:tcPr>
            <w:tcW w:w="1276" w:type="dxa"/>
            <w:noWrap/>
            <w:vAlign w:val="center"/>
            <w:hideMark/>
          </w:tcPr>
          <w:p w14:paraId="2C2E4F11" w14:textId="77777777" w:rsidR="00B3136C" w:rsidRPr="007D79B1" w:rsidRDefault="00B3136C" w:rsidP="003B76E2">
            <w:pPr>
              <w:jc w:val="both"/>
              <w:rPr>
                <w:b/>
                <w:sz w:val="21"/>
                <w:szCs w:val="21"/>
                <w:lang w:val="en-GB"/>
              </w:rPr>
            </w:pPr>
            <w:r w:rsidRPr="007D79B1">
              <w:rPr>
                <w:b/>
                <w:sz w:val="21"/>
                <w:szCs w:val="21"/>
                <w:lang w:val="en-GB"/>
              </w:rPr>
              <w:t>TCDB</w:t>
            </w:r>
          </w:p>
        </w:tc>
        <w:tc>
          <w:tcPr>
            <w:tcW w:w="1167" w:type="dxa"/>
            <w:vAlign w:val="center"/>
          </w:tcPr>
          <w:p w14:paraId="079BFE0B" w14:textId="77777777" w:rsidR="00B3136C" w:rsidRDefault="00B3136C" w:rsidP="003B76E2">
            <w:pPr>
              <w:jc w:val="both"/>
              <w:rPr>
                <w:b/>
                <w:sz w:val="21"/>
                <w:szCs w:val="21"/>
                <w:lang w:val="en-US"/>
              </w:rPr>
            </w:pPr>
            <w:r w:rsidRPr="007D79B1">
              <w:rPr>
                <w:b/>
                <w:sz w:val="21"/>
                <w:szCs w:val="21"/>
                <w:lang w:val="en-US"/>
              </w:rPr>
              <w:t>RGD/</w:t>
            </w:r>
          </w:p>
          <w:p w14:paraId="066DAEB0" w14:textId="77777777" w:rsidR="00B3136C" w:rsidRPr="007D79B1" w:rsidRDefault="00B3136C" w:rsidP="003B76E2">
            <w:pPr>
              <w:jc w:val="both"/>
              <w:rPr>
                <w:b/>
                <w:sz w:val="21"/>
                <w:szCs w:val="21"/>
                <w:lang w:val="en-US"/>
              </w:rPr>
            </w:pPr>
            <w:r w:rsidRPr="007D79B1">
              <w:rPr>
                <w:b/>
                <w:sz w:val="21"/>
                <w:szCs w:val="21"/>
                <w:lang w:val="en-US"/>
              </w:rPr>
              <w:t>MGI</w:t>
            </w:r>
            <w:r>
              <w:rPr>
                <w:b/>
                <w:sz w:val="21"/>
                <w:szCs w:val="21"/>
                <w:lang w:val="en-US"/>
              </w:rPr>
              <w:t>/</w:t>
            </w:r>
            <w:r w:rsidRPr="007D79B1">
              <w:rPr>
                <w:b/>
                <w:sz w:val="21"/>
                <w:szCs w:val="21"/>
                <w:lang w:val="en-GB"/>
              </w:rPr>
              <w:t xml:space="preserve"> HGNC</w:t>
            </w:r>
          </w:p>
        </w:tc>
        <w:tc>
          <w:tcPr>
            <w:tcW w:w="1842" w:type="dxa"/>
            <w:noWrap/>
            <w:vAlign w:val="center"/>
          </w:tcPr>
          <w:p w14:paraId="38D33C60" w14:textId="77777777" w:rsidR="00B3136C" w:rsidRPr="007D79B1" w:rsidRDefault="00B3136C" w:rsidP="003B76E2">
            <w:pPr>
              <w:jc w:val="both"/>
              <w:rPr>
                <w:b/>
                <w:sz w:val="21"/>
                <w:szCs w:val="21"/>
                <w:lang w:val="en-GB"/>
              </w:rPr>
            </w:pPr>
            <w:r>
              <w:rPr>
                <w:b/>
                <w:sz w:val="21"/>
                <w:szCs w:val="21"/>
                <w:lang w:val="en-GB"/>
              </w:rPr>
              <w:t xml:space="preserve">Bilirubin interaction </w:t>
            </w:r>
            <w:r w:rsidRPr="007D79B1">
              <w:rPr>
                <w:b/>
                <w:sz w:val="21"/>
                <w:szCs w:val="21"/>
                <w:lang w:val="en-GB"/>
              </w:rPr>
              <w:t>Ref</w:t>
            </w:r>
          </w:p>
        </w:tc>
      </w:tr>
      <w:tr w:rsidR="00B3136C" w:rsidRPr="00CA5593" w14:paraId="3D932F44" w14:textId="77777777" w:rsidTr="008C0DA1">
        <w:trPr>
          <w:trHeight w:val="360"/>
        </w:trPr>
        <w:tc>
          <w:tcPr>
            <w:tcW w:w="1101" w:type="dxa"/>
            <w:noWrap/>
            <w:hideMark/>
          </w:tcPr>
          <w:p w14:paraId="55267A20" w14:textId="77777777" w:rsidR="00B3136C" w:rsidRPr="007D79B1" w:rsidRDefault="00B3136C" w:rsidP="003B76E2">
            <w:pPr>
              <w:jc w:val="both"/>
              <w:rPr>
                <w:sz w:val="21"/>
                <w:szCs w:val="21"/>
                <w:lang w:val="en-GB"/>
              </w:rPr>
            </w:pPr>
            <w:r w:rsidRPr="007D79B1">
              <w:rPr>
                <w:sz w:val="21"/>
                <w:szCs w:val="21"/>
                <w:lang w:val="en-GB"/>
              </w:rPr>
              <w:t>BTL</w:t>
            </w:r>
          </w:p>
        </w:tc>
        <w:tc>
          <w:tcPr>
            <w:tcW w:w="1275" w:type="dxa"/>
            <w:noWrap/>
            <w:hideMark/>
          </w:tcPr>
          <w:p w14:paraId="4027F764" w14:textId="77777777" w:rsidR="00B3136C" w:rsidRPr="007D79B1" w:rsidRDefault="00B3136C" w:rsidP="003B76E2">
            <w:pPr>
              <w:jc w:val="both"/>
              <w:rPr>
                <w:sz w:val="21"/>
                <w:szCs w:val="21"/>
                <w:lang w:val="en-GB"/>
              </w:rPr>
            </w:pPr>
            <w:r w:rsidRPr="007D79B1">
              <w:rPr>
                <w:sz w:val="21"/>
                <w:szCs w:val="21"/>
                <w:lang w:val="en-GB"/>
              </w:rPr>
              <w:t>Rat, human</w:t>
            </w:r>
          </w:p>
        </w:tc>
        <w:tc>
          <w:tcPr>
            <w:tcW w:w="2552" w:type="dxa"/>
          </w:tcPr>
          <w:p w14:paraId="584A8208" w14:textId="77777777" w:rsidR="00B3136C" w:rsidRPr="007D79B1" w:rsidRDefault="00B3136C" w:rsidP="003B76E2">
            <w:pPr>
              <w:jc w:val="both"/>
              <w:rPr>
                <w:sz w:val="21"/>
                <w:szCs w:val="21"/>
                <w:lang w:val="en-GB"/>
              </w:rPr>
            </w:pPr>
            <w:r w:rsidRPr="007D79B1">
              <w:rPr>
                <w:sz w:val="21"/>
                <w:szCs w:val="21"/>
                <w:lang w:val="en-GB"/>
              </w:rPr>
              <w:t>Bilitranslocase. Bilirubin transporter</w:t>
            </w:r>
          </w:p>
        </w:tc>
        <w:tc>
          <w:tcPr>
            <w:tcW w:w="1276" w:type="dxa"/>
            <w:noWrap/>
            <w:hideMark/>
          </w:tcPr>
          <w:p w14:paraId="3D6B4A6B" w14:textId="77777777" w:rsidR="00B3136C" w:rsidRPr="007D79B1" w:rsidRDefault="00B3136C" w:rsidP="003B76E2">
            <w:pPr>
              <w:jc w:val="both"/>
              <w:rPr>
                <w:sz w:val="21"/>
                <w:szCs w:val="21"/>
                <w:lang w:val="en-GB"/>
              </w:rPr>
            </w:pPr>
            <w:r w:rsidRPr="007D79B1">
              <w:rPr>
                <w:sz w:val="21"/>
                <w:szCs w:val="21"/>
                <w:lang w:val="en-GB"/>
              </w:rPr>
              <w:t>2.A.65.1.1</w:t>
            </w:r>
          </w:p>
        </w:tc>
        <w:tc>
          <w:tcPr>
            <w:tcW w:w="1167" w:type="dxa"/>
          </w:tcPr>
          <w:p w14:paraId="5812B8B8" w14:textId="77777777" w:rsidR="00B3136C" w:rsidRPr="007D79B1" w:rsidRDefault="00B3136C" w:rsidP="003B76E2">
            <w:pPr>
              <w:jc w:val="both"/>
              <w:rPr>
                <w:sz w:val="21"/>
                <w:szCs w:val="21"/>
                <w:lang w:val="en-GB"/>
              </w:rPr>
            </w:pPr>
          </w:p>
        </w:tc>
        <w:tc>
          <w:tcPr>
            <w:tcW w:w="1842" w:type="dxa"/>
            <w:noWrap/>
          </w:tcPr>
          <w:p w14:paraId="6145607B" w14:textId="53BEE64A" w:rsidR="00B3136C" w:rsidRPr="007D79B1" w:rsidRDefault="00B3136C" w:rsidP="003B76E2">
            <w:pPr>
              <w:jc w:val="both"/>
              <w:rPr>
                <w:sz w:val="21"/>
                <w:szCs w:val="21"/>
                <w:lang w:val="en-GB"/>
              </w:rPr>
            </w:pPr>
            <w:r>
              <w:rPr>
                <w:sz w:val="21"/>
                <w:szCs w:val="21"/>
                <w:lang w:val="en-GB"/>
              </w:rPr>
              <w:t xml:space="preserve">BR binding </w:t>
            </w:r>
            <w:r w:rsidRPr="007D79B1">
              <w:rPr>
                <w:sz w:val="21"/>
                <w:szCs w:val="21"/>
                <w:lang w:val="en-GB"/>
              </w:rPr>
              <w:fldChar w:fldCharType="begin" w:fldLock="1"/>
            </w:r>
            <w:r w:rsidR="008C0DA1">
              <w:rPr>
                <w:sz w:val="21"/>
                <w:szCs w:val="21"/>
                <w:lang w:val="en-GB"/>
              </w:rPr>
              <w:instrText>ADDIN CSL_CITATION {"citationItems":[{"id":"ITEM-1","itemData":{"DOI":"10.1006/bbrc.1998.8868","ISSN":"0006-291X (Print)","PMID":"9647754","abstract":"In the primary structure of bilitranslocase, currently under study in our laboratory, an aminoacid motif was identified and found to be conserved in a number of alpha-phycocyanines, ancient biliproteins present in cyanobacteria. To test the possibility that such a motif could be at least part of the binding site for bilirubin, epitope-specific antibodies were raised. The target corresponds to the sequence 65-75 of bilitranslocase and covers the central portion of the motif identified. The antibodies were shown: 1) to inhibit the electrogenic BSP transport by plasmamembrane vesicles; 2) to react with purified bilitranslocase; and 3) to identify only one protein band with electrophoretic mobility identical to bilitranslocase in Western blots of solubilised plasmamembrane vesicles. The presence of either bilirubin or nicotinate during pre-incubation with the antibodies decreases concentration-wise the inhibition kinetics. From these experiments a dissociation constant of 2.2 +/- 0.3 and 11.3 +/- 1.3 nM for bilirubin-bilitranslocase and nicotinate-bilitranslocase complexes were calculated.","author":[{"dropping-particle":"","family":"Battiston","given":"L","non-dropping-particle":"","parse-names":false,"suffix":""},{"dropping-particle":"","family":"Passamonti","given":"S","non-dropping-particle":"","parse-names":false,"suffix":""},{"dropping-particle":"","family":"Macagno","given":"A","non-dropping-particle":"","parse-names":false,"suffix":""},{"dropping-particle":"","family":"Sottocasa","given":"G L","non-dropping-particle":"","parse-names":false,"suffix":""}],"container-title":"Biochemical and biophysical research communications","id":"ITEM-1","issue":"3","issued":{"date-parts":[["1998","6"]]},"language":"eng","page":"687-692","publisher-place":"UNITED STATES","title":"The bilirubin-binding motif of bilitranslocase and its relation to conserved motifs in ancient biliproteins.","type":"article-journal","volume":"247"},"uris":["http://www.mendeley.com/documents/?uuid=31d673e1-84b9-476a-941c-55461905d845"]}],"mendeley":{"formattedCitation":"[23]","plainTextFormattedCitation":"[23]","previouslyFormattedCitation":"[23]"},"properties":{"noteIndex":0},"schema":"https://github.com/citation-style-language/schema/raw/master/csl-citation.json"}</w:instrText>
            </w:r>
            <w:r w:rsidRPr="007D79B1">
              <w:rPr>
                <w:sz w:val="21"/>
                <w:szCs w:val="21"/>
                <w:lang w:val="en-GB"/>
              </w:rPr>
              <w:fldChar w:fldCharType="separate"/>
            </w:r>
            <w:r w:rsidRPr="00035536">
              <w:rPr>
                <w:noProof/>
                <w:sz w:val="21"/>
                <w:szCs w:val="21"/>
                <w:lang w:val="en-GB"/>
              </w:rPr>
              <w:t>[23]</w:t>
            </w:r>
            <w:r w:rsidRPr="007D79B1">
              <w:rPr>
                <w:sz w:val="21"/>
                <w:szCs w:val="21"/>
                <w:lang w:val="en-GB"/>
              </w:rPr>
              <w:fldChar w:fldCharType="end"/>
            </w:r>
            <w:r>
              <w:rPr>
                <w:sz w:val="21"/>
                <w:szCs w:val="21"/>
                <w:lang w:val="en-GB"/>
              </w:rPr>
              <w:t xml:space="preserve">; BR transport </w:t>
            </w:r>
            <w:r>
              <w:rPr>
                <w:sz w:val="21"/>
                <w:szCs w:val="21"/>
                <w:lang w:val="en-GB"/>
              </w:rPr>
              <w:fldChar w:fldCharType="begin" w:fldLock="1"/>
            </w:r>
            <w:r w:rsidR="008C0DA1">
              <w:rPr>
                <w:sz w:val="21"/>
                <w:szCs w:val="21"/>
                <w:lang w:val="en-GB"/>
              </w:rPr>
              <w:instrText>ADDIN CSL_CITATION {"citationItems":[{"id":"ITEM-1","itemData":{"PMID":"16262692","abstract":"Bilitranslocase is a carrier protein localized at the basolateral domain of the hepatocyte plasma membrane. It transports various organic anions, including bromosulfophthalein and anthocyanins. Functional studies in subcellular fractions enriched in plasma membrane revealed a high-affinity binding site for bilirubin, associated with bilitranslocase. The aim of this work was to test whether the liver uptake of bilirubin depends on the activity of bilitranslocase. To this purpose, an assay of bilirubin uptake into HepG2 cell cultures was set up. The transport assay medium contained bilirubin at a concentration of approximately 50 nm in the absence of albumin. To analyse the relative changes in bilirubin concentration in the medium throughout the uptake experiment, a highly sensitive thermal lens spectrometry method was used. The mechanism of bilirubin uptake into HepG2 cells was investigated by using inhibitors such as anti-sequence bilitranslocase antibodies, the protein-modifying reagent phenylmethanesulfonyl fluoride and diverse organic anions, including nicotinic acid, taurocholate and digoxin. To validate the assay further, both bromosulfophthalein and indocyanine green uptake in HepG2 cells was also characterized. The results obtained show that bilitranslocase is a carrier with specificity for both bilirubin and bromosulfophthalein, but not for indocyanine green.","author":[{"dropping-particle":"","family":"Passamonti","given":"Sabina","non-dropping-particle":"","parse-names":false,"suffix":""},{"dropping-particle":"","family":"Terdoslavich","given":"Michela","non-dropping-particle":"","parse-names":false,"suffix":""},{"dropping-particle":"","family":"Margon","given":"Alja","non-dropping-particle":"","parse-names":false,"suffix":""},{"dropping-particle":"","family":"Cocolo","given":"Alessandra","non-dropping-particle":"","parse-names":false,"suffix":""},{"dropping-particle":"","family":"Medic","given":"Nevenka","non-dropping-particle":"","parse-names":false,"suffix":""},{"dropping-particle":"","family":"Micali","given":"Fulvio","non-dropping-particle":"","parse-names":false,"suffix":""},{"dropping-particle":"","family":"Decorti","given":"Giuliana","non-dropping-particle":"","parse-names":false,"suffix":""},{"dropping-particle":"","family":"Franko","given":"Mladen","non-dropping-particle":"","parse-names":false,"suffix":""}],"container-title":"FEBS Journal","id":"ITEM-1","issue":"21","issued":{"date-parts":[["2005"]]},"page":"5522-5535","title":"Uptake of bilirubin into HepG2 cells assayed by thermal lens spectroscopy: Function of bilitranslocase","type":"article-journal","volume":"272"},"uris":["http://www.mendeley.com/documents/?uuid=c0a5e541-9e23-4611-adcf-9867ec5b62ec"]}],"mendeley":{"formattedCitation":"[24]","plainTextFormattedCitation":"[24]","previouslyFormattedCitation":"[24]"},"properties":{"noteIndex":0},"schema":"https://github.com/citation-style-language/schema/raw/master/csl-citation.json"}</w:instrText>
            </w:r>
            <w:r>
              <w:rPr>
                <w:sz w:val="21"/>
                <w:szCs w:val="21"/>
                <w:lang w:val="en-GB"/>
              </w:rPr>
              <w:fldChar w:fldCharType="separate"/>
            </w:r>
            <w:r w:rsidRPr="00035536">
              <w:rPr>
                <w:noProof/>
                <w:sz w:val="21"/>
                <w:szCs w:val="21"/>
                <w:lang w:val="en-GB"/>
              </w:rPr>
              <w:t>[24]</w:t>
            </w:r>
            <w:r>
              <w:rPr>
                <w:sz w:val="21"/>
                <w:szCs w:val="21"/>
                <w:lang w:val="en-GB"/>
              </w:rPr>
              <w:fldChar w:fldCharType="end"/>
            </w:r>
          </w:p>
        </w:tc>
      </w:tr>
      <w:tr w:rsidR="00B3136C" w:rsidRPr="00CA5593" w14:paraId="688936DC" w14:textId="77777777" w:rsidTr="008C0DA1">
        <w:trPr>
          <w:trHeight w:val="360"/>
        </w:trPr>
        <w:tc>
          <w:tcPr>
            <w:tcW w:w="1101" w:type="dxa"/>
            <w:noWrap/>
            <w:hideMark/>
          </w:tcPr>
          <w:p w14:paraId="528922B6" w14:textId="77777777" w:rsidR="00B3136C" w:rsidRPr="007D79B1" w:rsidRDefault="00B3136C" w:rsidP="003B76E2">
            <w:pPr>
              <w:jc w:val="both"/>
              <w:rPr>
                <w:sz w:val="21"/>
                <w:szCs w:val="21"/>
                <w:lang w:val="en-GB"/>
              </w:rPr>
            </w:pPr>
            <w:r w:rsidRPr="007D79B1">
              <w:rPr>
                <w:sz w:val="21"/>
                <w:szCs w:val="21"/>
                <w:lang w:val="en-GB"/>
              </w:rPr>
              <w:t>Oatp1a1</w:t>
            </w:r>
          </w:p>
          <w:p w14:paraId="7205863E" w14:textId="77777777" w:rsidR="00B3136C" w:rsidRPr="007D79B1" w:rsidRDefault="00B3136C" w:rsidP="003B76E2">
            <w:pPr>
              <w:jc w:val="both"/>
              <w:rPr>
                <w:sz w:val="21"/>
                <w:szCs w:val="21"/>
                <w:lang w:val="en-GB"/>
              </w:rPr>
            </w:pPr>
          </w:p>
        </w:tc>
        <w:tc>
          <w:tcPr>
            <w:tcW w:w="1275" w:type="dxa"/>
            <w:noWrap/>
            <w:hideMark/>
          </w:tcPr>
          <w:p w14:paraId="58FBE877" w14:textId="77777777" w:rsidR="00B3136C" w:rsidRPr="007D79B1" w:rsidRDefault="00B3136C" w:rsidP="003B76E2">
            <w:pPr>
              <w:jc w:val="both"/>
              <w:rPr>
                <w:sz w:val="21"/>
                <w:szCs w:val="21"/>
                <w:lang w:val="en-GB"/>
              </w:rPr>
            </w:pPr>
            <w:r w:rsidRPr="007D79B1">
              <w:rPr>
                <w:sz w:val="21"/>
                <w:szCs w:val="21"/>
                <w:lang w:val="en-GB"/>
              </w:rPr>
              <w:t>Mouse, rat, human</w:t>
            </w:r>
          </w:p>
        </w:tc>
        <w:tc>
          <w:tcPr>
            <w:tcW w:w="2552" w:type="dxa"/>
          </w:tcPr>
          <w:p w14:paraId="53120574" w14:textId="77777777" w:rsidR="00B3136C" w:rsidRPr="007D79B1" w:rsidRDefault="00B3136C" w:rsidP="003B76E2">
            <w:pPr>
              <w:jc w:val="both"/>
              <w:rPr>
                <w:sz w:val="21"/>
                <w:szCs w:val="21"/>
                <w:lang w:val="en-GB"/>
              </w:rPr>
            </w:pPr>
            <w:r w:rsidRPr="007D79B1">
              <w:rPr>
                <w:sz w:val="21"/>
                <w:szCs w:val="21"/>
                <w:lang w:val="en-GB"/>
              </w:rPr>
              <w:t>Organic anion-transporting polypeptide 1a1. Solute carrier organic anion transporter family, member 1a1; Oatp1, Oatp1a1, Slc21a1.</w:t>
            </w:r>
          </w:p>
        </w:tc>
        <w:tc>
          <w:tcPr>
            <w:tcW w:w="1276" w:type="dxa"/>
            <w:noWrap/>
            <w:hideMark/>
          </w:tcPr>
          <w:p w14:paraId="75682661" w14:textId="77777777" w:rsidR="00B3136C" w:rsidRPr="007D79B1" w:rsidRDefault="00B3136C" w:rsidP="003B76E2">
            <w:pPr>
              <w:jc w:val="both"/>
              <w:rPr>
                <w:sz w:val="21"/>
                <w:szCs w:val="21"/>
                <w:lang w:val="en-GB"/>
              </w:rPr>
            </w:pPr>
            <w:r w:rsidRPr="007D79B1">
              <w:rPr>
                <w:sz w:val="21"/>
                <w:szCs w:val="21"/>
                <w:lang w:val="en-GB"/>
              </w:rPr>
              <w:t>2.A.60.1.1</w:t>
            </w:r>
          </w:p>
        </w:tc>
        <w:tc>
          <w:tcPr>
            <w:tcW w:w="1167" w:type="dxa"/>
          </w:tcPr>
          <w:p w14:paraId="37953F04" w14:textId="77777777" w:rsidR="00B3136C" w:rsidRPr="007D79B1" w:rsidRDefault="00B3136C" w:rsidP="003B76E2">
            <w:pPr>
              <w:jc w:val="both"/>
              <w:rPr>
                <w:sz w:val="21"/>
                <w:szCs w:val="21"/>
                <w:lang w:val="en-GB"/>
              </w:rPr>
            </w:pPr>
            <w:r w:rsidRPr="007D79B1">
              <w:rPr>
                <w:sz w:val="21"/>
                <w:szCs w:val="21"/>
                <w:lang w:val="en-GB"/>
              </w:rPr>
              <w:t>Slco1a1</w:t>
            </w:r>
            <w:r>
              <w:rPr>
                <w:sz w:val="21"/>
                <w:szCs w:val="21"/>
                <w:lang w:val="en-GB"/>
              </w:rPr>
              <w:t xml:space="preserve">, </w:t>
            </w:r>
            <w:r w:rsidRPr="007D79B1">
              <w:rPr>
                <w:sz w:val="21"/>
                <w:szCs w:val="21"/>
                <w:lang w:val="en-GB"/>
              </w:rPr>
              <w:t>SLCO1A2</w:t>
            </w:r>
          </w:p>
        </w:tc>
        <w:tc>
          <w:tcPr>
            <w:tcW w:w="1842" w:type="dxa"/>
            <w:noWrap/>
          </w:tcPr>
          <w:p w14:paraId="739F45F4" w14:textId="1325A74B" w:rsidR="00B3136C" w:rsidRPr="007D79B1" w:rsidRDefault="00B3136C" w:rsidP="003B76E2">
            <w:pPr>
              <w:jc w:val="both"/>
              <w:rPr>
                <w:sz w:val="21"/>
                <w:szCs w:val="21"/>
                <w:lang w:val="en-GB"/>
              </w:rPr>
            </w:pPr>
            <w:r>
              <w:rPr>
                <w:sz w:val="21"/>
                <w:szCs w:val="21"/>
                <w:lang w:val="en-GB"/>
              </w:rPr>
              <w:t xml:space="preserve">BRG transport </w:t>
            </w:r>
            <w:r>
              <w:rPr>
                <w:sz w:val="21"/>
                <w:szCs w:val="21"/>
                <w:lang w:val="en-GB"/>
              </w:rPr>
              <w:fldChar w:fldCharType="begin" w:fldLock="1"/>
            </w:r>
            <w:r w:rsidR="008C0DA1">
              <w:rPr>
                <w:sz w:val="21"/>
                <w:szCs w:val="21"/>
                <w:lang w:val="en-GB"/>
              </w:rPr>
              <w:instrText>ADDIN CSL_CITATION {"citationItems":[{"id":"ITEM-1","itemData":{"DOI":"10.1172/JCI42168","abstract":"Organic anion transporting polypeptides (OATPs) are uptake transporters for a broad range of endogenous compounds and xenobiotics. To investigate the physiologic and pharmacologic roles of OATPs of the 1A and 1B subfamilies, we generated mice lacking all established and predicted mouse Oatp1a/1b transporters (referred to as Slco1a/1b–/– mice, as SLCO genes encode OATPs). Slco1a/1b–/– mice were viable and fertile but exhibited markedly increased plasma levels of bilirubin conjugated to glucuronide and increased plasma levels of unconjugated bile acids. The unexpected conjugated hyperbilirubinemia indicates that Oatp1a/1b transporters normally mediate extensive hepatic reuptake of glucuronidated bilirubin. We therefore hypothesized that substantial sinusoidal secretion and subsequent Oatp1a/1b-mediated reuptake of glucuronidated compounds can occur in hepatocytes under physiologic conditions. This alters our perspective on normal liver functioning. Slco1a/1b–/– mice also showed drastically decreased hepatic uptake and consequently increased systemic exposure following i.v. or oral administration of the OATP substrate drugs methotrexate and fexofenadine. Importantly, intestinal absorption of oral methotrexate or fexofenadine was not affected in Slco1a/1b–/– mice. Further analysis showed that rifampicin was an effective and specific Oatp1a/1b inhibitor in controlling methotrexate pharmacokinetics. These data indicate that Oatp1a/1b transporters play an essential role in hepatic reuptake of conjugated bilirubin and uptake of unconjugated bile acids and drugs. Slco1a/1b–/– mice will provide excellent tools to study further the role of Oatp1a/1b transporters in physiology and drug disposition.","author":[{"dropping-particle":"","family":"Steeg","given":"Evita","non-dropping-particle":"van de","parse-names":false,"suffix":""},{"dropping-particle":"","family":"Wagenaar","given":"Els","non-dropping-particle":"","parse-names":false,"suffix":""},{"dropping-particle":"","family":"Kruijssen","given":"Cornelia M M","non-dropping-particle":"van der","parse-names":false,"suffix":""},{"dropping-particle":"","family":"Burggraaff","given":"Johanna E C","non-dropping-particle":"","parse-names":false,"suffix":""},{"dropping-particle":"","family":"Waart","given":"Dirk R","non-dropping-particle":"de","parse-names":false,"suffix":""},{"dropping-particle":"","family":"Elferink","given":"Ronald P J Oude","non-dropping-particle":"","parse-names":false,"suffix":""},{"dropping-particle":"","family":"Kenworthy","given":"Kathryn E","non-dropping-particle":"","parse-names":false,"suffix":""},{"dropping-particle":"","family":"Schinkel","given":"Alfred H","non-dropping-particle":"","parse-names":false,"suffix":""}],"container-title":"The Journal of clinical investigation","id":"ITEM-1","issue":"8","issued":{"date-parts":[["2010"]]},"page":"2942","publisher":"American Society for Clinical Investigation","title":"Organic anion transporting polypeptide 1a/1b–knockout mice provide insights into hepatic handling of bilirubin, bile acids, and drugs","type":"article-journal","volume":"120"},"uris":["http://www.mendeley.com/documents/?uuid=0ec83ea8-a98e-4cd9-811d-ab471369f7b8"]}],"mendeley":{"formattedCitation":"[25]","plainTextFormattedCitation":"[25]","previouslyFormattedCitation":"[25]"},"properties":{"noteIndex":0},"schema":"https://github.com/citation-style-language/schema/raw/master/csl-citation.json"}</w:instrText>
            </w:r>
            <w:r>
              <w:rPr>
                <w:sz w:val="21"/>
                <w:szCs w:val="21"/>
                <w:lang w:val="en-GB"/>
              </w:rPr>
              <w:fldChar w:fldCharType="separate"/>
            </w:r>
            <w:r w:rsidRPr="00035536">
              <w:rPr>
                <w:noProof/>
                <w:sz w:val="21"/>
                <w:szCs w:val="21"/>
                <w:lang w:val="en-GB"/>
              </w:rPr>
              <w:t>[25]</w:t>
            </w:r>
            <w:r>
              <w:rPr>
                <w:sz w:val="21"/>
                <w:szCs w:val="21"/>
                <w:lang w:val="en-GB"/>
              </w:rPr>
              <w:fldChar w:fldCharType="end"/>
            </w:r>
          </w:p>
          <w:p w14:paraId="404BA91C" w14:textId="77777777" w:rsidR="00B3136C" w:rsidRPr="007D79B1" w:rsidRDefault="00B3136C" w:rsidP="003B76E2">
            <w:pPr>
              <w:jc w:val="both"/>
              <w:rPr>
                <w:sz w:val="21"/>
                <w:szCs w:val="21"/>
                <w:lang w:val="en-GB"/>
              </w:rPr>
            </w:pPr>
          </w:p>
          <w:p w14:paraId="31A38099" w14:textId="77777777" w:rsidR="00B3136C" w:rsidRPr="007D79B1" w:rsidRDefault="00B3136C" w:rsidP="003B76E2">
            <w:pPr>
              <w:jc w:val="both"/>
              <w:rPr>
                <w:sz w:val="21"/>
                <w:szCs w:val="21"/>
                <w:lang w:val="en-GB"/>
              </w:rPr>
            </w:pPr>
            <w:r w:rsidRPr="007D79B1">
              <w:rPr>
                <w:sz w:val="21"/>
                <w:szCs w:val="21"/>
                <w:lang w:val="en-GB"/>
              </w:rPr>
              <w:t xml:space="preserve"> </w:t>
            </w:r>
          </w:p>
        </w:tc>
      </w:tr>
      <w:tr w:rsidR="00B3136C" w:rsidRPr="00CA5593" w14:paraId="67A12543" w14:textId="77777777" w:rsidTr="008C0DA1">
        <w:trPr>
          <w:trHeight w:val="360"/>
        </w:trPr>
        <w:tc>
          <w:tcPr>
            <w:tcW w:w="1101" w:type="dxa"/>
            <w:noWrap/>
          </w:tcPr>
          <w:p w14:paraId="730A887C" w14:textId="77777777" w:rsidR="00B3136C" w:rsidRPr="007D79B1" w:rsidRDefault="00B3136C" w:rsidP="003B76E2">
            <w:pPr>
              <w:jc w:val="both"/>
              <w:rPr>
                <w:sz w:val="21"/>
                <w:szCs w:val="21"/>
                <w:lang w:val="en-GB"/>
              </w:rPr>
            </w:pPr>
            <w:r w:rsidRPr="007D79B1">
              <w:rPr>
                <w:sz w:val="21"/>
                <w:szCs w:val="21"/>
                <w:lang w:val="en-GB"/>
              </w:rPr>
              <w:t>Oatp1b2</w:t>
            </w:r>
          </w:p>
        </w:tc>
        <w:tc>
          <w:tcPr>
            <w:tcW w:w="1275" w:type="dxa"/>
            <w:noWrap/>
          </w:tcPr>
          <w:p w14:paraId="7622F2D5" w14:textId="77777777" w:rsidR="00B3136C" w:rsidRPr="007D79B1" w:rsidRDefault="00B3136C" w:rsidP="003B76E2">
            <w:pPr>
              <w:jc w:val="both"/>
              <w:rPr>
                <w:sz w:val="21"/>
                <w:szCs w:val="21"/>
                <w:lang w:val="en-GB"/>
              </w:rPr>
            </w:pPr>
            <w:r w:rsidRPr="007D79B1">
              <w:rPr>
                <w:sz w:val="21"/>
                <w:szCs w:val="21"/>
                <w:lang w:val="en-GB"/>
              </w:rPr>
              <w:t>Mouse, rat, human</w:t>
            </w:r>
          </w:p>
        </w:tc>
        <w:tc>
          <w:tcPr>
            <w:tcW w:w="2552" w:type="dxa"/>
          </w:tcPr>
          <w:p w14:paraId="35CAC3E6" w14:textId="77777777" w:rsidR="00B3136C" w:rsidRPr="007D79B1" w:rsidRDefault="00B3136C" w:rsidP="003B76E2">
            <w:pPr>
              <w:jc w:val="both"/>
              <w:rPr>
                <w:sz w:val="21"/>
                <w:szCs w:val="21"/>
                <w:lang w:val="en-GB"/>
              </w:rPr>
            </w:pPr>
            <w:r w:rsidRPr="007D79B1">
              <w:rPr>
                <w:sz w:val="21"/>
                <w:szCs w:val="21"/>
                <w:lang w:val="en-GB"/>
              </w:rPr>
              <w:t>Organic anion-transporting polypeptide 1b2. OATP2; Oatp4; lst-1; OATP-C; mlst-1; Oatp1b2; Slc21a6; Slc21a10</w:t>
            </w:r>
          </w:p>
        </w:tc>
        <w:tc>
          <w:tcPr>
            <w:tcW w:w="1276" w:type="dxa"/>
            <w:noWrap/>
          </w:tcPr>
          <w:p w14:paraId="3ECA2566" w14:textId="77777777" w:rsidR="00B3136C" w:rsidRPr="007D79B1" w:rsidRDefault="00B3136C" w:rsidP="003B76E2">
            <w:pPr>
              <w:jc w:val="both"/>
              <w:rPr>
                <w:sz w:val="21"/>
                <w:szCs w:val="21"/>
                <w:lang w:val="en-GB"/>
              </w:rPr>
            </w:pPr>
          </w:p>
        </w:tc>
        <w:tc>
          <w:tcPr>
            <w:tcW w:w="1167" w:type="dxa"/>
          </w:tcPr>
          <w:p w14:paraId="6C098189" w14:textId="77777777" w:rsidR="00B3136C" w:rsidRPr="007D79B1" w:rsidRDefault="00B3136C" w:rsidP="003B76E2">
            <w:pPr>
              <w:jc w:val="both"/>
              <w:rPr>
                <w:sz w:val="21"/>
                <w:szCs w:val="21"/>
                <w:lang w:val="en-GB"/>
              </w:rPr>
            </w:pPr>
            <w:r w:rsidRPr="007D79B1">
              <w:rPr>
                <w:sz w:val="21"/>
                <w:szCs w:val="21"/>
                <w:lang w:val="en-GB"/>
              </w:rPr>
              <w:t>Slco1b2</w:t>
            </w:r>
            <w:r>
              <w:rPr>
                <w:sz w:val="21"/>
                <w:szCs w:val="21"/>
                <w:lang w:val="en-GB"/>
              </w:rPr>
              <w:t xml:space="preserve">, </w:t>
            </w:r>
            <w:r w:rsidRPr="007D79B1">
              <w:rPr>
                <w:sz w:val="21"/>
                <w:szCs w:val="21"/>
                <w:lang w:val="en-GB"/>
              </w:rPr>
              <w:t>SLCO1B1, SLCO1B3,</w:t>
            </w:r>
          </w:p>
          <w:p w14:paraId="43BB498C" w14:textId="77777777" w:rsidR="00B3136C" w:rsidRPr="007D79B1" w:rsidRDefault="00B3136C" w:rsidP="003B76E2">
            <w:pPr>
              <w:jc w:val="both"/>
              <w:rPr>
                <w:sz w:val="21"/>
                <w:szCs w:val="21"/>
                <w:lang w:val="en-GB"/>
              </w:rPr>
            </w:pPr>
          </w:p>
        </w:tc>
        <w:tc>
          <w:tcPr>
            <w:tcW w:w="1842" w:type="dxa"/>
            <w:noWrap/>
          </w:tcPr>
          <w:p w14:paraId="0301658B" w14:textId="747760BC" w:rsidR="00B3136C" w:rsidRPr="007D79B1" w:rsidRDefault="00B3136C" w:rsidP="003B76E2">
            <w:pPr>
              <w:jc w:val="both"/>
              <w:rPr>
                <w:sz w:val="21"/>
                <w:szCs w:val="21"/>
                <w:lang w:val="en-GB"/>
              </w:rPr>
            </w:pPr>
            <w:r>
              <w:rPr>
                <w:sz w:val="21"/>
                <w:szCs w:val="21"/>
                <w:lang w:val="en-GB"/>
              </w:rPr>
              <w:t xml:space="preserve">BR transport </w:t>
            </w:r>
            <w:r>
              <w:rPr>
                <w:sz w:val="21"/>
                <w:szCs w:val="21"/>
                <w:lang w:val="en-GB"/>
              </w:rPr>
              <w:fldChar w:fldCharType="begin" w:fldLock="1"/>
            </w:r>
            <w:r w:rsidR="008C0DA1">
              <w:rPr>
                <w:sz w:val="21"/>
                <w:szCs w:val="21"/>
                <w:lang w:val="en-GB"/>
              </w:rPr>
              <w:instrText>ADDIN CSL_CITATION {"citationItems":[{"id":"ITEM-1","itemData":{"DOI":"10.1042/BJ20030034","ISSN":"0264-6021 (Print)","PMID":"12568656","abstract":"Recent functional studies have suggested that, in addition to simple diffusion, carrier-mediated transport may play an important role in foetal unconjugated bilirubin (UCB) uptake by the placenta. We have investigated the role of organic anion-transporting polypeptides (OATPs) in UCB transport by the placenta-maternal liver tandem. RNA was obtained from human liver (hL), human placenta (hPl) at term, and purified (&gt; 80%) cytokeratin-7-positive mononucleated human trophoblast cells (hTCs). By analytical reverse transcription (RT)-PCR, agarose gel electrophoresis separation and sequencing, the mRNA of OATP-A ( SLC21A3 ) and OATP-8 ( SLC21A8 ) was identified in hL, hPl and hTCs, whereas that of OATP-C ( SLC21A6 ) was detectable only in hL. Real-time quantitative RT-PCR revealed that in hL the abundance of mRNA was OATP-8 &gt; OATP-C &gt;&gt; OATP-A, whereas in hPl and hTCs this was OATP-8 &gt;&gt; OATP-A &gt;&gt; OATP-C. Expression levels for these OATPs were hL &gt;&gt; hTCs &gt; hPl. Injection of mRNA of OATP-A, OATP-C or OATP-8 or RNA from hL, hPl or hTCs into Xenopus laevis oocytes conferred on them the ability to take up [(3)H]17 beta-D-glucuronosyl oestradiol ([(3)H]E(2)17 beta G) and [(3)H]UCB, although in the case of OATP-A mRNA, the induced uptake of [(3)H]UCB was very low. Cis -inhibition of [(3)H]E(2)17 beta G and [(3)H]UCB uptake by both unlabelled E(2)17 beta G and UCB was found in all cases. The affinity and efficiency of [(3)H]UCB transport was OATP-C &gt; OATP-8. Kinetic parameters for [(3)H]UCB uptake induced by RNA from hTCs resembled most closely those of OATP-8. In conclusion, our results suggest that OATP-8 may play a major role in the carrier-mediated uptake of foetal UCB by the placental trophoblast, whereas both OATP-8 and OATP-C may substantially contribute to UCB uptake by adult hepatocytes.","author":[{"dropping-particle":"","family":"Briz","given":"Oscar","non-dropping-particle":"","parse-names":false,"suffix":""},{"dropping-particle":"","family":"Serrano","given":"Maria A","non-dropping-particle":"","parse-names":false,"suffix":""},{"dropping-particle":"","family":"MacIas","given":"Rocio I R","non-dropping-particle":"","parse-names":false,"suffix":""},{"dropping-particle":"","family":"Gonzalez-Gallego","given":"Javier","non-dropping-particle":"","parse-names":false,"suffix":""},{"dropping-particle":"","family":"Marin","given":"Jose J G","non-dropping-particle":"","parse-names":false,"suffix":""}],"container-title":"The Biochemical journal","id":"ITEM-1","issue":"Pt 3","issued":{"date-parts":[["2003","5"]]},"language":"eng","page":"897-905","publisher-place":"England","title":"Role of organic anion-transporting polypeptides, OATP-A, OATP-C and OATP-8, in the human placenta-maternal liver tandem excretory pathway for foetal bilirubin.","type":"article-journal","volume":"371"},"uris":["http://www.mendeley.com/documents/?uuid=d17ece32-6d9a-4c7d-9557-40b9a84fb0a4"]}],"mendeley":{"formattedCitation":"[26]","plainTextFormattedCitation":"[26]","previouslyFormattedCitation":"[26]"},"properties":{"noteIndex":0},"schema":"https://github.com/citation-style-language/schema/raw/master/csl-citation.json"}</w:instrText>
            </w:r>
            <w:r>
              <w:rPr>
                <w:sz w:val="21"/>
                <w:szCs w:val="21"/>
                <w:lang w:val="en-GB"/>
              </w:rPr>
              <w:fldChar w:fldCharType="separate"/>
            </w:r>
            <w:r w:rsidRPr="00035536">
              <w:rPr>
                <w:noProof/>
                <w:sz w:val="21"/>
                <w:szCs w:val="21"/>
              </w:rPr>
              <w:t>[26]</w:t>
            </w:r>
            <w:r>
              <w:rPr>
                <w:sz w:val="21"/>
                <w:szCs w:val="21"/>
                <w:lang w:val="en-GB"/>
              </w:rPr>
              <w:fldChar w:fldCharType="end"/>
            </w:r>
            <w:r>
              <w:rPr>
                <w:sz w:val="21"/>
                <w:szCs w:val="21"/>
                <w:lang w:val="en-GB"/>
              </w:rPr>
              <w:fldChar w:fldCharType="begin" w:fldLock="1"/>
            </w:r>
            <w:r w:rsidR="008C0DA1">
              <w:rPr>
                <w:sz w:val="21"/>
                <w:szCs w:val="21"/>
              </w:rPr>
              <w:instrText>ADDIN CSL_CITATION {"citationItems":[{"id":"ITEM-1","itemData":{"DOI":"10.1074/jbc.M004968200","ISSN":"00219258","PMID":"11134001","abstract":"Bilirubin, the end product of heme catabolism, is taken up from the blood circulation into the liver. This work identifies a high-affinity transport protein mediating the uptake of bilirubin and its conjugates into human hepatocytes. Human embryonic kidney cells (HEK293) permanently expressing the recombinant organic anion-transporting polypeptide 2 (human OATP2, also known as LST-1 or OATP-C; symbol SLC21A6) showed uptake of [ 3H]monoglucuronosyl bilirubin, [3H]bisglucuronosyl bilirubin, and [3H]sulfobromophthalein with Km values of 0.10, 0.28, and 0.14 μM, respectively. High-affinity uptake of unconjugated [3H]bilirubin by OATP2 occurred in the presence of albumin and was not mediated by another basolateral hepatic uptake transporter, human OATP8 (symbol SLC21A8). OATP2 and OATP8 differed by their capacity to extract substrates from albumin before transport. In comparison to the high-affinity transport by OATP2, OATP8 transported [3H]sulfobromophthalein and [3H]monoglucuronosyl bilirubin with lower affinity, with K m values of 3.3 and 0.5 μM, respectively. The organic anion indocyanine green potently inhibited transport mediated by OATP2, with a K i value of 112 nM, but did not inhibit transport mediated by OATP8. Human OATP2 may play a key role in the prevention of hyperbilirubinemia by facilitating the selective entry of unconjugated bilirubin and its glucuronate conjugates into human hepatocytes.","author":[{"dropping-particle":"","family":"Cui","given":"Yunhai","non-dropping-particle":"","parse-names":false,"suffix":""},{"dropping-particle":"","family":"König","given":"Jörg","non-dropping-particle":"","parse-names":false,"suffix":""},{"dropping-particle":"","family":"Leier","given":"Inka","non-dropping-particle":"","parse-names":false,"suffix":""},{"dropping-particle":"","family":"Buchholz","given":"Ulrike","non-dropping-particle":"","parse-names":false,"suffix":""},{"dropping-particle":"","family":"Keppler","given":"Dietrich","non-dropping-particle":"","parse-names":false,"suffix":""}],"container-title":"Journal of Biological Chemistry","id":"ITEM-1","issue":"13","issued":{"date-parts":[["2001","3","30"]]},"page":"9626-9630","publisher":"American Society for Biochemistry and Molecular Biology","title":"Hepatic Uptake of Bilirubin and its Conjugates by the Human Organic Anion Transporter SLC21A6","type":"article-journal","volume":"276"},"uris":["http://www.mendeley.com/documents/?uuid=82c5eeb5-fd3e-3b1a-b853-ca182c6d60d2"]}],"mendeley":{"formattedCitation":"[27]","plainTextFormattedCitation":"[27]","previouslyFormattedCitation":"[27]"},"properties":{"noteIndex":0},"schema":"https://github.com/citation-style-language/schema/raw/master/csl-citation.json"}</w:instrText>
            </w:r>
            <w:r>
              <w:rPr>
                <w:sz w:val="21"/>
                <w:szCs w:val="21"/>
                <w:lang w:val="en-GB"/>
              </w:rPr>
              <w:fldChar w:fldCharType="separate"/>
            </w:r>
            <w:r w:rsidRPr="00035536">
              <w:rPr>
                <w:noProof/>
                <w:sz w:val="21"/>
                <w:szCs w:val="21"/>
              </w:rPr>
              <w:t>[27]</w:t>
            </w:r>
            <w:r>
              <w:rPr>
                <w:sz w:val="21"/>
                <w:szCs w:val="21"/>
                <w:lang w:val="en-GB"/>
              </w:rPr>
              <w:fldChar w:fldCharType="end"/>
            </w:r>
            <w:r w:rsidRPr="00606072">
              <w:rPr>
                <w:sz w:val="21"/>
                <w:szCs w:val="21"/>
              </w:rPr>
              <w:t xml:space="preserve">; BRG transport </w:t>
            </w:r>
            <w:r>
              <w:rPr>
                <w:sz w:val="21"/>
                <w:szCs w:val="21"/>
                <w:lang w:val="en-GB"/>
              </w:rPr>
              <w:fldChar w:fldCharType="begin" w:fldLock="1"/>
            </w:r>
            <w:r w:rsidR="008C0DA1">
              <w:rPr>
                <w:sz w:val="21"/>
                <w:szCs w:val="21"/>
              </w:rPr>
              <w:instrText>ADDIN CSL_CITATION {"citationItems":[{"id":"ITEM-1","itemData":{"DOI":"10.1074/jbc.M004968200","ISSN":"00219258","PMID":"11134001","abstract":"Bilirubin, the end product of heme catabolism, is taken up from the blood circulation into the liver. This work identifies a high-affinity transport protein mediating the uptake of bilirubin and its conjugates into human hepatocytes. Human embryonic kidney cells (HEK293) permanently expressing the recombinant organic anion-transporting polypeptide 2 (human OATP2, also known as LST-1 or OATP-C; symbol SLC21A6) showed uptake of [ 3H]monoglucuronosyl bilirubin, [3H]bisglucuronosyl bilirubin, and [3H]sulfobromophthalein with Km values of 0.10, 0.28, and 0.14 μM, respectively. High-affinity uptake of unconjugated [3H]bilirubin by OATP2 occurred in the presence of albumin and was not mediated by another basolateral hepatic uptake transporter, human OATP8 (symbol SLC21A8). OATP2 and OATP8 differed by their capacity to extract substrates from albumin before transport. In comparison to the high-affinity transport by OATP2, OATP8 transported [3H]sulfobromophthalein and [3H]monoglucuronosyl bilirubin with lower affinity, with K m values of 3.3 and 0.5 μM, respectively. The organic anion indocyanine green potently inhibited transport mediated by OATP2, with a K i value of 112 nM, but did not inhibit transport mediated by OATP8. Human OATP2 may play a key role in the prevention of hyperbilirubinemia by facilitating the selective entry of unconjugated bilirubin and its glucuronate conjugates into human hepatocytes.","author":[{"dropping-particle":"","family":"Cui","given":"Yunhai","non-dropping-particle":"","parse-names":false,"suffix":""},{"dropping-particle":"","family":"König","given":"Jörg","non-dropping-particle":"","parse-names":false,"suffix":""},{"dropping-particle":"","family":"Leier","given":"Inka","non-dropping-particle":"","parse-names":false,"suffix":""},{"dropping-particle":"","family":"Buchholz","given":"Ulrike","non-dropping-particle":"","parse-names":false,"suffix":""},{"dropping-particle":"","family":"Keppler","given":"Dietrich","non-dropping-particle":"","parse-names":false,"suffix":""}],"container-title":"Journal of Biological Chemistry","id":"ITEM-1","issue":"13","issued":{"date-parts":[["2001","3","30"]]},"page":"9626-9630","publisher":"American Society for Biochemistry and Molecular Biology","title":"Hepatic Uptake of Bilirubin and its Conjugates by the Human Organic Anion Transporter SLC21A6","type":"article-journal","volume":"276"},"uris":["http://www.mendeley.com/documents/?uuid=82c5eeb5-fd3e-3b1a-b853-ca182c6d60d2"]}],"mendeley":{"formattedCitation":"[27]","plainTextFormattedCitation":"[27]","previouslyFormattedCitation":"[27]"},"properties":{"noteIndex":0},"schema":"https://github.com/citation-style-language/schema/raw/master/csl-citation.json"}</w:instrText>
            </w:r>
            <w:r>
              <w:rPr>
                <w:sz w:val="21"/>
                <w:szCs w:val="21"/>
                <w:lang w:val="en-GB"/>
              </w:rPr>
              <w:fldChar w:fldCharType="separate"/>
            </w:r>
            <w:r w:rsidRPr="00035536">
              <w:rPr>
                <w:noProof/>
                <w:sz w:val="21"/>
                <w:szCs w:val="21"/>
              </w:rPr>
              <w:t>[27]</w:t>
            </w:r>
            <w:r>
              <w:rPr>
                <w:sz w:val="21"/>
                <w:szCs w:val="21"/>
                <w:lang w:val="en-GB"/>
              </w:rPr>
              <w:fldChar w:fldCharType="end"/>
            </w:r>
            <w:r>
              <w:rPr>
                <w:sz w:val="21"/>
                <w:szCs w:val="21"/>
                <w:lang w:val="en-GB"/>
              </w:rPr>
              <w:fldChar w:fldCharType="begin" w:fldLock="1"/>
            </w:r>
            <w:r w:rsidR="008C0DA1">
              <w:rPr>
                <w:sz w:val="21"/>
                <w:szCs w:val="21"/>
              </w:rPr>
              <w:instrText>ADDIN CSL_CITATION {"citationItems":[{"id":"ITEM-1","itemData":{"DOI":"10.1172/JCI42168","abstract":"Organic anion transporting polypeptides (OATPs) are uptake transporters for a broad range of endogenous compounds and xenobiotics. To investigate the physiologic and pharmacologic roles of OATPs of the 1A and 1B subfamilies, we generated mice lacking all established and predicted mouse Oatp1a/1b transporters (referred to as Slco1a/1b–/– mice, as SLCO genes encode OATPs). Slco1a/1b–/– mice were viable and fertile but exhibited markedly increased plasma levels of bilirubin conjugated to glucuronide and increased plasma levels of unconjugated bile acids. The unexpected conjugated hyperbilirubinemia indicates that Oatp1a/1b transporters normally mediate extensive hepatic reuptake of glucuronidated bilirubin. We therefore hypothesized that substantial sinusoidal secretion and subsequent Oatp1a/1b-mediated reuptake of glucuronidated compounds can occur in hepatocytes under physiologic conditions. This alters our perspective on normal liver functioning. Slco1a/1b–/– mice also showed drastically decreased hepatic uptake and consequently increased systemic exposure following i.v. or oral administration of the OATP substrate drugs methotrexate and fexofenadine. Importantly, intestinal absorption of oral methotrexate or fexofenadine was not affected in Slco1a/1b–/– mice. Further analysis showed that rifampicin was an effective and specific Oatp1a/1b inhibitor in controlling methotrexate pharmacokinetics. These data indicate that Oatp1a/1b transporters play an essential role in hepatic reuptake of conjugated bilirubin and uptake of unconjugated bile acids and drugs. Slco1a/1b–/– mice will provide excellent tools to study further the role of Oatp1a/1b transporters in physiology and drug disposition.","author":[{"dropping-particle":"","family":"Steeg","given":"Evita","non-dropping-particle":"van de","parse-names":false,"suffix":""},{"dropping-particle":"","family":"Wagenaar","given":"Els","non-dropping-particl</w:instrText>
            </w:r>
            <w:r w:rsidR="008C0DA1" w:rsidRPr="008C0DA1">
              <w:rPr>
                <w:sz w:val="21"/>
                <w:szCs w:val="21"/>
                <w:lang w:val="en-US"/>
              </w:rPr>
              <w:instrText>e":"","parse-names":false,"suffix":""},{"dropping-particle":"","family":"Kruijssen","given":"Cornelia M M","non-dropping-particle":"van der","parse-names":false,"suffix":""},{"dropping-particle":"","family":"Burggraaff","given":"Johanna E C","non-dropping-particle":"","parse-names":false,"suffix":""},{"dropping-particle":"","family":"Waart","given":"Dirk R","non-dropping-particle":"de","parse-names":false,"suffix":""},{"dropping-particle":"","family":"Elferink","given":"Ronald P J Oude","non-dropping-particle":"","parse-names":false,"suffix":""},{"dropping-particle":"","family":"Kenworthy","given":"Kathryn E","non-dropping-particle":"","parse-names":false,"suffix":""},{"dropping-particle":"","family":"Schinkel","given":"Alfred H","non-dropping-particle":"","parse-names":false,"suffix":""}],"container-title":"The Journal of clinical investigation","id":"ITEM-1","issue":"8","issued":{"date-parts":[["2010"]]},"page":"2942","publisher":"American Society for Clinical Investigation","title":"Organic anion transporting polypeptide 1a/1b–knockout mice provide insights into hepatic handling of bilirubin, bile acids, and drugs","type":"article-journal","volume":"120"},"uris":["http://www.mendeley.com/documents/?uuid=0ec83ea8-a98e-4cd9-811d-ab471369f7b8"]}],"mendeley":{"formattedCitation":"[25]","plainTextFormattedCitation":"[25]","previouslyFormattedCitation":"[25]"},"properties":{"noteIndex":0},"schema":"https://github.com/citation-style-language/schema/raw/master/csl-citation.json"}</w:instrText>
            </w:r>
            <w:r>
              <w:rPr>
                <w:sz w:val="21"/>
                <w:szCs w:val="21"/>
                <w:lang w:val="en-GB"/>
              </w:rPr>
              <w:fldChar w:fldCharType="separate"/>
            </w:r>
            <w:r w:rsidRPr="00035536">
              <w:rPr>
                <w:noProof/>
                <w:sz w:val="21"/>
                <w:szCs w:val="21"/>
                <w:lang w:val="en-GB"/>
              </w:rPr>
              <w:t>[25]</w:t>
            </w:r>
            <w:r>
              <w:rPr>
                <w:sz w:val="21"/>
                <w:szCs w:val="21"/>
                <w:lang w:val="en-GB"/>
              </w:rPr>
              <w:fldChar w:fldCharType="end"/>
            </w:r>
          </w:p>
        </w:tc>
      </w:tr>
      <w:tr w:rsidR="00B3136C" w:rsidRPr="00CA5593" w14:paraId="2DCC0613" w14:textId="77777777" w:rsidTr="008C0DA1">
        <w:trPr>
          <w:trHeight w:val="360"/>
        </w:trPr>
        <w:tc>
          <w:tcPr>
            <w:tcW w:w="1101" w:type="dxa"/>
            <w:noWrap/>
          </w:tcPr>
          <w:p w14:paraId="2C1F7C25" w14:textId="77777777" w:rsidR="00B3136C" w:rsidRPr="007D79B1" w:rsidRDefault="00B3136C" w:rsidP="003B76E2">
            <w:pPr>
              <w:jc w:val="both"/>
              <w:rPr>
                <w:sz w:val="21"/>
                <w:szCs w:val="21"/>
                <w:lang w:val="en-GB"/>
              </w:rPr>
            </w:pPr>
            <w:r w:rsidRPr="007D79B1">
              <w:rPr>
                <w:sz w:val="21"/>
                <w:szCs w:val="21"/>
                <w:lang w:val="en-GB"/>
              </w:rPr>
              <w:t>Oat2</w:t>
            </w:r>
          </w:p>
        </w:tc>
        <w:tc>
          <w:tcPr>
            <w:tcW w:w="1275" w:type="dxa"/>
            <w:noWrap/>
          </w:tcPr>
          <w:p w14:paraId="4EEA6B23" w14:textId="77777777" w:rsidR="00B3136C" w:rsidRPr="007D79B1" w:rsidRDefault="00B3136C" w:rsidP="003B76E2">
            <w:pPr>
              <w:jc w:val="both"/>
              <w:rPr>
                <w:sz w:val="21"/>
                <w:szCs w:val="21"/>
                <w:lang w:val="en-GB"/>
              </w:rPr>
            </w:pPr>
            <w:r w:rsidRPr="007D79B1">
              <w:rPr>
                <w:sz w:val="21"/>
                <w:szCs w:val="21"/>
                <w:lang w:val="en-GB"/>
              </w:rPr>
              <w:t>Mouse, rat, human</w:t>
            </w:r>
          </w:p>
        </w:tc>
        <w:tc>
          <w:tcPr>
            <w:tcW w:w="2552" w:type="dxa"/>
          </w:tcPr>
          <w:p w14:paraId="121CF370" w14:textId="77777777" w:rsidR="00B3136C" w:rsidRPr="007D79B1" w:rsidRDefault="00B3136C" w:rsidP="003B76E2">
            <w:pPr>
              <w:jc w:val="both"/>
              <w:rPr>
                <w:sz w:val="21"/>
                <w:szCs w:val="21"/>
                <w:lang w:val="en-US"/>
              </w:rPr>
            </w:pPr>
            <w:r w:rsidRPr="007D79B1">
              <w:rPr>
                <w:sz w:val="21"/>
                <w:szCs w:val="21"/>
                <w:lang w:val="en-GB"/>
              </w:rPr>
              <w:t xml:space="preserve">Organic anion transporter 2. </w:t>
            </w:r>
            <w:r w:rsidRPr="007D79B1">
              <w:rPr>
                <w:color w:val="000000"/>
                <w:sz w:val="21"/>
                <w:szCs w:val="21"/>
                <w:shd w:val="clear" w:color="auto" w:fill="FFFFFF"/>
                <w:lang w:val="en-US"/>
              </w:rPr>
              <w:t xml:space="preserve"> Novel liver transporter.</w:t>
            </w:r>
            <w:r w:rsidRPr="007D79B1">
              <w:rPr>
                <w:sz w:val="21"/>
                <w:szCs w:val="21"/>
                <w:lang w:val="en-US"/>
              </w:rPr>
              <w:t xml:space="preserve"> Slc22a7</w:t>
            </w:r>
          </w:p>
        </w:tc>
        <w:tc>
          <w:tcPr>
            <w:tcW w:w="1276" w:type="dxa"/>
            <w:noWrap/>
          </w:tcPr>
          <w:p w14:paraId="7BB3BB5E" w14:textId="77777777" w:rsidR="00B3136C" w:rsidRPr="007D79B1" w:rsidRDefault="00B3136C" w:rsidP="003B76E2">
            <w:pPr>
              <w:jc w:val="both"/>
              <w:rPr>
                <w:sz w:val="21"/>
                <w:szCs w:val="21"/>
                <w:lang w:val="en-GB"/>
              </w:rPr>
            </w:pPr>
            <w:r w:rsidRPr="007D79B1">
              <w:rPr>
                <w:sz w:val="21"/>
                <w:szCs w:val="21"/>
                <w:lang w:val="en-GB"/>
              </w:rPr>
              <w:t>2.A.1.19.25</w:t>
            </w:r>
          </w:p>
        </w:tc>
        <w:tc>
          <w:tcPr>
            <w:tcW w:w="1167" w:type="dxa"/>
          </w:tcPr>
          <w:p w14:paraId="39280161" w14:textId="77777777" w:rsidR="00B3136C" w:rsidRPr="007D79B1" w:rsidRDefault="00B3136C" w:rsidP="003B76E2">
            <w:pPr>
              <w:jc w:val="both"/>
              <w:rPr>
                <w:sz w:val="21"/>
                <w:szCs w:val="21"/>
                <w:lang w:val="en-GB"/>
              </w:rPr>
            </w:pPr>
            <w:r w:rsidRPr="007D79B1">
              <w:rPr>
                <w:sz w:val="21"/>
                <w:szCs w:val="21"/>
                <w:lang w:val="en-US"/>
              </w:rPr>
              <w:t>Slc22a7</w:t>
            </w:r>
            <w:r>
              <w:rPr>
                <w:sz w:val="21"/>
                <w:szCs w:val="21"/>
                <w:lang w:val="en-US"/>
              </w:rPr>
              <w:t>,</w:t>
            </w:r>
            <w:r w:rsidRPr="007D79B1">
              <w:rPr>
                <w:sz w:val="21"/>
                <w:szCs w:val="21"/>
                <w:lang w:val="en-US"/>
              </w:rPr>
              <w:t xml:space="preserve"> SLC22A7</w:t>
            </w:r>
          </w:p>
        </w:tc>
        <w:tc>
          <w:tcPr>
            <w:tcW w:w="1842" w:type="dxa"/>
            <w:noWrap/>
          </w:tcPr>
          <w:p w14:paraId="4EC9C65F" w14:textId="7F42277D" w:rsidR="00B3136C" w:rsidRPr="007D79B1" w:rsidRDefault="00B3136C" w:rsidP="003B76E2">
            <w:pPr>
              <w:jc w:val="both"/>
              <w:rPr>
                <w:sz w:val="21"/>
                <w:szCs w:val="21"/>
                <w:lang w:val="en-GB"/>
              </w:rPr>
            </w:pPr>
            <w:r>
              <w:rPr>
                <w:sz w:val="21"/>
                <w:szCs w:val="21"/>
                <w:lang w:val="en-GB"/>
              </w:rPr>
              <w:t xml:space="preserve">BR binding </w:t>
            </w:r>
            <w:r>
              <w:rPr>
                <w:sz w:val="21"/>
                <w:szCs w:val="21"/>
                <w:lang w:val="en-GB"/>
              </w:rPr>
              <w:fldChar w:fldCharType="begin" w:fldLock="1"/>
            </w:r>
            <w:r w:rsidR="008C0DA1">
              <w:rPr>
                <w:sz w:val="21"/>
                <w:szCs w:val="21"/>
                <w:lang w:val="en-GB"/>
              </w:rPr>
              <w:instrText>ADDIN CSL_CITATION {"citationItems":[{"id":"ITEM-1","itemData":{"ISSN":"1096-4959","author":[{"dropping-particle":"","family":"Dragojević","given":"Jelena","non-dropping-particle":"","parse-names":false,"suffix":""},{"dropping-particle":"","family":"Mihaljević","given":"Ivan","non-dropping-particle":"","parse-names":false,"suffix":""},{"dropping-particle":"","family":"Popović","given":"Marta","non-dropping-particle":"","parse-names":false,"suffix":""},{"dropping-particle":"","family":"Smital","given":"Tvrtko","non-dropping-particle":"","parse-names":false,"suffix":""}],"container-title":"Comparative Biochemistry and Physiology Part B: Biochemistry and Molecular Biology","id":"ITEM-1","issued":{"date-parts":[["2019"]]},"page":"110309","publisher":"Elsevier","title":"Zebrafish (Danio rerio) Oat1 and Oat3 transporters and their interaction with physiological compounds","type":"article-journal"},"uris":["http://www.mendeley.com/documents/?uuid=2436021b-eab5-4b6f-b3f1-44bd61f08c74"]}],"mendeley":{"formattedCitation":"[28]","plainTextFormattedCitation":"[28]","previouslyFormattedCitation":"[28]"},"properties":{"noteIndex":0},"schema":"https://github.com/citation-style-language/schema/raw/master/csl-citation.json"}</w:instrText>
            </w:r>
            <w:r>
              <w:rPr>
                <w:sz w:val="21"/>
                <w:szCs w:val="21"/>
                <w:lang w:val="en-GB"/>
              </w:rPr>
              <w:fldChar w:fldCharType="separate"/>
            </w:r>
            <w:r w:rsidRPr="00035536">
              <w:rPr>
                <w:noProof/>
                <w:sz w:val="21"/>
                <w:szCs w:val="21"/>
                <w:lang w:val="en-GB"/>
              </w:rPr>
              <w:t>[28]</w:t>
            </w:r>
            <w:r>
              <w:rPr>
                <w:sz w:val="21"/>
                <w:szCs w:val="21"/>
                <w:lang w:val="en-GB"/>
              </w:rPr>
              <w:fldChar w:fldCharType="end"/>
            </w:r>
          </w:p>
        </w:tc>
      </w:tr>
      <w:tr w:rsidR="00B3136C" w:rsidRPr="00CA5593" w14:paraId="666CD805" w14:textId="77777777" w:rsidTr="00AB53E8">
        <w:trPr>
          <w:trHeight w:val="590"/>
        </w:trPr>
        <w:tc>
          <w:tcPr>
            <w:tcW w:w="1101" w:type="dxa"/>
            <w:noWrap/>
          </w:tcPr>
          <w:p w14:paraId="0711DF65" w14:textId="77777777" w:rsidR="00B3136C" w:rsidRPr="007D79B1" w:rsidRDefault="00B3136C" w:rsidP="003B76E2">
            <w:pPr>
              <w:jc w:val="both"/>
              <w:rPr>
                <w:sz w:val="21"/>
                <w:szCs w:val="21"/>
                <w:lang w:val="en-GB"/>
              </w:rPr>
            </w:pPr>
            <w:r>
              <w:rPr>
                <w:sz w:val="21"/>
                <w:szCs w:val="21"/>
                <w:lang w:val="en-GB"/>
              </w:rPr>
              <w:t>Mrp3</w:t>
            </w:r>
          </w:p>
        </w:tc>
        <w:tc>
          <w:tcPr>
            <w:tcW w:w="1275" w:type="dxa"/>
            <w:noWrap/>
          </w:tcPr>
          <w:p w14:paraId="53B3ED06" w14:textId="77777777" w:rsidR="00B3136C" w:rsidRPr="007D79B1" w:rsidRDefault="00B3136C" w:rsidP="003B76E2">
            <w:pPr>
              <w:jc w:val="both"/>
              <w:rPr>
                <w:sz w:val="21"/>
                <w:szCs w:val="21"/>
                <w:lang w:val="en-GB"/>
              </w:rPr>
            </w:pPr>
            <w:r w:rsidRPr="007D79B1">
              <w:rPr>
                <w:sz w:val="21"/>
                <w:szCs w:val="21"/>
                <w:lang w:val="en-GB"/>
              </w:rPr>
              <w:t>Mouse, rat, human</w:t>
            </w:r>
          </w:p>
        </w:tc>
        <w:tc>
          <w:tcPr>
            <w:tcW w:w="2552" w:type="dxa"/>
          </w:tcPr>
          <w:p w14:paraId="3898D606" w14:textId="77777777" w:rsidR="00B3136C" w:rsidRPr="007D79B1" w:rsidRDefault="00B3136C" w:rsidP="003B76E2">
            <w:pPr>
              <w:jc w:val="both"/>
              <w:rPr>
                <w:sz w:val="21"/>
                <w:szCs w:val="21"/>
                <w:lang w:val="en-GB"/>
              </w:rPr>
            </w:pPr>
            <w:r>
              <w:rPr>
                <w:sz w:val="21"/>
                <w:szCs w:val="21"/>
                <w:lang w:val="en-GB"/>
              </w:rPr>
              <w:t>M</w:t>
            </w:r>
            <w:r w:rsidRPr="00AB3410">
              <w:rPr>
                <w:sz w:val="21"/>
                <w:szCs w:val="21"/>
                <w:lang w:val="en-GB"/>
              </w:rPr>
              <w:t>ultidrug resistance protein 3</w:t>
            </w:r>
            <w:r>
              <w:rPr>
                <w:sz w:val="21"/>
                <w:szCs w:val="21"/>
                <w:lang w:val="en-GB"/>
              </w:rPr>
              <w:t>. ABCC3.</w:t>
            </w:r>
          </w:p>
        </w:tc>
        <w:tc>
          <w:tcPr>
            <w:tcW w:w="1276" w:type="dxa"/>
            <w:noWrap/>
          </w:tcPr>
          <w:p w14:paraId="5A576BA9" w14:textId="77777777" w:rsidR="00B3136C" w:rsidRPr="007D79B1" w:rsidRDefault="00B3136C" w:rsidP="003B76E2">
            <w:pPr>
              <w:jc w:val="both"/>
              <w:rPr>
                <w:sz w:val="21"/>
                <w:szCs w:val="21"/>
                <w:lang w:val="en-GB"/>
              </w:rPr>
            </w:pPr>
            <w:r>
              <w:rPr>
                <w:sz w:val="21"/>
                <w:szCs w:val="21"/>
                <w:lang w:val="en-GB"/>
              </w:rPr>
              <w:t>3</w:t>
            </w:r>
            <w:r w:rsidRPr="003115DE">
              <w:rPr>
                <w:sz w:val="21"/>
                <w:szCs w:val="21"/>
                <w:lang w:val="en-GB"/>
              </w:rPr>
              <w:t>.A.1.208.9</w:t>
            </w:r>
          </w:p>
        </w:tc>
        <w:tc>
          <w:tcPr>
            <w:tcW w:w="1167" w:type="dxa"/>
          </w:tcPr>
          <w:p w14:paraId="66CA172C" w14:textId="77777777" w:rsidR="00B3136C" w:rsidRPr="007D79B1" w:rsidRDefault="00B3136C" w:rsidP="003B76E2">
            <w:pPr>
              <w:jc w:val="both"/>
              <w:rPr>
                <w:sz w:val="21"/>
                <w:szCs w:val="21"/>
                <w:lang w:val="en-US"/>
              </w:rPr>
            </w:pPr>
            <w:r>
              <w:rPr>
                <w:sz w:val="21"/>
                <w:szCs w:val="21"/>
                <w:lang w:val="en-GB"/>
              </w:rPr>
              <w:t>ABCC3</w:t>
            </w:r>
          </w:p>
        </w:tc>
        <w:tc>
          <w:tcPr>
            <w:tcW w:w="1842" w:type="dxa"/>
            <w:noWrap/>
          </w:tcPr>
          <w:p w14:paraId="71E7D896" w14:textId="3A946DA4" w:rsidR="00B3136C" w:rsidRPr="007D79B1" w:rsidRDefault="00B3136C" w:rsidP="003B76E2">
            <w:pPr>
              <w:jc w:val="both"/>
              <w:rPr>
                <w:sz w:val="21"/>
                <w:szCs w:val="21"/>
                <w:lang w:val="en-GB"/>
              </w:rPr>
            </w:pPr>
            <w:r>
              <w:rPr>
                <w:sz w:val="21"/>
                <w:szCs w:val="21"/>
                <w:lang w:val="en-GB"/>
              </w:rPr>
              <w:t xml:space="preserve">BRG transport </w:t>
            </w:r>
            <w:r>
              <w:rPr>
                <w:sz w:val="21"/>
                <w:szCs w:val="21"/>
                <w:lang w:val="en-GB"/>
              </w:rPr>
              <w:fldChar w:fldCharType="begin" w:fldLock="1"/>
            </w:r>
            <w:r w:rsidR="008C0DA1">
              <w:rPr>
                <w:sz w:val="21"/>
                <w:szCs w:val="21"/>
                <w:lang w:val="en-GB"/>
              </w:rPr>
              <w:instrText>ADDIN CSL_CITATION {"citationItems":[{"id":"ITEM-1","itemData":{"DOI":"10.1097/00008571-200404000-00001","abstract":"The human multidrug resistance protein 3 (MRP3, symbol ABCC3) is an ATP-binding cassette transporter that mediates the efflux of organic anions, including lipophilic substances conjugated with glucuronate, sulphate or glutathione, across the basolateral membrane of polarized cells (e.g. hepatocytes) into blood. Genetic variants of MRP3 may affect the transport of these substances out of cells. The aims of this study were: (i) to identify MRP3 polymorphisms; (ii) to functionally characterize one relatively frequent MRP3 polymorphism; and (iii) to establish whether MRP3 transports bilirubin glucuronosides. Exonic nucleotide variants in the ABCC3 gene were identified by single-strand conformation polymorphism analysis. The 3890G&gt;A mutation, resulting in MRP3-Arg1297His, was introduced into the ABCC3 cDNA which was stably transfected into MDCKII cells. For the functional characterization of MRP3-Arg1297His in comparison with MRP3, ATP-dependent transport was analysed in isolated membrane vesicles. Two non-synonymous MRP3 variants were identified with an allele frequency of 0.003 for 1643T&gt;A (MRP3-Leu548Gln) and 0.08 for 3890G&gt;A (MRP3-Arg1297His). Because of the high frequency of the 3890G&gt;A mutation, and because of the close proximity of Arg1297 to the second nucleotide-binding domain, we pursued the functional characterization of the MRP3-Arg1297His polymorphic variant. MRP3-Arg1297His was correctly localized to the basolateral membrane of polarized MDCKII cells. We identified monoglucuronosyl bilirubin, bisglucuronosyl bilirubin and leukotriene C4 as substrates for both MRP3 and MRP3-Arg1297His. Dehydroepiandrosterone-3-sulphate and 17β-glucuronosyl oestradiol were transported with similar kinetics by MRP3 and MRP3-Arg1297His. This experimental setup provides a useful tool to analyse the functional consequences of polymorphic variants of MRP3. © 2004 Lippincott Williams &amp; Wilkins.","author":[{"dropping-particle":"","family":"Lee","given":"Y.-M.A.","non-dropping-particle":"","parse-names":false,"suffix":""},{"dropping-particle":"","family":"Cui","given":"Y.","non-dropping-particle":"","parse-names":false,"suffix":""},{"dropping-particle":"","family":"König","given":"J.","non-dropping-particle":"","parse-names":false,"suffix":""},{"dropping-particle":"","family":"Risch","given":"A.","non-dropping-particle":"","parse-names":false,"suffix":""},{"dropping-particle":"","family":"Jäger","given":"B.","non-dropping-particle":"","parse-names":false,"suffix":""},{"dropping-particle":"","family":"Drings","given":"P.","non-dropping-particle":"","parse-names":false,"suffix":""},{"dropping-particle":"","family":"Bartsch","given":"H.","non-dropping-particle":"","parse-names":false,"suffix":""},{"dropping-particle":"","family":"Keppler","given":"D.","non-dropping-particle":"","parse-names":false,"suffix":""},{"dropping-particle":"","family":"Nies","given":"A.T.","non-dropping-particle":"","parse-names":false,"suffix":""}],"container-title":"Pharmacogenetics","id":"ITEM-1","issue":"4","issued":{"date-parts":[["2004"]]},"title":"Identification and functional characterization of the natural variant MRP3-Arg1297His of human multidrug resistance protein 3 (MRP3/ABCC3)","type":"article-journal","volume":"14"},"uris":["http://www.mendeley.com/documents/?uuid=ee50c719-665d-4840-88b6-649f6490ae2b"]}],"mendeley":{"formattedCitation":"[29]","plainTextFormattedCitation":"[29]","previouslyFormattedCitation":"[29]"},"properties":{"noteIndex":0},"schema":"https://github.com/citation-style-language/schema/raw/master/csl-citation.json"}</w:instrText>
            </w:r>
            <w:r>
              <w:rPr>
                <w:sz w:val="21"/>
                <w:szCs w:val="21"/>
                <w:lang w:val="en-GB"/>
              </w:rPr>
              <w:fldChar w:fldCharType="separate"/>
            </w:r>
            <w:r w:rsidRPr="00035536">
              <w:rPr>
                <w:noProof/>
                <w:sz w:val="21"/>
                <w:szCs w:val="21"/>
                <w:lang w:val="en-GB"/>
              </w:rPr>
              <w:t>[29]</w:t>
            </w:r>
            <w:r>
              <w:rPr>
                <w:sz w:val="21"/>
                <w:szCs w:val="21"/>
                <w:lang w:val="en-GB"/>
              </w:rPr>
              <w:fldChar w:fldCharType="end"/>
            </w:r>
          </w:p>
        </w:tc>
      </w:tr>
    </w:tbl>
    <w:p w14:paraId="3C3D1F0A" w14:textId="683B59BC" w:rsidR="00B3136C" w:rsidRDefault="00B3136C" w:rsidP="003B76E2">
      <w:pPr>
        <w:jc w:val="both"/>
        <w:rPr>
          <w:b/>
          <w:bCs/>
          <w:lang w:val="en-GB"/>
        </w:rPr>
      </w:pPr>
      <w:r>
        <w:rPr>
          <w:b/>
          <w:bCs/>
          <w:lang w:val="en-GB"/>
        </w:rPr>
        <w:br w:type="page"/>
      </w:r>
    </w:p>
    <w:p w14:paraId="0B1D3349" w14:textId="77CF473B" w:rsidR="00B3136C" w:rsidRPr="009D1AA1" w:rsidRDefault="00B3136C" w:rsidP="003B76E2">
      <w:pPr>
        <w:jc w:val="both"/>
        <w:rPr>
          <w:color w:val="FF0000"/>
          <w:sz w:val="36"/>
          <w:szCs w:val="36"/>
          <w:lang w:val="en-US"/>
        </w:rPr>
      </w:pPr>
      <w:r w:rsidRPr="001A6B93">
        <w:rPr>
          <w:b/>
          <w:bCs/>
          <w:lang w:val="en-US"/>
        </w:rPr>
        <w:lastRenderedPageBreak/>
        <w:t xml:space="preserve">Table </w:t>
      </w:r>
      <w:r>
        <w:rPr>
          <w:b/>
          <w:bCs/>
          <w:lang w:val="en-US"/>
        </w:rPr>
        <w:t>S1B</w:t>
      </w:r>
      <w:r w:rsidRPr="001A6B93">
        <w:rPr>
          <w:b/>
          <w:bCs/>
          <w:lang w:val="en-US"/>
        </w:rPr>
        <w:t>.</w:t>
      </w:r>
      <w:r w:rsidRPr="00B57F95">
        <w:rPr>
          <w:lang w:val="en-US"/>
        </w:rPr>
        <w:t xml:space="preserve"> </w:t>
      </w:r>
      <w:r w:rsidRPr="004646A9">
        <w:rPr>
          <w:b/>
          <w:bCs/>
          <w:lang w:val="en-US"/>
        </w:rPr>
        <w:t>List of compounds</w:t>
      </w:r>
      <w:r>
        <w:rPr>
          <w:b/>
          <w:bCs/>
          <w:lang w:val="en-US"/>
        </w:rPr>
        <w:t xml:space="preserve"> and target</w:t>
      </w:r>
      <w:r w:rsidR="00585D66">
        <w:rPr>
          <w:b/>
          <w:bCs/>
          <w:lang w:val="en-US"/>
        </w:rPr>
        <w:t>ed</w:t>
      </w:r>
      <w:r>
        <w:rPr>
          <w:b/>
          <w:bCs/>
          <w:lang w:val="en-US"/>
        </w:rPr>
        <w:t xml:space="preserve"> hepatic membrane transporters. </w:t>
      </w:r>
      <w:r w:rsidRPr="00CE104F">
        <w:rPr>
          <w:lang w:val="en-US"/>
        </w:rPr>
        <w:t xml:space="preserve">Compounds delivered as </w:t>
      </w:r>
      <w:r>
        <w:rPr>
          <w:lang w:val="en-US"/>
        </w:rPr>
        <w:t xml:space="preserve">single-pass </w:t>
      </w:r>
      <w:r w:rsidRPr="00CE104F">
        <w:rPr>
          <w:lang w:val="en-US"/>
        </w:rPr>
        <w:t xml:space="preserve">intra-portal </w:t>
      </w:r>
      <w:proofErr w:type="spellStart"/>
      <w:r w:rsidRPr="00CE104F">
        <w:rPr>
          <w:lang w:val="en-US"/>
        </w:rPr>
        <w:t>boli</w:t>
      </w:r>
      <w:proofErr w:type="spellEnd"/>
      <w:r w:rsidRPr="00CE104F">
        <w:rPr>
          <w:lang w:val="en-US"/>
        </w:rPr>
        <w:t xml:space="preserve"> </w:t>
      </w:r>
      <w:r>
        <w:rPr>
          <w:lang w:val="en-US"/>
        </w:rPr>
        <w:t xml:space="preserve">are coded according to the </w:t>
      </w:r>
      <w:r w:rsidRPr="00CE104F">
        <w:rPr>
          <w:lang w:val="en-US"/>
        </w:rPr>
        <w:t>Chemical Entities of Biological Interest (</w:t>
      </w:r>
      <w:proofErr w:type="spellStart"/>
      <w:r w:rsidRPr="00CE104F">
        <w:rPr>
          <w:lang w:val="en-US"/>
        </w:rPr>
        <w:t>ChEBI</w:t>
      </w:r>
      <w:proofErr w:type="spellEnd"/>
      <w:r w:rsidRPr="00CE104F">
        <w:rPr>
          <w:lang w:val="en-US"/>
        </w:rPr>
        <w:t>) dictionary</w:t>
      </w:r>
      <w:r>
        <w:rPr>
          <w:lang w:val="en-US"/>
        </w:rPr>
        <w:t>.</w:t>
      </w:r>
      <w:r w:rsidRPr="00CE104F">
        <w:rPr>
          <w:lang w:val="en-US"/>
        </w:rPr>
        <w:t xml:space="preserve"> </w:t>
      </w:r>
      <w:r w:rsidR="00585D66">
        <w:rPr>
          <w:lang w:val="en-US"/>
        </w:rPr>
        <w:t>T</w:t>
      </w:r>
      <w:r w:rsidRPr="00CE104F">
        <w:rPr>
          <w:lang w:val="en-US"/>
        </w:rPr>
        <w:t>arget</w:t>
      </w:r>
      <w:r w:rsidR="00585D66">
        <w:rPr>
          <w:lang w:val="en-US"/>
        </w:rPr>
        <w:t>ed</w:t>
      </w:r>
      <w:r w:rsidRPr="00CE104F">
        <w:rPr>
          <w:lang w:val="en-US"/>
        </w:rPr>
        <w:t xml:space="preserve"> hepatic membrane transporters</w:t>
      </w:r>
      <w:r>
        <w:rPr>
          <w:lang w:val="en-US"/>
        </w:rPr>
        <w:t xml:space="preserve"> (rat orthologues, unless otherwise specified)</w:t>
      </w:r>
      <w:r w:rsidR="00585D66">
        <w:rPr>
          <w:lang w:val="en-US"/>
        </w:rPr>
        <w:t xml:space="preserve"> are named by their acronyms</w:t>
      </w:r>
      <w:r>
        <w:rPr>
          <w:lang w:val="en-US"/>
        </w:rPr>
        <w:t xml:space="preserve">. </w:t>
      </w:r>
      <w:r w:rsidRPr="000D339D">
        <w:rPr>
          <w:color w:val="000000"/>
          <w:lang w:val="en-US"/>
        </w:rPr>
        <w:t xml:space="preserve">(*) Bilirubin </w:t>
      </w:r>
      <w:r>
        <w:rPr>
          <w:color w:val="000000"/>
          <w:lang w:val="en-US"/>
        </w:rPr>
        <w:t>(mono</w:t>
      </w:r>
      <w:r w:rsidR="00585D66">
        <w:rPr>
          <w:color w:val="000000"/>
          <w:lang w:val="en-US"/>
        </w:rPr>
        <w:t>- or di</w:t>
      </w:r>
      <w:proofErr w:type="gramStart"/>
      <w:r w:rsidR="00585D66">
        <w:rPr>
          <w:color w:val="000000"/>
          <w:lang w:val="en-US"/>
        </w:rPr>
        <w:t>-</w:t>
      </w:r>
      <w:r>
        <w:rPr>
          <w:color w:val="000000"/>
          <w:lang w:val="en-US"/>
        </w:rPr>
        <w:t>)</w:t>
      </w:r>
      <w:r w:rsidRPr="000D339D">
        <w:rPr>
          <w:color w:val="000000"/>
          <w:lang w:val="en-US"/>
        </w:rPr>
        <w:t>glucuronide</w:t>
      </w:r>
      <w:proofErr w:type="gramEnd"/>
      <w:r w:rsidRPr="000D339D">
        <w:rPr>
          <w:color w:val="000000"/>
          <w:lang w:val="en-US"/>
        </w:rPr>
        <w:t xml:space="preserve"> is the endogenous product of the reaction </w:t>
      </w:r>
      <w:proofErr w:type="spellStart"/>
      <w:r w:rsidRPr="000D339D">
        <w:rPr>
          <w:color w:val="000000"/>
          <w:lang w:val="en-US"/>
        </w:rPr>
        <w:t>cata</w:t>
      </w:r>
      <w:r>
        <w:rPr>
          <w:color w:val="000000"/>
          <w:lang w:val="en-US"/>
        </w:rPr>
        <w:t>lysed</w:t>
      </w:r>
      <w:proofErr w:type="spellEnd"/>
      <w:r>
        <w:rPr>
          <w:color w:val="000000"/>
          <w:lang w:val="en-US"/>
        </w:rPr>
        <w:t xml:space="preserve"> by UGT1A1.</w:t>
      </w:r>
      <w:r w:rsidRPr="007908C7">
        <w:rPr>
          <w:lang w:val="en-US"/>
        </w:rPr>
        <w:t xml:space="preserve"> </w:t>
      </w:r>
      <w:proofErr w:type="spellStart"/>
      <w:r>
        <w:rPr>
          <w:lang w:val="en-US"/>
        </w:rPr>
        <w:t>n.a.</w:t>
      </w:r>
      <w:proofErr w:type="spellEnd"/>
      <w:r>
        <w:rPr>
          <w:lang w:val="en-US"/>
        </w:rPr>
        <w:t>, not administered</w:t>
      </w:r>
      <w:r w:rsidR="00585D66">
        <w:rPr>
          <w:lang w:val="en-US"/>
        </w:rPr>
        <w:t>, but detected in the perfusion effluent</w:t>
      </w:r>
      <w:r>
        <w:rPr>
          <w:lang w:val="en-US"/>
        </w:rPr>
        <w:t>.</w:t>
      </w:r>
    </w:p>
    <w:tbl>
      <w:tblPr>
        <w:tblpPr w:leftFromText="141" w:rightFromText="141" w:vertAnchor="text" w:tblpY="1"/>
        <w:tblOverlap w:val="neve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3"/>
        <w:gridCol w:w="1276"/>
        <w:gridCol w:w="992"/>
        <w:gridCol w:w="3260"/>
        <w:gridCol w:w="1984"/>
      </w:tblGrid>
      <w:tr w:rsidR="00B3136C" w:rsidRPr="00CA5593" w14:paraId="08D9A7BA" w14:textId="77777777" w:rsidTr="00573A04">
        <w:trPr>
          <w:trHeight w:val="300"/>
        </w:trPr>
        <w:tc>
          <w:tcPr>
            <w:tcW w:w="1413" w:type="dxa"/>
            <w:shd w:val="clear" w:color="auto" w:fill="auto"/>
            <w:noWrap/>
            <w:vAlign w:val="bottom"/>
            <w:hideMark/>
          </w:tcPr>
          <w:p w14:paraId="3BAEC886" w14:textId="77777777" w:rsidR="00B3136C" w:rsidRPr="00F82985" w:rsidRDefault="00B3136C" w:rsidP="003B76E2">
            <w:pPr>
              <w:jc w:val="both"/>
              <w:rPr>
                <w:b/>
                <w:bCs/>
                <w:color w:val="000000"/>
                <w:sz w:val="20"/>
                <w:szCs w:val="20"/>
                <w:lang w:val="en-US"/>
              </w:rPr>
            </w:pPr>
            <w:r w:rsidRPr="00F82985">
              <w:rPr>
                <w:b/>
                <w:bCs/>
                <w:color w:val="000000"/>
                <w:sz w:val="20"/>
                <w:szCs w:val="20"/>
                <w:lang w:val="en-US"/>
              </w:rPr>
              <w:t xml:space="preserve">Compound </w:t>
            </w:r>
          </w:p>
        </w:tc>
        <w:tc>
          <w:tcPr>
            <w:tcW w:w="1276" w:type="dxa"/>
            <w:shd w:val="clear" w:color="auto" w:fill="auto"/>
            <w:noWrap/>
            <w:vAlign w:val="bottom"/>
            <w:hideMark/>
          </w:tcPr>
          <w:p w14:paraId="3B4FA116" w14:textId="77777777" w:rsidR="00B3136C" w:rsidRPr="00F82985" w:rsidRDefault="00B3136C" w:rsidP="003B76E2">
            <w:pPr>
              <w:jc w:val="both"/>
              <w:rPr>
                <w:b/>
                <w:bCs/>
                <w:color w:val="000000"/>
                <w:sz w:val="20"/>
                <w:szCs w:val="20"/>
                <w:lang w:val="en-US"/>
              </w:rPr>
            </w:pPr>
            <w:r w:rsidRPr="00F82985">
              <w:rPr>
                <w:b/>
                <w:bCs/>
                <w:color w:val="000000"/>
                <w:sz w:val="20"/>
                <w:szCs w:val="20"/>
                <w:lang w:val="en-US"/>
              </w:rPr>
              <w:t xml:space="preserve">[Compound] in the bolus (mM) </w:t>
            </w:r>
          </w:p>
        </w:tc>
        <w:tc>
          <w:tcPr>
            <w:tcW w:w="992" w:type="dxa"/>
            <w:shd w:val="clear" w:color="auto" w:fill="auto"/>
            <w:noWrap/>
            <w:vAlign w:val="bottom"/>
            <w:hideMark/>
          </w:tcPr>
          <w:p w14:paraId="78E38BC0" w14:textId="77777777" w:rsidR="00B3136C" w:rsidRPr="00F82985" w:rsidRDefault="00B3136C" w:rsidP="003B76E2">
            <w:pPr>
              <w:jc w:val="both"/>
              <w:rPr>
                <w:b/>
                <w:bCs/>
                <w:color w:val="000000"/>
                <w:sz w:val="20"/>
                <w:szCs w:val="20"/>
                <w:lang w:val="en-US"/>
              </w:rPr>
            </w:pPr>
            <w:r w:rsidRPr="00F82985">
              <w:rPr>
                <w:b/>
                <w:bCs/>
                <w:color w:val="000000"/>
                <w:sz w:val="20"/>
                <w:szCs w:val="20"/>
                <w:lang w:val="en-US"/>
              </w:rPr>
              <w:t>nmol injected</w:t>
            </w:r>
          </w:p>
        </w:tc>
        <w:tc>
          <w:tcPr>
            <w:tcW w:w="3260" w:type="dxa"/>
            <w:shd w:val="clear" w:color="auto" w:fill="auto"/>
            <w:noWrap/>
            <w:vAlign w:val="bottom"/>
            <w:hideMark/>
          </w:tcPr>
          <w:p w14:paraId="4C753EE2" w14:textId="77777777" w:rsidR="00B3136C" w:rsidRPr="00F82985" w:rsidRDefault="00B3136C" w:rsidP="003B76E2">
            <w:pPr>
              <w:jc w:val="both"/>
              <w:rPr>
                <w:b/>
                <w:bCs/>
                <w:color w:val="000000"/>
                <w:sz w:val="20"/>
                <w:szCs w:val="20"/>
                <w:lang w:val="en-US"/>
              </w:rPr>
            </w:pPr>
            <w:r w:rsidRPr="00F82985">
              <w:rPr>
                <w:b/>
                <w:bCs/>
                <w:color w:val="000000"/>
                <w:sz w:val="20"/>
                <w:szCs w:val="20"/>
                <w:lang w:val="en-US"/>
              </w:rPr>
              <w:t xml:space="preserve">Target sinusoidal transporter </w:t>
            </w:r>
          </w:p>
        </w:tc>
        <w:tc>
          <w:tcPr>
            <w:tcW w:w="1984" w:type="dxa"/>
            <w:shd w:val="clear" w:color="auto" w:fill="auto"/>
            <w:noWrap/>
            <w:vAlign w:val="bottom"/>
            <w:hideMark/>
          </w:tcPr>
          <w:p w14:paraId="48FA40F0" w14:textId="77777777" w:rsidR="00B3136C" w:rsidRPr="00F82985" w:rsidRDefault="00B3136C" w:rsidP="003B76E2">
            <w:pPr>
              <w:jc w:val="both"/>
              <w:rPr>
                <w:b/>
                <w:bCs/>
                <w:color w:val="000000"/>
                <w:sz w:val="20"/>
                <w:szCs w:val="20"/>
                <w:lang w:val="en-US"/>
              </w:rPr>
            </w:pPr>
            <w:r w:rsidRPr="00F82985">
              <w:rPr>
                <w:b/>
                <w:bCs/>
                <w:color w:val="000000"/>
                <w:sz w:val="20"/>
                <w:szCs w:val="20"/>
                <w:lang w:val="en-US"/>
              </w:rPr>
              <w:t>Target biliary Efflux transporter</w:t>
            </w:r>
          </w:p>
          <w:p w14:paraId="439A130D" w14:textId="77777777" w:rsidR="00B3136C" w:rsidRPr="00F82985" w:rsidRDefault="00B3136C" w:rsidP="003B76E2">
            <w:pPr>
              <w:jc w:val="both"/>
              <w:rPr>
                <w:b/>
                <w:bCs/>
                <w:color w:val="000000"/>
                <w:sz w:val="20"/>
                <w:szCs w:val="20"/>
                <w:lang w:val="en-US"/>
              </w:rPr>
            </w:pPr>
          </w:p>
        </w:tc>
      </w:tr>
      <w:tr w:rsidR="00B3136C" w:rsidRPr="00F82985" w14:paraId="14960E9E" w14:textId="77777777" w:rsidTr="00573A04">
        <w:trPr>
          <w:trHeight w:val="300"/>
        </w:trPr>
        <w:tc>
          <w:tcPr>
            <w:tcW w:w="1413" w:type="dxa"/>
            <w:shd w:val="clear" w:color="auto" w:fill="auto"/>
            <w:noWrap/>
            <w:vAlign w:val="bottom"/>
            <w:hideMark/>
          </w:tcPr>
          <w:p w14:paraId="2104416C" w14:textId="77777777" w:rsidR="00B3136C" w:rsidRDefault="00B3136C" w:rsidP="003B76E2">
            <w:pPr>
              <w:jc w:val="both"/>
              <w:rPr>
                <w:color w:val="000000"/>
                <w:sz w:val="20"/>
                <w:szCs w:val="20"/>
                <w:lang w:val="en-US"/>
              </w:rPr>
            </w:pPr>
            <w:r w:rsidRPr="00F82985">
              <w:rPr>
                <w:color w:val="000000"/>
                <w:sz w:val="20"/>
                <w:szCs w:val="20"/>
                <w:lang w:val="en-US"/>
              </w:rPr>
              <w:t>Bilirubin</w:t>
            </w:r>
          </w:p>
          <w:p w14:paraId="3B4E7E36" w14:textId="77777777" w:rsidR="00B3136C" w:rsidRPr="00F82985" w:rsidRDefault="00B3136C" w:rsidP="003B76E2">
            <w:pPr>
              <w:jc w:val="both"/>
              <w:rPr>
                <w:color w:val="000000"/>
                <w:sz w:val="20"/>
                <w:szCs w:val="20"/>
                <w:lang w:val="en-US"/>
              </w:rPr>
            </w:pPr>
            <w:r w:rsidRPr="001A314B">
              <w:rPr>
                <w:color w:val="000000"/>
                <w:sz w:val="20"/>
                <w:szCs w:val="20"/>
                <w:lang w:val="en-US"/>
              </w:rPr>
              <w:t>CHEBI:16990</w:t>
            </w:r>
          </w:p>
        </w:tc>
        <w:tc>
          <w:tcPr>
            <w:tcW w:w="1276" w:type="dxa"/>
            <w:shd w:val="clear" w:color="auto" w:fill="auto"/>
            <w:noWrap/>
            <w:vAlign w:val="bottom"/>
            <w:hideMark/>
          </w:tcPr>
          <w:p w14:paraId="4D4CBD60" w14:textId="77777777" w:rsidR="00B3136C" w:rsidRPr="00F82985" w:rsidRDefault="00B3136C" w:rsidP="003B76E2">
            <w:pPr>
              <w:jc w:val="both"/>
              <w:rPr>
                <w:color w:val="000000"/>
                <w:sz w:val="20"/>
                <w:szCs w:val="20"/>
                <w:lang w:val="en-US"/>
              </w:rPr>
            </w:pPr>
            <w:r w:rsidRPr="00F82985">
              <w:rPr>
                <w:color w:val="000000"/>
                <w:sz w:val="20"/>
                <w:szCs w:val="20"/>
                <w:lang w:val="en-US"/>
              </w:rPr>
              <w:t>0.05</w:t>
            </w:r>
          </w:p>
        </w:tc>
        <w:tc>
          <w:tcPr>
            <w:tcW w:w="992" w:type="dxa"/>
            <w:shd w:val="clear" w:color="auto" w:fill="auto"/>
            <w:noWrap/>
            <w:vAlign w:val="bottom"/>
            <w:hideMark/>
          </w:tcPr>
          <w:p w14:paraId="1409EAF6" w14:textId="77777777" w:rsidR="00B3136C" w:rsidRPr="00F82985" w:rsidRDefault="00B3136C" w:rsidP="003B76E2">
            <w:pPr>
              <w:jc w:val="both"/>
              <w:rPr>
                <w:color w:val="000000"/>
                <w:sz w:val="20"/>
                <w:szCs w:val="20"/>
                <w:lang w:val="en-US"/>
              </w:rPr>
            </w:pPr>
            <w:r w:rsidRPr="00F82985">
              <w:rPr>
                <w:color w:val="000000"/>
                <w:sz w:val="20"/>
                <w:szCs w:val="20"/>
                <w:lang w:val="en-US"/>
              </w:rPr>
              <w:t>10</w:t>
            </w:r>
          </w:p>
        </w:tc>
        <w:tc>
          <w:tcPr>
            <w:tcW w:w="3260" w:type="dxa"/>
            <w:shd w:val="clear" w:color="auto" w:fill="auto"/>
            <w:noWrap/>
            <w:vAlign w:val="bottom"/>
            <w:hideMark/>
          </w:tcPr>
          <w:p w14:paraId="5B87A619" w14:textId="374BA8BC" w:rsidR="00B3136C" w:rsidRDefault="00B3136C" w:rsidP="003B76E2">
            <w:pPr>
              <w:jc w:val="both"/>
              <w:rPr>
                <w:color w:val="000000"/>
                <w:sz w:val="20"/>
                <w:szCs w:val="20"/>
              </w:rPr>
            </w:pPr>
            <w:r w:rsidRPr="001A1059">
              <w:rPr>
                <w:color w:val="000000"/>
                <w:sz w:val="20"/>
                <w:szCs w:val="20"/>
                <w:lang w:val="en-US"/>
              </w:rPr>
              <w:t xml:space="preserve">INFLUX: BTL </w:t>
            </w:r>
            <w:r w:rsidRPr="001A1059">
              <w:rPr>
                <w:sz w:val="20"/>
                <w:szCs w:val="20"/>
                <w:lang w:val="en-US"/>
              </w:rPr>
              <w:t xml:space="preserve">(Ki = 2 </w:t>
            </w:r>
            <w:proofErr w:type="spellStart"/>
            <w:r w:rsidRPr="001A1059">
              <w:rPr>
                <w:sz w:val="20"/>
                <w:szCs w:val="20"/>
                <w:lang w:val="en-US"/>
              </w:rPr>
              <w:t>nM</w:t>
            </w:r>
            <w:proofErr w:type="spellEnd"/>
            <w:r w:rsidRPr="001A1059">
              <w:rPr>
                <w:sz w:val="20"/>
                <w:szCs w:val="20"/>
                <w:lang w:val="en-US"/>
              </w:rPr>
              <w:t xml:space="preserve">) </w:t>
            </w:r>
            <w:r w:rsidRPr="00F82985">
              <w:rPr>
                <w:color w:val="000000"/>
                <w:sz w:val="20"/>
                <w:szCs w:val="20"/>
              </w:rPr>
              <w:fldChar w:fldCharType="begin" w:fldLock="1"/>
            </w:r>
            <w:r w:rsidR="008C0DA1">
              <w:rPr>
                <w:color w:val="000000"/>
                <w:sz w:val="20"/>
                <w:szCs w:val="20"/>
                <w:lang w:val="en-US"/>
              </w:rPr>
              <w:instrText>ADDIN CSL_CITATION {"citationItems":[{"id":"ITEM-1","itemData":{"ISSN":"00052736","PMID":"9030219","abstract":"The serine protease inhibitor phenylmethylsulfonyl fluoride is shown to cause partial inhibition of bilitranslocase transport activity in rat liver plasma membrane vesicles. This condition can be fully reversed by means of pyridine-2-aldoxime methiodide, indicating that the carrier has undergone sulfonylation. Protection against inactivation is afforded by both bilirubin, the natural substrate, and nicotinic acid, but, unexpectedly, by neither sulfobromophthalein, the chromophoric substrate employed in bilitranslocase transport activity assay, nor rifamycin SV, a competitive inhibitor of sulfobromophthalein transport. From these protection experiments, the K(d) for the complex of bilitranslocase with either bilirubin or nicotinic acid has been estimated to be 2.1 and 10.8 nM, respectively. Tentatively, the target for phenylmethylsulfonyl fluoride on bilitranslocase is identified as a recognition site for the physiological substrates.","author":[{"dropping-particle":"","family":"Passamonti","given":"Sabina","non-dropping-particle":"","parse-names":false,"suffix":""},{"dropping-particle":"","family":"Battiston","given":"Lucia","non-dropping-particle":"","parse-names":false,"suffix":""},{"dropping-particle":"","family":"Sottocasa","given":"Gian Luigi","non-dropping-particle":"","parse-names":false,"suffix":""}],"container-title":"Biochimica et Biophysica Acta - Biomembranes","id":"ITEM-1","issue":"1","issued":{"date-parts":[["1997"]]},"page":"130-136","title":"Arylsulfonylation of bilitranslocase in plasma membranes from rat liver enables to discriminate between natural and artificial substrates","type":"article-journal","volume":"1323"},"uris":["http://www.mendeley.com/documents/?uuid=e3ad02a7-c3bb-4357-bdea-c3ded42f8ac0"]}],"mendeley":{"formattedCitation":"[30]","plainTextFormattedCitation":"[30]","previouslyFormattedCitation":"[30]"},"properties":{"noteIndex":0},"schema":"https://github.com/citation-style-language/schema/raw/master/csl-citation.json"}</w:instrText>
            </w:r>
            <w:r w:rsidRPr="00F82985">
              <w:rPr>
                <w:color w:val="000000"/>
                <w:sz w:val="20"/>
                <w:szCs w:val="20"/>
              </w:rPr>
              <w:fldChar w:fldCharType="separate"/>
            </w:r>
            <w:r w:rsidRPr="00035536">
              <w:rPr>
                <w:noProof/>
                <w:color w:val="000000"/>
                <w:sz w:val="20"/>
                <w:szCs w:val="20"/>
              </w:rPr>
              <w:t>[30]</w:t>
            </w:r>
            <w:r w:rsidRPr="00F82985">
              <w:rPr>
                <w:color w:val="000000"/>
                <w:sz w:val="20"/>
                <w:szCs w:val="20"/>
              </w:rPr>
              <w:fldChar w:fldCharType="end"/>
            </w:r>
            <w:r w:rsidRPr="00F82985">
              <w:rPr>
                <w:color w:val="000000"/>
                <w:sz w:val="20"/>
                <w:szCs w:val="20"/>
              </w:rPr>
              <w:fldChar w:fldCharType="begin" w:fldLock="1"/>
            </w:r>
            <w:r w:rsidR="008C0DA1">
              <w:rPr>
                <w:color w:val="000000"/>
                <w:sz w:val="20"/>
                <w:szCs w:val="20"/>
              </w:rPr>
              <w:instrText>ADDIN CSL_CITATION {"citationItems":[{"id":"ITEM-1","itemData":{"DOI":"10.1006/bbrc.1998.8868","ISSN":"0006-291X (Print)","PMID":"9647754","abstract":"In the primary structure of bilitranslocase, currently under study in our laboratory, an aminoacid motif was identified and found to be conserved in a number of alpha-phycocyanines, ancient biliproteins present in cyanobacteria. To test the possibility that such a motif could be at least part of the binding site for bilirubin, epitope-specific antibodies were raised. The target corresponds to the sequence 65-75 of bilitranslocase and covers the central portion of the motif identified. The antibodies were shown: 1) to inhibit the electrogenic BSP transport by plasmamembrane vesicles; 2) to react with purified bilitranslocase; and 3) to identify only one protein band with electrophoretic mobility identical to bilitranslocase in Western blots of solubilised plasmamembrane vesicles. The presence of either bilirubin or nicotinate during pre-incubation with the antibodies decreases concentration-wise the inhibition kinetics. From these experiments a dissociation constant of 2.2 +/- 0.3 and 11.3 +/- 1.3 nM for bilirubin-bilitranslocase and nicotinate-bilitranslocase complexes were calculated.","author":[{"dropping-particle":"","family":"Battiston","given":"L","non-dropping-particle":"","parse-names":false,"suffix":""},{"dropping-particle":"","family":"Passamonti","given":"S","non-dropping-particle":"","parse-names":false,"suffix":""},{"dropping-particle":"","family":"Macagno","given":"A","non-dropping-particle":"","parse-names":false,"suffix":""},{"dropping-particle":"","family":"Sottocasa","given":"G L","non-dropping-particle":"","parse-names":false,"suffix":""}],"container-title":"Biochemical and biophysical research communications","id":"ITEM-1","issue":"3","issued":{"date-parts":[["1998","6"]]},"language":"eng","page":"687-692","publisher-place":"UNITED STATES","title":"The bilirubin-binding motif of bilitranslocase and its relation to conserved motifs in ancient biliproteins.","type":"article-journal","volume":"247"},"uris":["http://www.mendeley.com/documents/?uuid=31d673e1-84b9-476a-941c-55461905d845"]}],"mendeley":{"formattedCitation":"[23]","plainTextFormattedCitation":"[23]","previouslyFormattedCitation":"[23]"},"properties":{"noteIndex":0},"schema":"https://github.com/citation-style-language/schema/raw/master/csl-citation.json"}</w:instrText>
            </w:r>
            <w:r w:rsidRPr="00F82985">
              <w:rPr>
                <w:color w:val="000000"/>
                <w:sz w:val="20"/>
                <w:szCs w:val="20"/>
              </w:rPr>
              <w:fldChar w:fldCharType="separate"/>
            </w:r>
            <w:r w:rsidRPr="00035536">
              <w:rPr>
                <w:noProof/>
                <w:color w:val="000000"/>
                <w:sz w:val="20"/>
                <w:szCs w:val="20"/>
              </w:rPr>
              <w:t>[23]</w:t>
            </w:r>
            <w:r w:rsidRPr="00F82985">
              <w:rPr>
                <w:color w:val="000000"/>
                <w:sz w:val="20"/>
                <w:szCs w:val="20"/>
              </w:rPr>
              <w:fldChar w:fldCharType="end"/>
            </w:r>
            <w:r w:rsidRPr="00F82985">
              <w:rPr>
                <w:color w:val="000000"/>
                <w:sz w:val="20"/>
                <w:szCs w:val="20"/>
              </w:rPr>
              <w:fldChar w:fldCharType="begin" w:fldLock="1"/>
            </w:r>
            <w:r w:rsidR="008C0DA1">
              <w:rPr>
                <w:color w:val="000000"/>
                <w:sz w:val="20"/>
                <w:szCs w:val="20"/>
              </w:rPr>
              <w:instrText>ADDIN CSL_CITATION {"citationItems":[{"id":"ITEM-1","itemData":{"ISSN":"0968-7688 (Print)","PMID":"10417981","abstract":"Bilitranslocase is a plasma membrane carrier involved in the uptake of bilirubin  and other organic anions from the blood into the liver cell. In the membrane, the carrier occurs as two interchangeable metastable forms, with high and low affinity for the substrates, respectively. The latter form can be specifically produced by either cysteine- or arginine modification. In liver plasma membrane vesicles, the serine-specific reagent phenylmethylsulphonyl fluoride is a partial inhibitor of bilitranslocase-mediated BSP transport rate. In this work, phenylmethyl-sulphonyl fluoride is shown to reduce the carrier maximal transport rate, without affecting its affinity for that substrate. In addition, it is found that the chemical modification caused by this reagent neither influences the equilibrium between the high- and the low-affinity forms nor prevents their free interconversion. From the effects of combined derivatizations of cysteine(s), arginine(s) and serine(s), it is concluded that the functionally relevant aminoacid residues lie in a close spatial arrangement. Also, in this study, the PMSF-modified serine(s) is shown to be involved in bilirubin binding by bilitranslocase.","author":[{"dropping-particle":"","family":"Passamonti","given":"S","non-dropping-particle":"","parse-names":false,"suffix":""},{"dropping-particle":"","family":"Battiston","given":"L","non-dropping-particle":"","parse-names":false,"suffix":""},{"dropping-particle":"","family":"Sottocasa","given":"G L","non-dropping-particle":"","parse-names":false,"suffix":""}],"container-title":"Molecular membrane biology","id":"ITEM-1","issue":"2","issued":{"date-parts":[["1999"]]},"language":"eng","page":"167-172","publisher-place":"ENGLAND","title":"On the mechanism of bilitranslocase transport inactivation by phenylmethylsulphonyl fluoride.","type":"article-journal","volume":"16"},"uris":["http://www.mendeley.com/documents/?uuid=9afcb4d1-8c8b-4e13-9021-9dbc247b54fe"]}],"mendeley":{"formattedCitation":"[31]","plainTextFormattedCitation":"[31]","previouslyFormattedCitation":"[31]"},"properties":{"noteIndex":0},"schema":"https://github.com/citation-style-language/schema/raw/master/csl-citation.json"}</w:instrText>
            </w:r>
            <w:r w:rsidRPr="00F82985">
              <w:rPr>
                <w:color w:val="000000"/>
                <w:sz w:val="20"/>
                <w:szCs w:val="20"/>
              </w:rPr>
              <w:fldChar w:fldCharType="separate"/>
            </w:r>
            <w:r w:rsidRPr="00035536">
              <w:rPr>
                <w:noProof/>
                <w:color w:val="000000"/>
                <w:sz w:val="20"/>
                <w:szCs w:val="20"/>
              </w:rPr>
              <w:t>[31]</w:t>
            </w:r>
            <w:r w:rsidRPr="00F82985">
              <w:rPr>
                <w:color w:val="000000"/>
                <w:sz w:val="20"/>
                <w:szCs w:val="20"/>
              </w:rPr>
              <w:fldChar w:fldCharType="end"/>
            </w:r>
          </w:p>
          <w:p w14:paraId="7DFBF8E6" w14:textId="77777777" w:rsidR="00B3136C" w:rsidRDefault="00B3136C" w:rsidP="003B76E2">
            <w:pPr>
              <w:jc w:val="both"/>
              <w:rPr>
                <w:color w:val="000000"/>
                <w:sz w:val="20"/>
                <w:szCs w:val="20"/>
              </w:rPr>
            </w:pPr>
            <w:r>
              <w:rPr>
                <w:color w:val="000000"/>
                <w:sz w:val="20"/>
                <w:szCs w:val="20"/>
              </w:rPr>
              <w:t xml:space="preserve">EFFLUX: </w:t>
            </w:r>
            <w:r w:rsidRPr="00F82985">
              <w:rPr>
                <w:color w:val="000000"/>
                <w:sz w:val="20"/>
                <w:szCs w:val="20"/>
              </w:rPr>
              <w:t>Unknown</w:t>
            </w:r>
          </w:p>
          <w:p w14:paraId="46889E5E" w14:textId="77777777" w:rsidR="00B3136C" w:rsidRPr="00F82985" w:rsidRDefault="00B3136C" w:rsidP="003B76E2">
            <w:pPr>
              <w:jc w:val="both"/>
              <w:rPr>
                <w:color w:val="000000"/>
                <w:sz w:val="20"/>
                <w:szCs w:val="20"/>
              </w:rPr>
            </w:pPr>
          </w:p>
        </w:tc>
        <w:tc>
          <w:tcPr>
            <w:tcW w:w="1984" w:type="dxa"/>
            <w:shd w:val="clear" w:color="auto" w:fill="auto"/>
            <w:noWrap/>
            <w:vAlign w:val="bottom"/>
            <w:hideMark/>
          </w:tcPr>
          <w:p w14:paraId="02305E15" w14:textId="3CDC4A5F" w:rsidR="00B3136C" w:rsidRPr="00F82985" w:rsidRDefault="00B3136C" w:rsidP="003B76E2">
            <w:pPr>
              <w:jc w:val="both"/>
              <w:rPr>
                <w:color w:val="000000"/>
                <w:sz w:val="20"/>
                <w:szCs w:val="20"/>
              </w:rPr>
            </w:pPr>
            <w:proofErr w:type="spellStart"/>
            <w:r w:rsidRPr="00F82985">
              <w:rPr>
                <w:color w:val="000000"/>
                <w:sz w:val="20"/>
                <w:szCs w:val="20"/>
                <w:lang w:val="en-US"/>
              </w:rPr>
              <w:t>Bcrp</w:t>
            </w:r>
            <w:proofErr w:type="spellEnd"/>
            <w:r w:rsidRPr="00F82985">
              <w:rPr>
                <w:color w:val="000000"/>
                <w:sz w:val="20"/>
                <w:szCs w:val="20"/>
                <w:lang w:val="en-US"/>
              </w:rPr>
              <w:t xml:space="preserve"> (mouse) and another unknown transporter </w:t>
            </w:r>
            <w:r w:rsidRPr="00F82985">
              <w:rPr>
                <w:color w:val="000000"/>
                <w:sz w:val="20"/>
                <w:szCs w:val="20"/>
              </w:rPr>
              <w:fldChar w:fldCharType="begin" w:fldLock="1"/>
            </w:r>
            <w:r w:rsidR="008C0DA1">
              <w:rPr>
                <w:color w:val="000000"/>
                <w:sz w:val="20"/>
                <w:szCs w:val="20"/>
                <w:lang w:val="en-US"/>
              </w:rPr>
              <w:instrText>ADDIN CSL_CITATION {"citationItems":[{"id":"ITEM-1","itemData":{"abstract":"Purpose: ABCC2 (MRP2) and ABCG2 (BCRP) transport various endogenous and exogenous compounds, including many anticancer drugs, into bile, feces, and urine. We investigated the possibly overlapping roles of Abcg2 and Abcc2 in the elimination of the anticancer drug methotrexate (MTX) and its toxic metabolite 7-hydroxymethotrexate (7OH-MTX). Experimental Design: We generated and characterized Abcc2;Abcg2-/- mice, and used these to determine the overlapping roles of Abcc2 and Abcg2 in the elimination of MTX and 7OH-MTX after i.v. administration of 50 mg/kg MTX. Results: Compared with wild-type, the plasma areas under the curve (AUC) for MTX were 1.6-fold and 2.0-fold higher in Abcg2-/- and Abcc2-/- mice, respectively, and 3.3-fold increased in Abcc2;Abcg2-/- mice. The biliary excretion of MTX was 23-fold reduced in Abcc2;Abcg2-/- mice, and the MTX levels in the small intestine were dramatically decreased. Plasma levels of 7OH-MTX were not significantly altered in Abcg2-/- mice, but the areas under the curve were 6.2-fold and even 12.4-fold increased in Abcc2-/- and Abcc2;Abcg2-/- mice, respectively. This indicates that Abcc2 compensates for Abcg2 deficiency but that Abcg2 can only partly compensate for Abcc2 absence. Furthermore, 21-fold decreased biliary 7OH-MTX excretion in Abcc2;Abcg2-/- mice and substantial 7OH-MTX accumulation in the liver and kidney were seen. We additionally found that in the absence of Abcc2, Abcg2 mediated substantial urinary excretion of MTX and 7OH-MTX. Conclusions: Abcc2 and Abcg2 together are major determinants of MTX and 7OH-MTX pharmacokinetics. Variations in ABCC2 and/or ABCG2 activity due to polymorphisms or coadministered inhibitors may therefore substantially affect the therapeutic efficacy and toxicity in patients treated with MTX.","author":[{"dropping-particle":"","family":"Vlaming","given":"Maria L H","non-dropping-particle":"","parse-names":false,"suffix":""},{"dropping-particle":"","family":"Pala","given":"Zeliha","non-dropping-particle":"","parse-names":false,"suffix":""},{"dropping-particle":"","family":"Esch","given":"Anita","non-dropping-particle":"van","parse-names":false,"suffix":""},{"dropping-particle":"","family":"Wagenaar","given":"Els","non-dropping-particle":"","parse-names":false,"suffix":""},{"dropping-particle":"","family":"Waart","given":"Dirk R","non-dropping-particle":"de","parse-names":false,"suffix":""},{"dropping-particle":"","family":"Wetering","given":"Koen","non-dropping-particle":"van de","parse-names":false,"suffix":""},{"dropping-particle":"","family":"Kruijssen","given":"Cornelia M M","non-dropping-particle":"van der","parse-names":false,"suffix":""},{"dropping-particle":"","family":"Oude Elferink","given":"Ronald P J","non-dropping-particle":"","parse-names":false,"suffix":""},{"dropping-particle":"","family":"Tellingen","given":"Olaf","non-dropping-particle":"van","parse-names":false,"suffix":""},{"dropping-particle":"","family":"Schinkel","given":"Alfred H","non-dropping-particle":"","parse-names":false,"suffix":""}],"container-title":"Clinical Cancer Research","id":"ITEM-1","issue":"9","issued":{"date-parts":[["2009","4","30"]]},"page":"3084 LP - 3093","title":"Functionally Overlapping Roles of Abcg2 (Bcrp1) and Abcc2 (Mrp2) in the Elimination of Methotrexate and Its Main Toxic Metabolite 7-Hydroxymethotrexate","type":"article-journal","volume":"15"},"uris":["http://www.mendeley.com/documents/?uuid=4f82df16-b263-4655-9337-e96e2b30b0ab"]}],"mendeley":{"formattedCitation":"[32]","plainTextFormattedCitation":"[32]","previouslyFormattedCitation":"[32]"},"properties":{"noteIndex":0},"schema":"https://github.com/citation-style-language/schema/raw/master/csl-citation.json"}</w:instrText>
            </w:r>
            <w:r w:rsidRPr="00F82985">
              <w:rPr>
                <w:color w:val="000000"/>
                <w:sz w:val="20"/>
                <w:szCs w:val="20"/>
              </w:rPr>
              <w:fldChar w:fldCharType="separate"/>
            </w:r>
            <w:r w:rsidRPr="00035536">
              <w:rPr>
                <w:noProof/>
                <w:color w:val="000000"/>
                <w:sz w:val="20"/>
                <w:szCs w:val="20"/>
              </w:rPr>
              <w:t>[32]</w:t>
            </w:r>
            <w:r w:rsidRPr="00F82985">
              <w:rPr>
                <w:color w:val="000000"/>
                <w:sz w:val="20"/>
                <w:szCs w:val="20"/>
              </w:rPr>
              <w:fldChar w:fldCharType="end"/>
            </w:r>
          </w:p>
        </w:tc>
      </w:tr>
      <w:tr w:rsidR="00B3136C" w:rsidRPr="00F82985" w14:paraId="38C67EFB" w14:textId="77777777" w:rsidTr="00573A04">
        <w:trPr>
          <w:trHeight w:val="300"/>
        </w:trPr>
        <w:tc>
          <w:tcPr>
            <w:tcW w:w="1413" w:type="dxa"/>
            <w:shd w:val="clear" w:color="auto" w:fill="auto"/>
            <w:noWrap/>
            <w:vAlign w:val="bottom"/>
            <w:hideMark/>
          </w:tcPr>
          <w:p w14:paraId="5BBB85B6" w14:textId="77777777" w:rsidR="00B3136C" w:rsidRPr="007D6183" w:rsidRDefault="00B3136C" w:rsidP="003B76E2">
            <w:pPr>
              <w:jc w:val="both"/>
              <w:rPr>
                <w:color w:val="000000"/>
                <w:sz w:val="20"/>
                <w:szCs w:val="20"/>
              </w:rPr>
            </w:pPr>
            <w:r w:rsidRPr="00F82985">
              <w:rPr>
                <w:color w:val="000000"/>
                <w:sz w:val="20"/>
                <w:szCs w:val="20"/>
              </w:rPr>
              <w:t>Cyanidin 3-glucoside</w:t>
            </w:r>
            <w:r>
              <w:rPr>
                <w:color w:val="000000"/>
                <w:sz w:val="20"/>
                <w:szCs w:val="20"/>
              </w:rPr>
              <w:t xml:space="preserve"> </w:t>
            </w:r>
            <w:r w:rsidRPr="007D6183">
              <w:rPr>
                <w:color w:val="000000"/>
                <w:sz w:val="20"/>
                <w:szCs w:val="20"/>
              </w:rPr>
              <w:t>CHEBI:28426</w:t>
            </w:r>
          </w:p>
        </w:tc>
        <w:tc>
          <w:tcPr>
            <w:tcW w:w="1276" w:type="dxa"/>
            <w:shd w:val="clear" w:color="auto" w:fill="auto"/>
            <w:noWrap/>
            <w:vAlign w:val="bottom"/>
            <w:hideMark/>
          </w:tcPr>
          <w:p w14:paraId="44057E72" w14:textId="77777777" w:rsidR="00B3136C" w:rsidRPr="00F82985" w:rsidRDefault="00B3136C" w:rsidP="003B76E2">
            <w:pPr>
              <w:jc w:val="both"/>
              <w:rPr>
                <w:color w:val="000000"/>
                <w:sz w:val="20"/>
                <w:szCs w:val="20"/>
              </w:rPr>
            </w:pPr>
            <w:r w:rsidRPr="00F82985">
              <w:rPr>
                <w:color w:val="000000"/>
                <w:sz w:val="20"/>
                <w:szCs w:val="20"/>
              </w:rPr>
              <w:t>0.5-2</w:t>
            </w:r>
          </w:p>
        </w:tc>
        <w:tc>
          <w:tcPr>
            <w:tcW w:w="992" w:type="dxa"/>
            <w:shd w:val="clear" w:color="auto" w:fill="auto"/>
            <w:noWrap/>
            <w:vAlign w:val="bottom"/>
            <w:hideMark/>
          </w:tcPr>
          <w:p w14:paraId="21D0A166" w14:textId="77777777" w:rsidR="00B3136C" w:rsidRPr="00F82985" w:rsidRDefault="00B3136C" w:rsidP="003B76E2">
            <w:pPr>
              <w:jc w:val="both"/>
              <w:rPr>
                <w:color w:val="000000"/>
                <w:sz w:val="20"/>
                <w:szCs w:val="20"/>
              </w:rPr>
            </w:pPr>
            <w:r w:rsidRPr="00F82985">
              <w:rPr>
                <w:color w:val="000000"/>
                <w:sz w:val="20"/>
                <w:szCs w:val="20"/>
              </w:rPr>
              <w:t>100-400</w:t>
            </w:r>
          </w:p>
        </w:tc>
        <w:tc>
          <w:tcPr>
            <w:tcW w:w="3260" w:type="dxa"/>
            <w:shd w:val="clear" w:color="auto" w:fill="auto"/>
            <w:noWrap/>
            <w:vAlign w:val="bottom"/>
            <w:hideMark/>
          </w:tcPr>
          <w:p w14:paraId="5BCC928E" w14:textId="30113D30" w:rsidR="00B3136C" w:rsidRPr="00240D83" w:rsidRDefault="00B3136C" w:rsidP="003B76E2">
            <w:pPr>
              <w:jc w:val="both"/>
              <w:rPr>
                <w:sz w:val="20"/>
                <w:szCs w:val="20"/>
                <w:lang w:val="en-US"/>
              </w:rPr>
            </w:pPr>
            <w:r w:rsidRPr="00240D83">
              <w:rPr>
                <w:color w:val="000000"/>
                <w:sz w:val="20"/>
                <w:szCs w:val="20"/>
                <w:lang w:val="en-US"/>
              </w:rPr>
              <w:t xml:space="preserve">INFLUX: </w:t>
            </w:r>
            <w:r w:rsidRPr="00240D83">
              <w:rPr>
                <w:sz w:val="20"/>
                <w:szCs w:val="20"/>
                <w:lang w:val="en-US"/>
              </w:rPr>
              <w:t>BTL (K</w:t>
            </w:r>
            <w:r w:rsidRPr="00240D83">
              <w:rPr>
                <w:sz w:val="20"/>
                <w:szCs w:val="20"/>
                <w:vertAlign w:val="subscript"/>
                <w:lang w:val="en-US"/>
              </w:rPr>
              <w:t xml:space="preserve">i </w:t>
            </w:r>
            <w:r w:rsidRPr="00240D83">
              <w:rPr>
                <w:sz w:val="20"/>
                <w:szCs w:val="20"/>
                <w:lang w:val="en-US"/>
              </w:rPr>
              <w:t xml:space="preserve">= 5.8 µM) </w:t>
            </w:r>
            <w:r w:rsidRPr="00F82985">
              <w:rPr>
                <w:sz w:val="20"/>
                <w:szCs w:val="20"/>
                <w:lang w:val="en-GB"/>
              </w:rPr>
              <w:fldChar w:fldCharType="begin" w:fldLock="1"/>
            </w:r>
            <w:r w:rsidR="008C0DA1">
              <w:rPr>
                <w:sz w:val="20"/>
                <w:szCs w:val="20"/>
                <w:lang w:val="en-US"/>
              </w:rPr>
              <w:instrText>ADDIN CSL_CITATION {"citationItems":[{"id":"ITEM-1","itemData":{"DOI":"10.1016/S0006-291X(02)00927-0","ISBN":"0006-291X (Print) 0006-291X (Linking)","ISSN":"0006-291X (Print) 0006-291X (Linking)","PMID":"12176028","abstract":"Bilitranslocase (TC 2.A.65.1.1) is an organic anion membrane carrier expressed at the sinusoidal domain of the liver plasma membrane and in epithelial cells of the gastric mucosa. Its substrates are sulfobromophthalein, bilirubin, and nicotinic acid. This work reports on the identification of a new class of bilitranslocase substrates, i.e., anthocyanins. Seventeen out thes 20 compounds tested behaved as competitive inhibitors of bilitranslocase transport activity (K(I)=1.4-22 microM). Their structure-activity relationship reveals that mono- and di-glucosyl anthocyanins, the anthocyanin species occurring in food, are better ligands than the corresponding aglycones. Moreover, the first interaction of anthocyanins with the carrier occurs through hydrophilic moieties, such as the 3-glucosyl moiety and the B ring for the monoglucosides, through the 5-glucosyl moiety and the A ring for the diglucosides, and through either the B or the A ring for the aglycones. These findings suggest that bilitranslocase could play a role in the bioavailability of anthocyanins.","author":[{"dropping-particle":"","family":"Passamonti","given":"S","non-dropping-particle":"","parse-names":false,"suffix":""},{"dropping-particle":"","family":"Vrhovsek","given":"U","non-dropping-particle":"","parse-names":false,"suffix":""},{"dropping-particle":"","family":"Mattivi","given":"F","non-dropping-particle":"","parse-names":false,"suffix":""}],"container-title":"Biochem Biophys Res Commun","id":"ITEM-1","issue":"3","issued":{"date-parts":[["2002"]]},"page":"631-636","title":"The interaction of anthocyanins with bilitranslocase","type":"article-journal","volume":"296"},"uris":["http://www.mendeley.com/documents/?uuid=ae536015-d39c-4ff8-9cab-878284107c03"]}],"mendeley":{"formattedCitation":"[33]","plainTextFormattedCitation":"[33]","previouslyFormattedCitation":"[33]"},"properties":{"noteIndex":0},"schema":"https://github.com/citation-style-language/schema/raw/master/csl-citation.json"}</w:instrText>
            </w:r>
            <w:r w:rsidRPr="00F82985">
              <w:rPr>
                <w:sz w:val="20"/>
                <w:szCs w:val="20"/>
                <w:lang w:val="en-GB"/>
              </w:rPr>
              <w:fldChar w:fldCharType="separate"/>
            </w:r>
            <w:r w:rsidRPr="00035536">
              <w:rPr>
                <w:noProof/>
                <w:sz w:val="20"/>
                <w:szCs w:val="20"/>
                <w:lang w:val="en-US"/>
              </w:rPr>
              <w:t>[33]</w:t>
            </w:r>
            <w:r w:rsidRPr="00F82985">
              <w:rPr>
                <w:sz w:val="20"/>
                <w:szCs w:val="20"/>
                <w:lang w:val="en-GB"/>
              </w:rPr>
              <w:fldChar w:fldCharType="end"/>
            </w:r>
            <w:r w:rsidRPr="00240D83">
              <w:rPr>
                <w:sz w:val="20"/>
                <w:szCs w:val="20"/>
                <w:lang w:val="en-US"/>
              </w:rPr>
              <w:t xml:space="preserve"> </w:t>
            </w:r>
            <w:r>
              <w:rPr>
                <w:sz w:val="20"/>
                <w:szCs w:val="20"/>
              </w:rPr>
              <w:fldChar w:fldCharType="begin" w:fldLock="1"/>
            </w:r>
            <w:r w:rsidR="008C0DA1">
              <w:rPr>
                <w:sz w:val="20"/>
                <w:szCs w:val="20"/>
                <w:lang w:val="en-US"/>
              </w:rPr>
              <w:instrText>ADDIN CSL_CITATION {"citationItems":[{"id":"ITEM-1","itemData":{"DOI":"10.1016/j.foodres.2005.02.015","ISBN":"0963-9969","ISSN":"09639969","abstract":"Anthocyanins are water-soluble compounds that pigment berries, grapes and vegetables. Their flavonoid backbone endows them with oxygen radical scavenging activity. Thus, they could play a role in protecting the human organism from various degenerative and proliferative diseases, that are currently believed to result from an oxygen radical-mediated disruption of cellular components. Their great potential as functional food ingredients is, however, restricted by the incomplete knowledge of their bioavailability. In order to contribute to filling this gap, we looked for their presence in the liver, after administration of a solution of pure grape anthocyanins into the stomach of anaesthetised rats. We found that the liver contained both malvidin 3-glucoside and its p-coumarate ester, the main and the minor component of the mixture, respectively. Isolated, cultured liver cells were also found to be permeable to malvidin 3-glucoside and bilitranslocase was identified as the carrier protein involved, by using two different specific antibodies. ?? 2005 Elsevier Ltd. All rights reserved.","author":[{"dropping-particle":"","family":"Passamonti","given":"S.","non-dropping-particle":"","parse-names":false,"suffix":""},{"dropping-particle":"","family":"Vanzo","given":"A.","non-dropping-particle":"","parse-names":false,"suffix":""},{"dropping-particle":"","family":"Vrhovsek","given":"U.","non-dropping-particle":"","parse-names":false,"suffix":""},{"dropping-particle":"","family":"Terdoslavich","given":"M.","non-dropping-particle":"","parse-names":false,"suffix":""},{"dropping-particle":"","family":"Cocolo","given":"A.","non-dropping-particle":"","parse-names":false,"suffix":""},{"dropping-particle":"","family":"Decorti","given":"G.","non-dropping-particle":"","parse-names":false,"suffix":""},{"dropping-particle":"","family":"Mattivi","given":"F.","non-dropping-particle":"","parse-names":false,"suffix":""}],"container-title":"Food Research International","id":"ITEM-1","issue":"8-9","issued":{"date-parts":[["2005"]]},"page":"953-960","title":"Hepatic uptake of grape anthocyanins and the role of bilitranslocase","type":"paper-conference","volume":"38"},"uris":["http://www.mendeley.com/documents/?uuid=a2978746-8923-421e-9e2c-a53edc3d365a"]}],"mendeley":{"formattedCitation":"[34]","plainTextFormattedCitation":"[34]","previouslyFormattedCitation":"[34]"},"properties":{"noteIndex":0},"schema":"https://github.com/citation-style-language/schema/raw/master/csl-citation.json"}</w:instrText>
            </w:r>
            <w:r>
              <w:rPr>
                <w:sz w:val="20"/>
                <w:szCs w:val="20"/>
              </w:rPr>
              <w:fldChar w:fldCharType="separate"/>
            </w:r>
            <w:r w:rsidRPr="00035536">
              <w:rPr>
                <w:noProof/>
                <w:sz w:val="20"/>
                <w:szCs w:val="20"/>
                <w:lang w:val="en-US"/>
              </w:rPr>
              <w:t>[34]</w:t>
            </w:r>
            <w:r>
              <w:rPr>
                <w:sz w:val="20"/>
                <w:szCs w:val="20"/>
              </w:rPr>
              <w:fldChar w:fldCharType="end"/>
            </w:r>
            <w:r w:rsidRPr="00240D83">
              <w:rPr>
                <w:sz w:val="20"/>
                <w:szCs w:val="20"/>
                <w:lang w:val="en-US"/>
              </w:rPr>
              <w:t xml:space="preserve"> </w:t>
            </w:r>
          </w:p>
          <w:p w14:paraId="521F3CE2" w14:textId="77777777" w:rsidR="00B3136C" w:rsidRPr="00240D83" w:rsidRDefault="00B3136C" w:rsidP="003B76E2">
            <w:pPr>
              <w:jc w:val="both"/>
              <w:rPr>
                <w:color w:val="000000"/>
                <w:sz w:val="20"/>
                <w:szCs w:val="20"/>
                <w:lang w:val="en-US"/>
              </w:rPr>
            </w:pPr>
            <w:r w:rsidRPr="00240D83">
              <w:rPr>
                <w:color w:val="000000"/>
                <w:sz w:val="20"/>
                <w:szCs w:val="20"/>
                <w:lang w:val="en-US"/>
              </w:rPr>
              <w:t>EFFLUX: Unknown</w:t>
            </w:r>
          </w:p>
        </w:tc>
        <w:tc>
          <w:tcPr>
            <w:tcW w:w="1984" w:type="dxa"/>
            <w:shd w:val="clear" w:color="auto" w:fill="auto"/>
            <w:noWrap/>
            <w:vAlign w:val="bottom"/>
            <w:hideMark/>
          </w:tcPr>
          <w:p w14:paraId="136F8824" w14:textId="2C461100" w:rsidR="00B3136C" w:rsidRPr="00F82985" w:rsidRDefault="00B3136C" w:rsidP="003B76E2">
            <w:pPr>
              <w:jc w:val="both"/>
              <w:rPr>
                <w:color w:val="000000"/>
                <w:sz w:val="20"/>
                <w:szCs w:val="20"/>
                <w:lang w:val="en-US"/>
              </w:rPr>
            </w:pPr>
            <w:proofErr w:type="spellStart"/>
            <w:r w:rsidRPr="00F82985">
              <w:rPr>
                <w:color w:val="000000"/>
                <w:sz w:val="20"/>
                <w:szCs w:val="20"/>
                <w:lang w:val="en-US"/>
              </w:rPr>
              <w:t>Bcrp</w:t>
            </w:r>
            <w:proofErr w:type="spellEnd"/>
            <w:r w:rsidRPr="00F82985">
              <w:rPr>
                <w:color w:val="000000"/>
                <w:sz w:val="20"/>
                <w:szCs w:val="20"/>
                <w:lang w:val="en-US"/>
              </w:rPr>
              <w:t xml:space="preserve"> (human) </w:t>
            </w:r>
            <w:r w:rsidRPr="00F82985">
              <w:rPr>
                <w:color w:val="000000"/>
                <w:sz w:val="20"/>
                <w:szCs w:val="20"/>
              </w:rPr>
              <w:fldChar w:fldCharType="begin" w:fldLock="1"/>
            </w:r>
            <w:r w:rsidR="008C0DA1">
              <w:rPr>
                <w:color w:val="000000"/>
                <w:sz w:val="20"/>
                <w:szCs w:val="20"/>
                <w:lang w:val="en-US"/>
              </w:rPr>
              <w:instrText>ADDIN CSL_CITATION {"citationItems":[{"id":"ITEM-1","itemData":{"DOI":"10.1111/j.1476-5381.2009.00495.x","ISSN":"1476-5381 (Electronic)","PMID":"19922539","abstract":"BACKGROUND AND PURPOSE: Dietary anthocyanins hold great promise in the prevention of chronic disease but factors affecting their bioavailability remain poorly defined. Specifically, the role played by transport mechanisms at the intestinal and blood-brain barriers (BBB) is currently unknown. EXPERIMENTAL APPROACH: In the present study, 16 anthocyanins and anthocyanidins were exposed to the human efflux transporters multidrug resistance protein 1 (MDR1) and breast cancer resistance protein (BCRP), using dye efflux, ATPase and, for BCRP, vesicular transport assays. KEY RESULTS: All test compounds interacted with the BCRP transporter in vitro. Of these, seven emerged as potential BCRP substrates (malvidin, petunidin, malvidin-3-galactoside, malvidin-3,5-diglucoside, cyanidin-3-galactoside, peonidin-3-glucoside, cyanidin-3-glucoside) and 12 as potential inhibitors of BCRP (cyanidin, peonidin, cyanidin-3,5-diglucoside, malvidin, pelargonidin, delphinidin, petunidin, delphinidin-3-glucoside, cyanidin-3-rutinoside, malvidin-3-glucoside, pelargonidin-3,5-diglucoside, malvidin-3-galactoside). Malvidin, malvidin-3-galactoside and petunidin exhibited bimodal activities serving as BCRP substrates at low concentrations and, at higher concentrations, as BCRP inhibitors. Effects on MDR1, in contrast, were weak. Only aglycones exerted mild inhibitory activity. CONCLUSIONS AND IMPLICATIONS: Although the anthocyanidins under study may alter pharmacokinetics of drugs that are BCRP substrates, they are less likely to interfere with activities of MDR1 substrates. The present data suggest that several anthocyanins and anthocyanidins may be actively transported out of intestinal tissues and endothelia, limiting their bioavailability in plasma and brain.","author":[{"dropping-particle":"","family":"Dreiseitel","given":"A","non-dropping-particle":"","parse-names":false,"suffix":""},{"dropping-particle":"","family":"Oosterhuis","given":"B","non-dropping-particle":"","parse-names":false,"suffix":""},{"dropping-particle":"V","family":"Vukman","given":"K","non-dropping-particle":"","parse-names":false,"suffix":""},{"dropping-particle":"","family":"Schreier","given":"P","non-dropping-particle":"","parse-names":false,"suffix":""},{"dropping-particle":"","family":"Oehme","given":"A","non-dropping-particle":"","parse-names":false,"suffix":""},{"dropping-particle":"","family":"Locher","given":"S","non-dropping-particle":"","parse-names":false,"suffix":""},{"dropping-particle":"","family":"Hajak","given":"G","non-dropping-particle":"","parse-names":false,"suffix":""},{"dropping-particle":"","family":"Sand","given":"P G","non-dropping-particle":"","parse-names":false,"suffix":""}],"container-title":"British journal of pharmacology","id":"ITEM-1","issue":"8","issued":{"date-parts":[["2009","12"]]},"language":"eng","page":"1942-1950","publisher-place":"England","title":"Berry anthocyanins and anthocyanidins exhibit distinct affinities for the efflux  transporters BCRP and MDR1.","type":"article-journal","volume":"158"},"uris":["http://www.mendeley.com/documents/?uuid=93e4fe60-19ee-4bb0-81a5-808b39f05cad"]}],"mendeley":{"formattedCitation":"[35]","plainTextFormattedCitation":"[35]","previouslyFormattedCitation":"[35]"},"properties":{"noteIndex":0},"schema":"https://github.com/citation-style-language/schema/raw/master/csl-citation.json"}</w:instrText>
            </w:r>
            <w:r w:rsidRPr="00F82985">
              <w:rPr>
                <w:color w:val="000000"/>
                <w:sz w:val="20"/>
                <w:szCs w:val="20"/>
              </w:rPr>
              <w:fldChar w:fldCharType="separate"/>
            </w:r>
            <w:r w:rsidRPr="00035536">
              <w:rPr>
                <w:noProof/>
                <w:color w:val="000000"/>
                <w:sz w:val="20"/>
                <w:szCs w:val="20"/>
                <w:lang w:val="en-US"/>
              </w:rPr>
              <w:t>[35]</w:t>
            </w:r>
            <w:r w:rsidRPr="00F82985">
              <w:rPr>
                <w:color w:val="000000"/>
                <w:sz w:val="20"/>
                <w:szCs w:val="20"/>
              </w:rPr>
              <w:fldChar w:fldCharType="end"/>
            </w:r>
          </w:p>
        </w:tc>
      </w:tr>
      <w:tr w:rsidR="00B3136C" w:rsidRPr="00F82985" w14:paraId="643DF43B" w14:textId="77777777" w:rsidTr="00573A04">
        <w:trPr>
          <w:trHeight w:val="300"/>
        </w:trPr>
        <w:tc>
          <w:tcPr>
            <w:tcW w:w="1413" w:type="dxa"/>
            <w:shd w:val="clear" w:color="auto" w:fill="auto"/>
            <w:noWrap/>
            <w:vAlign w:val="bottom"/>
            <w:hideMark/>
          </w:tcPr>
          <w:p w14:paraId="32023BFA" w14:textId="77777777" w:rsidR="00B3136C" w:rsidRDefault="00B3136C" w:rsidP="003B76E2">
            <w:pPr>
              <w:jc w:val="both"/>
              <w:rPr>
                <w:color w:val="000000"/>
                <w:sz w:val="20"/>
                <w:szCs w:val="20"/>
              </w:rPr>
            </w:pPr>
            <w:r w:rsidRPr="00F82985">
              <w:rPr>
                <w:color w:val="000000"/>
                <w:sz w:val="20"/>
                <w:szCs w:val="20"/>
              </w:rPr>
              <w:t>Pravastatin</w:t>
            </w:r>
          </w:p>
          <w:p w14:paraId="1AC3A2AA" w14:textId="77777777" w:rsidR="00B3136C" w:rsidRPr="00F82985" w:rsidRDefault="00B3136C" w:rsidP="003B76E2">
            <w:pPr>
              <w:jc w:val="both"/>
              <w:rPr>
                <w:color w:val="000000"/>
                <w:sz w:val="20"/>
                <w:szCs w:val="20"/>
              </w:rPr>
            </w:pPr>
            <w:r w:rsidRPr="001A314B">
              <w:rPr>
                <w:color w:val="000000"/>
                <w:sz w:val="20"/>
                <w:szCs w:val="20"/>
              </w:rPr>
              <w:t>CHEBI:63618</w:t>
            </w:r>
          </w:p>
        </w:tc>
        <w:tc>
          <w:tcPr>
            <w:tcW w:w="1276" w:type="dxa"/>
            <w:shd w:val="clear" w:color="auto" w:fill="auto"/>
            <w:noWrap/>
            <w:vAlign w:val="bottom"/>
            <w:hideMark/>
          </w:tcPr>
          <w:p w14:paraId="5E441A1D" w14:textId="77777777" w:rsidR="00B3136C" w:rsidRPr="00F82985" w:rsidRDefault="00B3136C" w:rsidP="003B76E2">
            <w:pPr>
              <w:jc w:val="both"/>
              <w:rPr>
                <w:color w:val="000000"/>
                <w:sz w:val="20"/>
                <w:szCs w:val="20"/>
              </w:rPr>
            </w:pPr>
            <w:r w:rsidRPr="00F82985">
              <w:rPr>
                <w:color w:val="000000"/>
                <w:sz w:val="20"/>
                <w:szCs w:val="20"/>
              </w:rPr>
              <w:t>6</w:t>
            </w:r>
          </w:p>
        </w:tc>
        <w:tc>
          <w:tcPr>
            <w:tcW w:w="992" w:type="dxa"/>
            <w:shd w:val="clear" w:color="auto" w:fill="auto"/>
            <w:noWrap/>
            <w:vAlign w:val="bottom"/>
            <w:hideMark/>
          </w:tcPr>
          <w:p w14:paraId="75AAB9E0" w14:textId="77777777" w:rsidR="00B3136C" w:rsidRPr="00F82985" w:rsidRDefault="00B3136C" w:rsidP="003B76E2">
            <w:pPr>
              <w:jc w:val="both"/>
              <w:rPr>
                <w:color w:val="000000"/>
                <w:sz w:val="20"/>
                <w:szCs w:val="20"/>
              </w:rPr>
            </w:pPr>
            <w:r w:rsidRPr="00F82985">
              <w:rPr>
                <w:color w:val="000000"/>
                <w:sz w:val="20"/>
                <w:szCs w:val="20"/>
              </w:rPr>
              <w:t>1200</w:t>
            </w:r>
          </w:p>
        </w:tc>
        <w:tc>
          <w:tcPr>
            <w:tcW w:w="3260" w:type="dxa"/>
            <w:shd w:val="clear" w:color="auto" w:fill="auto"/>
            <w:noWrap/>
            <w:vAlign w:val="bottom"/>
            <w:hideMark/>
          </w:tcPr>
          <w:p w14:paraId="31A9C36E" w14:textId="0FFE10B9" w:rsidR="00B3136C" w:rsidRPr="00463272" w:rsidRDefault="00B3136C" w:rsidP="003B76E2">
            <w:pPr>
              <w:jc w:val="both"/>
              <w:rPr>
                <w:color w:val="000000"/>
                <w:sz w:val="20"/>
                <w:szCs w:val="20"/>
              </w:rPr>
            </w:pPr>
            <w:r w:rsidRPr="00463272">
              <w:rPr>
                <w:color w:val="000000"/>
                <w:sz w:val="20"/>
                <w:szCs w:val="20"/>
                <w:lang w:val="en-US"/>
              </w:rPr>
              <w:t>INFLUX: Oatp2 (K</w:t>
            </w:r>
            <w:r w:rsidRPr="00463272">
              <w:rPr>
                <w:color w:val="000000"/>
                <w:sz w:val="20"/>
                <w:szCs w:val="20"/>
                <w:vertAlign w:val="subscript"/>
                <w:lang w:val="en-US"/>
              </w:rPr>
              <w:t>m</w:t>
            </w:r>
            <w:r w:rsidRPr="00463272">
              <w:rPr>
                <w:color w:val="000000"/>
                <w:sz w:val="20"/>
                <w:szCs w:val="20"/>
                <w:lang w:val="en-US"/>
              </w:rPr>
              <w:t xml:space="preserve"> = 37.5 µM) </w:t>
            </w:r>
            <w:r w:rsidRPr="00F82985">
              <w:rPr>
                <w:color w:val="000000"/>
                <w:sz w:val="20"/>
                <w:szCs w:val="20"/>
              </w:rPr>
              <w:fldChar w:fldCharType="begin" w:fldLock="1"/>
            </w:r>
            <w:r w:rsidR="008C0DA1">
              <w:rPr>
                <w:color w:val="000000"/>
                <w:sz w:val="20"/>
                <w:szCs w:val="20"/>
                <w:lang w:val="en-US"/>
              </w:rPr>
              <w:instrText>ADDIN CSL_CITATION {"citationItems":[{"id":"ITEM-1","itemData":{"DOI":"10.1023/a:1018838405987","ISSN":"0724-8741 (Print)","PMID":"10397612","abstract":"PURPOSE: We previously demonstrated the HMG-CoA reductase inhibitor, pravastatin, is actively taken up into isolated rat hepatocytes through multispecific organic anion transporters. The present study examined whether a newly cloned organic anion transporting polypeptide (oatp2) transports pravastatin. METHODS: We investigated functional expression of oatp2 in Xenopus laevis oocytes, to examine [14C] pravastatin uptake. RESULTS: [14C] Pravastatin (30 microM) uptake into oatp2 cRNA-injected oocytes was 40 times higher than that of water-injected control oocytes. The oatp2-mediated pravastatin uptake was Na+-independent and saturable. The Michaelis-Menten constant was 37.5+/-9.9 microM, a level comparable to that obtained in isolated rat hepatocytes in our previous study. As is the case with rat hepatocytes, the uptake of pravastatin (30 microM) was inhibited by 300 microM concentrations of taurocholate, cholate, bromosulfophthalein, estradiol-17beta-glucuronide, and simvastatin acid, but not by para-aminohippurate. On the other hand, [14C] simvastatin acid (30 microM) uptake of oatp2 cRNA-injected oocytes was not significantly different from that of water-injected oocytes. CONCLUSIONS: The cloned oatp2 was identified as the transporter responsible for the active hepatocellular pravastatin uptake.","author":[{"dropping-particle":"","family":"Tokui","given":"T","non-dropping-particle":"","parse-names":false,"suffix":""},{"dropping-particle":"","family":"Nakai","given":"D","non-dropping-particle":"","parse-names":false,"suffix":""},{"dropping-particle":"","family":"Nakagomi","given":"R","non-dropping-particle":"","parse-names":false,"suffix":""},{"dropping-particle":"","family":"Yawo","given":"H","non-dropping-particle":"","parse-names":false,"suffix":""},{"dropping-particle":"","family":"Abe","given":"T","non-dropping-particle":"","parse-names":false,"suffix":""},{"dropping-particle":"","family":"Sugiyama","given":"Y","non-dropping-particle":"","parse-names":false,"suffix":""}],"container-title":"Pharmaceutical research","id":"ITEM-1","issue":"6","issued":{"date-parts":[["1999","6"]]},"language":"eng","page":"904-908","publisher-place":"United States","title":"Pravastatin, an HMG-CoA reductase inhibitor, is transported by rat organic anion  transporting polypeptide, oatp2.","type":"article-journal","volume":"16"},"uris":["http://www.mendeley.com/documents/?uuid=0bd34402-4a0c-4a6d-9163-c3a6e1af4897"]}],"mendeley":{"formattedCitation":"[36]","plainTextFormattedCitation":"[36]","previouslyFormattedCitation":"[36]"},"properties":{"noteIndex":0},"schema":"https://github.com/citation-style-language/schema/raw/master/csl-citation.json"}</w:instrText>
            </w:r>
            <w:r w:rsidRPr="00F82985">
              <w:rPr>
                <w:color w:val="000000"/>
                <w:sz w:val="20"/>
                <w:szCs w:val="20"/>
              </w:rPr>
              <w:fldChar w:fldCharType="separate"/>
            </w:r>
            <w:r w:rsidRPr="00035536">
              <w:rPr>
                <w:noProof/>
                <w:color w:val="000000"/>
                <w:sz w:val="20"/>
                <w:szCs w:val="20"/>
                <w:lang w:val="en-US"/>
              </w:rPr>
              <w:t>[36]</w:t>
            </w:r>
            <w:r w:rsidRPr="00F82985">
              <w:rPr>
                <w:color w:val="000000"/>
                <w:sz w:val="20"/>
                <w:szCs w:val="20"/>
              </w:rPr>
              <w:fldChar w:fldCharType="end"/>
            </w:r>
            <w:r w:rsidRPr="00463272">
              <w:rPr>
                <w:color w:val="000000"/>
                <w:sz w:val="20"/>
                <w:szCs w:val="20"/>
                <w:lang w:val="en-US"/>
              </w:rPr>
              <w:t xml:space="preserve">; </w:t>
            </w:r>
            <w:r w:rsidRPr="00F82985">
              <w:rPr>
                <w:color w:val="000000"/>
                <w:sz w:val="20"/>
                <w:szCs w:val="20"/>
                <w:lang w:val="en-US"/>
              </w:rPr>
              <w:t>Oat (IC</w:t>
            </w:r>
            <w:r w:rsidRPr="00F82985">
              <w:rPr>
                <w:color w:val="000000"/>
                <w:sz w:val="20"/>
                <w:szCs w:val="20"/>
                <w:vertAlign w:val="subscript"/>
                <w:lang w:val="en-US"/>
              </w:rPr>
              <w:t>50</w:t>
            </w:r>
            <w:r w:rsidRPr="00F82985">
              <w:rPr>
                <w:color w:val="000000"/>
                <w:sz w:val="20"/>
                <w:szCs w:val="20"/>
                <w:lang w:val="en-US"/>
              </w:rPr>
              <w:t xml:space="preserve"> = 0.5 mM)</w:t>
            </w:r>
            <w:r w:rsidRPr="00F82985">
              <w:rPr>
                <w:color w:val="000000"/>
                <w:sz w:val="20"/>
                <w:szCs w:val="20"/>
                <w:lang w:val="en-US"/>
              </w:rPr>
              <w:fldChar w:fldCharType="begin" w:fldLock="1"/>
            </w:r>
            <w:r w:rsidR="008C0DA1">
              <w:rPr>
                <w:color w:val="000000"/>
                <w:sz w:val="20"/>
                <w:szCs w:val="20"/>
                <w:lang w:val="en-US"/>
              </w:rPr>
              <w:instrText>ADDIN CSL_CITATION {"citationItems":[{"id":"ITEM-1","itemData":{"ISSN":"1347-8613 (Print)","PMID":"14978359","abstract":"We have elucidated the interactions of human and rat organic anion transporters (hOATs and rOATs) with pravastatin and cimetidine. Pravastatin inhibited hOAT1/rOAT1, hOAT2/rOAT2, hOAT3/rOAT3, and hOAT4. The mode of inhibition was noncompetitive for hOAT1 and hOAT2, whereas it was competitive for hOAT3 and hOAT4. Cimetidine also inhibited hOAT1/rOAT1, hOAT3/rOAT3, and hOAT4. The mode of inhibition was a combination of competitive and noncompetitive manners for hOAT1, whereas it was competitive for hOAT3. The effects of OAT inhibitors on OAT1, OAT2, and OAT3 exhibited some but not so remarkable interspecies differences between humans and rats. In conclusion, we have characterized pravastatin and cimetidine as OAT inhibitors.","author":[{"dropping-particle":"","family":"Khamdang","given":"Suparat","non-dropping-particle":"","parse-names":false,"suffix":""},{"dropping-particle":"","family":"Takeda","given":"Michio","non-dropping-particle":"","parse-names":false,"suffix":""},{"dropping-particle":"","family":"Shimoda","given":"Minoru","non-dropping-particle":"","parse-names":false,"suffix":""},{"dropping-particle":"","family":"Noshiro","given":"Rie","non-dropping-particle":"","parse-names":false,"suffix":""},{"dropping-particle":"","family":"Narikawa","given":"Shinichi","non-dropping-particle":"","parse-names":false,"suffix":""},{"dropping-particle":"","family":"Huang","given":"Xiu-Lin","non-dropping-particle":"","parse-names":false,"suffix":""},{"dropping-particle":"","family":"Enomoto","given":"Atsushi","non-dropping-particle":"","parse-names":false,"suffix":""},{"dropping-particle":"","family":"Piyachaturawat","given":"Pawinee","non-dropping-particle":"","parse-names":false,"suffix":""},{"dropping-particle":"","family":"Endou","given":"Hitoshi","non-dropping-particle":"","parse-names":false,"suffix":""}],"container-title":"Journal of pharmacological sciences","id":"ITEM-1","issue":"2","issued":{"date-parts":[["2004","2"]]},"language":"eng","page":"197-202","publisher-place":"Japan","title":"Interactions of human- and rat-organic anion transporters with pravastatin and cimetidine.","type":"article-journal","volume":"94"},"uris":["http://www.mendeley.com/documents/?uuid=6fe82356-d185-4ab7-a90c-daf25f791bda"]}],"mendeley":{"formattedCitation":"[37]","plainTextFormattedCitation":"[37]","previouslyFormattedCitation":"[37]"},"properties":{"noteIndex":0},"schema":"https://github.com/citation-style-language/schema/raw/master/csl-citation.json"}</w:instrText>
            </w:r>
            <w:r w:rsidRPr="00F82985">
              <w:rPr>
                <w:color w:val="000000"/>
                <w:sz w:val="20"/>
                <w:szCs w:val="20"/>
                <w:lang w:val="en-US"/>
              </w:rPr>
              <w:fldChar w:fldCharType="separate"/>
            </w:r>
            <w:r w:rsidRPr="00035536">
              <w:rPr>
                <w:noProof/>
                <w:color w:val="000000"/>
                <w:sz w:val="20"/>
                <w:szCs w:val="20"/>
                <w:lang w:val="en-US"/>
              </w:rPr>
              <w:t>[37]</w:t>
            </w:r>
            <w:r w:rsidRPr="00F82985">
              <w:rPr>
                <w:color w:val="000000"/>
                <w:sz w:val="20"/>
                <w:szCs w:val="20"/>
                <w:lang w:val="en-US"/>
              </w:rPr>
              <w:fldChar w:fldCharType="end"/>
            </w:r>
            <w:r w:rsidR="00D82436">
              <w:rPr>
                <w:color w:val="000000"/>
                <w:sz w:val="20"/>
                <w:szCs w:val="20"/>
                <w:lang w:val="en-US"/>
              </w:rPr>
              <w:t xml:space="preserve">. Not </w:t>
            </w:r>
            <w:proofErr w:type="spellStart"/>
            <w:r w:rsidR="00D82436">
              <w:rPr>
                <w:color w:val="000000"/>
                <w:sz w:val="20"/>
                <w:szCs w:val="20"/>
                <w:lang w:val="en-US"/>
              </w:rPr>
              <w:t>Ntcp</w:t>
            </w:r>
            <w:proofErr w:type="spellEnd"/>
            <w:r w:rsidR="00D82436">
              <w:rPr>
                <w:color w:val="000000"/>
                <w:sz w:val="20"/>
                <w:szCs w:val="20"/>
                <w:lang w:val="en-US"/>
              </w:rPr>
              <w:t xml:space="preserve"> </w:t>
            </w:r>
            <w:r w:rsidR="00D82436">
              <w:rPr>
                <w:color w:val="000000"/>
                <w:sz w:val="20"/>
                <w:szCs w:val="20"/>
                <w:lang w:val="en-US"/>
              </w:rPr>
              <w:fldChar w:fldCharType="begin" w:fldLock="1"/>
            </w:r>
            <w:r w:rsidR="00E26B06">
              <w:rPr>
                <w:color w:val="000000"/>
                <w:sz w:val="20"/>
                <w:szCs w:val="20"/>
                <w:lang w:val="en-US"/>
              </w:rPr>
              <w:instrText>ADDIN CSL_CITATION {"citationItems":[{"id":"ITEM-1","itemData":{"DOI":"10.3109/00498254.2010.523736","ISSN":"0049-8254","abstract":"Abstract The purpose of this study was to investigate the effect of genetic variations in organic anion-transporting polypeptide 1B1 (OATP1B1) and Na+/taurocholate co-transporting polypeptide (NTCP) on the uptake of various statins having different affinities for these transporters. The functional activities and simultaneous expression of NTCP and OATP1B1 were confirmed by the uptake of taurocholate and estrone-3-sulphate as representative substrates for NTCP and OATP1B1, respectively, and by an immunofluorescence analysis. The substrate specificities of NTCP and OATP1B1 for statins and the effects of genetic variations on the uptake of rosuvastatin, pitavastatin, and atorvastatin were measured. Based on the Km values and intrinsic clearances of the three statins, pitavastatin was taken up more efficiently than rosuvastatin and atorvastatin by OATP1B1. Consequently, the cellular accumulation of pitavastatin was modulated according to the genetic variation of OATP1B1 (OATP1B1*15), rather than NTCP*2. In contrast, NTCP*2 displayed greater transport of atorvastatin and rosuvastatin, compared with NTCP wild type. Thus, the measurements of decreased rosuvastatin and atorvastatin transport by OATP1B1*15 were confounded by the presence of NTCP and its genetic variant, NTCP*2. In conclusion, the functional consequences of genetic variants of NTCP and OATP1B1 may be different for various statins, depending on the substrate specificity of the OATP1B1 and NTCP transporters.","author":[{"dropping-particle":"","family":"Choi","given":"Min-Koo","non-dropping-particle":"","parse-names":false,"suffix":""},{"dropping-particle":"","family":"Shin","given":"Ho Jung","non-dropping-particle":"","parse-names":false,"suffix":""},{"dropping-particle":"","family":"Choi","given":"Young-Lim","non-dropping-particle":"","parse-names":false,"suffix":""},{"dropping-particle":"","family":"Deng","given":"Jian-Wei","non-dropping-particle":"","parse-names":false,"suffix":""},{"dropping-particle":"","family":"Shin","given":"Jae-Gook","non-dropping-particle":"","parse-names":false,"suffix":""},{"dropping-particle":"","family":"Song","given":"Im-Sook","non-dropping-particle":"","parse-names":false,"suffix":""}],"container-title":"Xenobiotica","id":"ITEM-1","issue":"1","issued":{"date-parts":[["2011"]]},"page":"24-34","publisher":"Taylor &amp; Francis","title":"Differential effect of genetic variants of Na+-taurocholate co-transporting polypeptide (NTCP) and organic anion-transporting polypeptide 1B1 (OATP1B1) on the uptake of HMG-CoA reductase inhibitors","type":"article-journal","volume":"41"},"uris":["http://www.mendeley.com/documents/?uuid=5e7ce60a-5ebb-4388-abd8-729d04e704bb"]}],"mendeley":{"formattedCitation":"[38]","plainTextFormattedCitation":"[38]","previouslyFormattedCitation":"[38]"},"properties":{"noteIndex":0},"schema":"https://github.com/citation-style-language/schema/raw/master/csl-citation.json"}</w:instrText>
            </w:r>
            <w:r w:rsidR="00D82436">
              <w:rPr>
                <w:color w:val="000000"/>
                <w:sz w:val="20"/>
                <w:szCs w:val="20"/>
                <w:lang w:val="en-US"/>
              </w:rPr>
              <w:fldChar w:fldCharType="separate"/>
            </w:r>
            <w:r w:rsidR="00D82436" w:rsidRPr="00D82436">
              <w:rPr>
                <w:noProof/>
                <w:color w:val="000000"/>
                <w:sz w:val="20"/>
                <w:szCs w:val="20"/>
                <w:lang w:val="en-US"/>
              </w:rPr>
              <w:t>[38]</w:t>
            </w:r>
            <w:r w:rsidR="00D82436">
              <w:rPr>
                <w:color w:val="000000"/>
                <w:sz w:val="20"/>
                <w:szCs w:val="20"/>
                <w:lang w:val="en-US"/>
              </w:rPr>
              <w:fldChar w:fldCharType="end"/>
            </w:r>
            <w:r w:rsidR="00D82436">
              <w:rPr>
                <w:color w:val="000000"/>
                <w:sz w:val="20"/>
                <w:szCs w:val="20"/>
                <w:lang w:val="en-US"/>
              </w:rPr>
              <w:t>.</w:t>
            </w:r>
            <w:r w:rsidR="00E26B06">
              <w:rPr>
                <w:color w:val="000000"/>
                <w:sz w:val="20"/>
                <w:szCs w:val="20"/>
                <w:lang w:val="en-US"/>
              </w:rPr>
              <w:t xml:space="preserve"> Not BTL </w:t>
            </w:r>
            <w:r w:rsidR="00E26B06">
              <w:rPr>
                <w:color w:val="000000"/>
                <w:sz w:val="20"/>
                <w:szCs w:val="20"/>
                <w:lang w:val="en-US"/>
              </w:rPr>
              <w:fldChar w:fldCharType="begin" w:fldLock="1"/>
            </w:r>
            <w:r w:rsidR="00A003A9">
              <w:rPr>
                <w:color w:val="000000"/>
                <w:sz w:val="20"/>
                <w:szCs w:val="20"/>
                <w:lang w:val="en-US"/>
              </w:rPr>
              <w:instrText>ADDIN CSL_CITATION {"citationItems":[{"id":"ITEM-1","itemData":{"DOI":"10.1016/j.aca.2011.07.004","ISSN":"1873-4324 (Electronic)","PMID":"21962375","abstract":"The transport activity of a membrane protein, bilitranslocase (T.C. # 2.A.65.1.1), which acts as a transporter of bilirubin from blood to liver cells, was experimentally determined for a large set of various endogenous compounds, drugs, purine and pyrimidine derivatives. On these grounds, the structure-activity models were developed following the OECD principles of QSAR models and their predictive ability for new chemicals was evaluated. The applicability domain of the models was estimated by Euclidean distances criteria according to the applied modeling method. The selection of the most influential structural variables was an important stage in the adopted modeling methodology. The interpretation of selected variables was performed in order to get an insight into the mechanism of transport through the cell membrane via bilitranslocase. Validation of the optimized models was performed by a previously determined validation set. The classification model was build to separate active from inactive compounds. The resulting accuracy, sensitivity, and specificity were 0.73, 0.89, and 0.64, respectively. Only active compounds were used to develop a predictive model for bilitranslocase inhibition constants. The model showed good predictive ability; Root Mean Squared error of the validation set, RMS(V)=0.29 log units.","author":[{"dropping-particle":"","family":"Zuperl","given":"Spela","non-dropping-particle":"","parse-names":false,"suffix":""},{"dropping-particle":"","family":"Fornasaro","given":"Stefano","non-dropping-particle":"","parse-names":false,"suffix":""},{"dropping-particle":"","family":"Novic","given":"Marjana","non-dropping-particle":"","parse-names":false,"suffix":""},{"dropping-particle":"","family":"Passamonti","given":"Sabina","non-dropping-particle":"","parse-names":false,"suffix":""}],"container-title":"Analytica chimica acta","id":"ITEM-1","issue":"1-2","issued":{"date-parts":[["2011","10"]]},"language":"eng","page":"322-333","publisher-place":"Netherlands","title":"Experimental determination and prediction of bilitranslocase transport activity.","type":"article-journal","volume":"705"},"uris":["http://www.mendeley.com/documents/?uuid=449fdc25-b67c-49a6-8c8a-cc1349e02422"]}],"mendeley":{"formattedCitation":"[5]","plainTextFormattedCitation":"[5]","previouslyFormattedCitation":"[5]"},"properties":{"noteIndex":0},"schema":"https://github.com/citation-style-language/schema/raw/master/csl-citation.json"}</w:instrText>
            </w:r>
            <w:r w:rsidR="00E26B06">
              <w:rPr>
                <w:color w:val="000000"/>
                <w:sz w:val="20"/>
                <w:szCs w:val="20"/>
                <w:lang w:val="en-US"/>
              </w:rPr>
              <w:fldChar w:fldCharType="separate"/>
            </w:r>
            <w:r w:rsidR="00E26B06" w:rsidRPr="00E26B06">
              <w:rPr>
                <w:noProof/>
                <w:color w:val="000000"/>
                <w:sz w:val="20"/>
                <w:szCs w:val="20"/>
                <w:lang w:val="en-US"/>
              </w:rPr>
              <w:t>[5]</w:t>
            </w:r>
            <w:r w:rsidR="00E26B06">
              <w:rPr>
                <w:color w:val="000000"/>
                <w:sz w:val="20"/>
                <w:szCs w:val="20"/>
                <w:lang w:val="en-US"/>
              </w:rPr>
              <w:fldChar w:fldCharType="end"/>
            </w:r>
            <w:r w:rsidR="00E26B06">
              <w:rPr>
                <w:color w:val="000000"/>
                <w:sz w:val="20"/>
                <w:szCs w:val="20"/>
                <w:lang w:val="en-US"/>
              </w:rPr>
              <w:t>.</w:t>
            </w:r>
            <w:r w:rsidR="008C4117">
              <w:rPr>
                <w:color w:val="000000"/>
                <w:sz w:val="20"/>
                <w:szCs w:val="20"/>
                <w:lang w:val="en-US"/>
              </w:rPr>
              <w:t xml:space="preserve"> OATP1B1 (human) </w:t>
            </w:r>
            <w:r w:rsidR="008C4117">
              <w:rPr>
                <w:color w:val="000000"/>
                <w:sz w:val="20"/>
                <w:szCs w:val="20"/>
                <w:lang w:val="en-US"/>
              </w:rPr>
              <w:fldChar w:fldCharType="begin" w:fldLock="1"/>
            </w:r>
            <w:r w:rsidR="00573A04">
              <w:rPr>
                <w:color w:val="000000"/>
                <w:sz w:val="20"/>
                <w:szCs w:val="20"/>
                <w:lang w:val="en-US"/>
              </w:rPr>
              <w:instrText>ADDIN CSL_CITATION {"citationItems":[{"id":"ITEM-1","itemData":{"DOI":"10.1021/jm300212s","ISSN":"1520-4804 (Electronic)","PMID":"22541068","abstract":"The hepatic organic anion transporting polypeptides (OATPs) influence the pharmacokinetics of several drug classes and are involved in many clinical drug-drug interactions. Predicting potential interactions with OATPs is, therefore, of value. Here, we developed in vitro and in silico models for identification and prediction of specific and general inhibitors of OATP1B1, OATP1B3, and OATP2B1. The maximal transport activity (MTA) of each OATP in human liver was predicted from transport kinetics and protein quantification. We then used MTA to predict the effects of a subset of inhibitors on atorvastatin uptake in vivo. Using a data set of 225 drug-like compounds, 91 OATP inhibitors were identified. In silico models indicated that lipophilicity and polar surface area are key molecular features of OATP inhibition. MTA predictions identified OATP1B1 and OATP1B3 as major determinants of atorvastatin uptake in vivo. The relative contributions to overall hepatic uptake varied with isoform specificities of the inhibitors.","author":[{"dropping-particle":"","family":"Karlgren","given":"Maria","non-dropping-particle":"","parse-names":false,"suffix":""},{"dropping-particle":"","family":"Vildhede","given":"Anna","non-dropping-particle":"","parse-names":false,"suffix":""},{"dropping-particle":"","family":"Norinder","given":"Ulf","non-dropping-particle":"","parse-names":false,"suffix":""},{"dropping-particle":"","family":"Wisniewski","given":"Jacek R","non-dropping-particle":"","parse-names":false,"suffix":""},{"dropping-particle":"","family":"Kimoto","given":"Emi","non-dropping-particle":"","parse-names":false,"suffix":""},{"dropping-particle":"","family":"Lai","given":"Yurong","non-dropping-particle":"","parse-names":false,"suffix":""},{"dropping-particle":"","family":"Haglund","given":"Ulf","non-dropping-particle":"","parse-names":false,"suffix":""},{"dropping-particle":"","family":"Artursson","given":"Per","non-dropping-particle":"","parse-names":false,"suffix":""}],"container-title":"Journal of medicinal chemistry","id":"ITEM-1","issue":"10","issued":{"date-parts":[["2012","5"]]},"language":"eng","page":"4740-4763","publisher-place":"United States","title":"Classification of inhibitors of hepatic organic anion transporting polypeptides (OATPs): influence of protein expression on drug-drug interactions.","type":"article-journal","volume":"55"},"uris":["http://www.mendeley.com/documents/?uuid=4d9b818a-16b5-49d1-be92-d78ca67edba1"]}],"mendeley":{"formattedCitation":"[39]","plainTextFormattedCitation":"[39]","previouslyFormattedCitation":"[39]"},"properties":{"noteIndex":0},"schema":"https://github.com/citation-style-language/schema/raw/master/csl-citation.json"}</w:instrText>
            </w:r>
            <w:r w:rsidR="008C4117">
              <w:rPr>
                <w:color w:val="000000"/>
                <w:sz w:val="20"/>
                <w:szCs w:val="20"/>
                <w:lang w:val="en-US"/>
              </w:rPr>
              <w:fldChar w:fldCharType="separate"/>
            </w:r>
            <w:r w:rsidR="008C4117" w:rsidRPr="008C4117">
              <w:rPr>
                <w:noProof/>
                <w:color w:val="000000"/>
                <w:sz w:val="20"/>
                <w:szCs w:val="20"/>
                <w:lang w:val="en-US"/>
              </w:rPr>
              <w:t>[39]</w:t>
            </w:r>
            <w:r w:rsidR="008C4117">
              <w:rPr>
                <w:color w:val="000000"/>
                <w:sz w:val="20"/>
                <w:szCs w:val="20"/>
                <w:lang w:val="en-US"/>
              </w:rPr>
              <w:fldChar w:fldCharType="end"/>
            </w:r>
            <w:r w:rsidR="008C4117">
              <w:rPr>
                <w:color w:val="000000"/>
                <w:sz w:val="20"/>
                <w:szCs w:val="20"/>
                <w:lang w:val="en-US"/>
              </w:rPr>
              <w:t>.</w:t>
            </w:r>
          </w:p>
          <w:p w14:paraId="58BB32F1" w14:textId="77777777" w:rsidR="00B3136C" w:rsidRPr="00463272" w:rsidRDefault="00B3136C" w:rsidP="003B76E2">
            <w:pPr>
              <w:jc w:val="both"/>
              <w:rPr>
                <w:color w:val="000000"/>
                <w:sz w:val="20"/>
                <w:szCs w:val="20"/>
              </w:rPr>
            </w:pPr>
            <w:r>
              <w:rPr>
                <w:color w:val="000000"/>
                <w:sz w:val="20"/>
                <w:szCs w:val="20"/>
              </w:rPr>
              <w:t xml:space="preserve">EFFLUX: </w:t>
            </w:r>
            <w:r w:rsidRPr="00F82985">
              <w:rPr>
                <w:color w:val="000000"/>
                <w:sz w:val="20"/>
                <w:szCs w:val="20"/>
              </w:rPr>
              <w:t>Unknown</w:t>
            </w:r>
          </w:p>
        </w:tc>
        <w:tc>
          <w:tcPr>
            <w:tcW w:w="1984" w:type="dxa"/>
            <w:shd w:val="clear" w:color="auto" w:fill="auto"/>
            <w:noWrap/>
            <w:vAlign w:val="bottom"/>
            <w:hideMark/>
          </w:tcPr>
          <w:p w14:paraId="209E3B8B" w14:textId="5A54AECE" w:rsidR="00B3136C" w:rsidRPr="00F82985" w:rsidRDefault="00B3136C" w:rsidP="003B76E2">
            <w:pPr>
              <w:jc w:val="both"/>
              <w:rPr>
                <w:color w:val="000000"/>
                <w:sz w:val="20"/>
                <w:szCs w:val="20"/>
                <w:lang w:val="en-US"/>
              </w:rPr>
            </w:pPr>
            <w:r w:rsidRPr="00F82985">
              <w:rPr>
                <w:color w:val="000000"/>
                <w:sz w:val="20"/>
                <w:szCs w:val="20"/>
                <w:lang w:val="en-US"/>
              </w:rPr>
              <w:t>Mrp2 (K</w:t>
            </w:r>
            <w:r w:rsidRPr="00F82985">
              <w:rPr>
                <w:color w:val="000000"/>
                <w:sz w:val="20"/>
                <w:szCs w:val="20"/>
                <w:vertAlign w:val="subscript"/>
                <w:lang w:val="en-US"/>
              </w:rPr>
              <w:t>m</w:t>
            </w:r>
            <w:r w:rsidRPr="00F82985">
              <w:rPr>
                <w:color w:val="000000"/>
                <w:sz w:val="20"/>
                <w:szCs w:val="20"/>
                <w:lang w:val="en-US"/>
              </w:rPr>
              <w:t xml:space="preserve"> = 6 µM) </w:t>
            </w:r>
            <w:r w:rsidRPr="00F82985">
              <w:rPr>
                <w:color w:val="000000"/>
                <w:sz w:val="20"/>
                <w:szCs w:val="20"/>
                <w:lang w:val="en-US"/>
              </w:rPr>
              <w:fldChar w:fldCharType="begin" w:fldLock="1"/>
            </w:r>
            <w:r w:rsidR="00573A04">
              <w:rPr>
                <w:color w:val="000000"/>
                <w:sz w:val="20"/>
                <w:szCs w:val="20"/>
                <w:lang w:val="en-US"/>
              </w:rPr>
              <w:instrText>ADDIN CSL_CITATION {"citationItems":[{"id":"ITEM-1","itemData":{"DOI":"https://doi.org/10.1016/j.taap.2013.03.019","ISSN":"0041-008X","abstract":"Multidrug resistance associated protein-2, MRP2 (human), Mrp2 (rat) are an efflux transporter, responsible for the transport of numerous endogenous and xenobiotic compounds including taurocholate, methotrexate and carboxydichlorofluorescein (CDF). The present study aims to characterise transport of statins by human and rat MRP2/Mrp2 using membrane and vesicle preparations. All statins tested (simvastatin, pravastatin, pitavastatin, fluvastatin, atorvastatin, lovastatin and rosuvastatin) stimulated vanadate-sensitive ATPase activity in membranes expressing human or rat MRP2/Mrp2, suggesting that all statins are substrates of human and rat MRP2/Mrp2. The substrate affinity (Km) of all statins for MRP2/Mrp2 was comparable and no correlation between lipophilicity (logD7.0) and Km was seen. All statins also inhibited uptake of the fluorescent Mrp2 substrate, CDF (1μM) into vesicles expressing human or rat MRP2/Mrp2 with similar IC50 values. Fitting of the inhibitory data to the hill slope equation, gave hill coefficients (h) of greater than one, suggesting that transport involved more than one binding site for inhibitors of MPR2 and Mrp2. We conclude that statins were transported by both human and rat MRP2/Mrp2 with similar affinity. Statins were also shown to compete with other substrates for transport by MRP2/Mrp2 and that this transport involved more than one binding site on the Mrp2/MRP2 protein.","author":[{"dropping-particle":"","family":"Ellis","given":"Lucy C J","non-dropping-particle":"","parse-names":false,"suffix":""},{"dropping-particle":"","family":"Hawksworth","given":"Gabrielle M","non-dropping-particle":"","parse-names":false,"suffix":""},{"dropping-particle":"","family":"Weaver","given":"Richard J","non-dropping-particle":"","parse-names":false,"suffix":""}],"container-title":"Toxicology and Applied Pharmacology","id":"ITEM-1","issue":"2","issued":{"date-parts":[["2013"]]},"page":"187-194","title":"ATP-dependent transport of statins by human and rat MRP2/Mrp2","type":"article-journal","volume":"269"},"uris":["http://www.mendeley.com/documents/?uuid=010847b7-ca05-4e67-9b2c-5cd27789d5d7"]}],"mendeley":{"formattedCitation":"[40]","plainTextFormattedCitation":"[40]","previouslyFormattedCitation":"[40]"},"properties":{"noteIndex":0},"schema":"https://github.com/citation-style-language/schema/raw/master/csl-citation.json"}</w:instrText>
            </w:r>
            <w:r w:rsidRPr="00F82985">
              <w:rPr>
                <w:color w:val="000000"/>
                <w:sz w:val="20"/>
                <w:szCs w:val="20"/>
                <w:lang w:val="en-US"/>
              </w:rPr>
              <w:fldChar w:fldCharType="separate"/>
            </w:r>
            <w:r w:rsidR="008C4117" w:rsidRPr="008C4117">
              <w:rPr>
                <w:noProof/>
                <w:color w:val="000000"/>
                <w:sz w:val="20"/>
                <w:szCs w:val="20"/>
                <w:lang w:val="en-US"/>
              </w:rPr>
              <w:t>[40]</w:t>
            </w:r>
            <w:r w:rsidRPr="00F82985">
              <w:rPr>
                <w:color w:val="000000"/>
                <w:sz w:val="20"/>
                <w:szCs w:val="20"/>
                <w:lang w:val="en-US"/>
              </w:rPr>
              <w:fldChar w:fldCharType="end"/>
            </w:r>
            <w:r w:rsidRPr="00F82985">
              <w:rPr>
                <w:color w:val="000000"/>
                <w:sz w:val="20"/>
                <w:szCs w:val="20"/>
                <w:lang w:val="en-US"/>
              </w:rPr>
              <w:t>;</w:t>
            </w:r>
          </w:p>
          <w:p w14:paraId="715EFDDD" w14:textId="5B9D085E" w:rsidR="00B3136C" w:rsidRPr="00E77EEB" w:rsidRDefault="00B3136C" w:rsidP="003B76E2">
            <w:pPr>
              <w:jc w:val="both"/>
              <w:rPr>
                <w:color w:val="000000"/>
                <w:sz w:val="20"/>
                <w:szCs w:val="20"/>
              </w:rPr>
            </w:pPr>
            <w:proofErr w:type="spellStart"/>
            <w:r w:rsidRPr="00F82985">
              <w:rPr>
                <w:color w:val="000000"/>
                <w:sz w:val="20"/>
                <w:szCs w:val="20"/>
                <w:lang w:val="en-US"/>
              </w:rPr>
              <w:t>Bsep</w:t>
            </w:r>
            <w:proofErr w:type="spellEnd"/>
            <w:r w:rsidRPr="00F82985">
              <w:rPr>
                <w:color w:val="000000"/>
                <w:sz w:val="20"/>
                <w:szCs w:val="20"/>
                <w:lang w:val="en-US"/>
              </w:rPr>
              <w:t xml:space="preserve"> (0.8 mM)  </w:t>
            </w:r>
            <w:r w:rsidRPr="00F82985">
              <w:rPr>
                <w:color w:val="000000"/>
                <w:sz w:val="20"/>
                <w:szCs w:val="20"/>
                <w:lang w:val="en-US"/>
              </w:rPr>
              <w:fldChar w:fldCharType="begin" w:fldLock="1"/>
            </w:r>
            <w:r w:rsidR="00573A04">
              <w:rPr>
                <w:color w:val="000000"/>
                <w:sz w:val="20"/>
                <w:szCs w:val="20"/>
                <w:lang w:val="en-US"/>
              </w:rPr>
              <w:instrText>ADDIN CSL_CITATION {"citationItems":[{"id":"ITEM-1","itemData":{"DOI":"10.1124/jpet.105.084830","ISSN":"0022-3565 (Print)","PMID":"15901796","abstract":"Pravastatin is a well known 3-hydroxy-3-methylglutaryl-CoA reductase inhibitor.  Cumulative studies have shown that pravastatin is taken up into hepatocytes by the organic anion transporting polypeptide family transporters and excreted into the bile as an intact form by multidrug resistance-associated protein 2 (MRP2). It is generally accepted that the bile salt export pump (BSEP/ABCB11) mainly transports bile acids and plays an indispensable role in their biliary excretion. Interestingly, we found that BSEP could accept pravastatin as a substrate. Significant ATP-dependent uptake of pravastatin by human BSEP (hBSEP)- and rat BSEP (rBsep)-expressing membrane vesicles was observed, and the ratio of the uptake activity of pravastatin to that of taurocholic acid (TCA) by hBSEP was 3.3-fold higher than that by rBsep. The K(m) value of pravastatin for hBSEP was 124 muM. A mutual inhibition study between TCA and pravastatin revealed that they competitively interact with hBSEP. Several statins inhibited the hBSEP- and rBsep-mediated uptake of TCA; however, the specific uptake of other statins (cerivastatin, fluvastatin, and pitavastatin) by hBSEP and rBSEP was not detected. The inhibitory effects of hydrophilic statins (pravastatin and rosuvastatin) on the uptake of TCA by BSEP were relatively lower than those of lipophilic statins. These data suggest that BSEP may be partly involved in the biliary excretion of pravastatin in both rats and humans.","author":[{"dropping-particle":"","family":"Hirano","given":"Masaru","non-dropping-particle":"","parse-names":false,"suffix":""},{"dropping-particle":"","family":"Maeda","given":"Kazuya","non-dropping-particle":"","parse-names":false,"suffix":""},{"dropping-particle":"","family":"Hayashi","given":"Hisamitsu","non-dropping-particle":"","parse-names":false,"suffix":""},{"dropping-particle":"","family":"Kusuhara","given":"Hiroyuki","non-dropping-particle":"","parse-names":false,"suffix":""},{"dropping-particle":"","family":"Sugiyama","given":"Yuichi","non-dropping-particle":"","parse-names":false,"suffix":""}],"container-title":"The Journal of pharmacology and experimental therapeutics","id":"ITEM-1","issue":"2","issued":{"date-parts":[["2005","8"]]},"language":"eng","page":"876-882","publisher-place":"United States","title":"Bile salt export pump (BSEP/ABCB11) can transport a nonbile acid substrate,  pravastatin.","type":"article-journal","volume":"314"},"uris":["http://www.mendeley.com/documents/?uuid=175cdf27-186e-4bff-8a57-9f668f920543"]}],"mendeley":{"formattedCitation":"[41]","plainTextFormattedCitation":"[41]","previouslyFormattedCitation":"[41]"},"properties":{"noteIndex":0},"schema":"https://github.com/citation-style-language/schema/raw/master/csl-citation.json"}</w:instrText>
            </w:r>
            <w:r w:rsidRPr="00F82985">
              <w:rPr>
                <w:color w:val="000000"/>
                <w:sz w:val="20"/>
                <w:szCs w:val="20"/>
                <w:lang w:val="en-US"/>
              </w:rPr>
              <w:fldChar w:fldCharType="separate"/>
            </w:r>
            <w:r w:rsidR="008C4117" w:rsidRPr="008C4117">
              <w:rPr>
                <w:noProof/>
                <w:color w:val="000000"/>
                <w:sz w:val="20"/>
                <w:szCs w:val="20"/>
                <w:lang w:val="en-US"/>
              </w:rPr>
              <w:t>[41]</w:t>
            </w:r>
            <w:r w:rsidRPr="00F82985">
              <w:rPr>
                <w:color w:val="000000"/>
                <w:sz w:val="20"/>
                <w:szCs w:val="20"/>
                <w:lang w:val="en-US"/>
              </w:rPr>
              <w:fldChar w:fldCharType="end"/>
            </w:r>
            <w:r w:rsidRPr="00F82985">
              <w:rPr>
                <w:color w:val="000000"/>
                <w:sz w:val="20"/>
                <w:szCs w:val="20"/>
                <w:lang w:val="en-US"/>
              </w:rPr>
              <w:t xml:space="preserve">; </w:t>
            </w:r>
            <w:proofErr w:type="spellStart"/>
            <w:r w:rsidRPr="00F82985">
              <w:rPr>
                <w:color w:val="000000"/>
                <w:sz w:val="20"/>
                <w:szCs w:val="20"/>
                <w:lang w:val="en-US"/>
              </w:rPr>
              <w:t>Bcrp</w:t>
            </w:r>
            <w:proofErr w:type="spellEnd"/>
            <w:r w:rsidRPr="00F82985">
              <w:rPr>
                <w:color w:val="000000"/>
                <w:sz w:val="20"/>
                <w:szCs w:val="20"/>
                <w:lang w:val="en-US"/>
              </w:rPr>
              <w:t xml:space="preserve"> (mouse) (K</w:t>
            </w:r>
            <w:r w:rsidRPr="00F82985">
              <w:rPr>
                <w:color w:val="000000"/>
                <w:sz w:val="20"/>
                <w:szCs w:val="20"/>
                <w:vertAlign w:val="subscript"/>
                <w:lang w:val="en-US"/>
              </w:rPr>
              <w:t>m</w:t>
            </w:r>
            <w:r w:rsidRPr="00F82985">
              <w:rPr>
                <w:color w:val="000000"/>
                <w:sz w:val="20"/>
                <w:szCs w:val="20"/>
                <w:lang w:val="en-US"/>
              </w:rPr>
              <w:t xml:space="preserve"> = 4.8 µM)</w:t>
            </w:r>
            <w:r w:rsidRPr="00F82985">
              <w:rPr>
                <w:color w:val="000000"/>
                <w:sz w:val="20"/>
                <w:szCs w:val="20"/>
                <w:lang w:val="en-US"/>
              </w:rPr>
              <w:fldChar w:fldCharType="begin" w:fldLock="1"/>
            </w:r>
            <w:r w:rsidR="00573A04">
              <w:rPr>
                <w:color w:val="000000"/>
                <w:sz w:val="20"/>
                <w:szCs w:val="20"/>
                <w:lang w:val="en-US"/>
              </w:rPr>
              <w:instrText>ADDIN CSL_CITATION {"citationItems":[{"id":"ITEM-1","itemData":{"DOI":"10.1124/mol.105.014019","ISSN":"0026-895X (Print)","PMID":"15955871","abstract":"Pitavastatin, a novel potent 3-hydroxymethylglutaryl coenzyme A reductase inhibitor,  is distributed selectively to the liver and excreted into bile in unchanged form in rats. We reported previously that the hepatic uptake is mainly mediated by organic anion transporting polypeptide (OATP) 1B1, whereas the biliary excretion mechanism remains to be clarified. In the present study, we investigated the role of breast cancer resistance protein (BCRP) in the biliary excretion of pitavastatin. The ATP-dependent uptake of pitavastatin by human and mouse BCRP-expressing membrane vesicles was significantly higher compared with that by control vesicles with Km values of 5.73 and 4.77 microM, respectively. The biliary excretion clearance of pitavastatin in Bcrp1-/- mice was decreased to one-tenth of that in control mice. The biliary excretion of pitavastatin was unchanged between control and Eisai hyperbilirubinemic rats, indicating a minor contribution of multidrug resistance-associated protein (Mrp) 2. This observation differs radically from that for a more hydrophilic statin, pravastatin, of which biliary excretion is largely mediated by Mrp2. These data suggest that the biliary clearance of pitavastatin can be largely accounted for by BCRP in mice. In the case of humans, transcellular transport of pitavastatin was determined in the Madin-Darby canine kidney II cells expressing OATP1B1 and human canalicular efflux transporters. A significant basal-to-apical transport of pitavastatin was observed in OATP1B1/MDR1 and OATP1B1/MRP2 double transfectants as well as OATP1B1/BCRP double transfectants, implying the involvement of multiple transporters in the biliary excretion of pitavastatin in humans. This is in contrast to a previous belief that the biliary excretion of statins is mediated mainly by MRP2.","author":[{"dropping-particle":"","family":"Hirano","given":"Masaru","non-dropping-particle":"","parse-names":false,"suffix":""},{"dropping-particle":"","family":"Maeda","given":"Kazuya","non-dropping-particle":"","parse-names":false,"suffix":""},{"dropping-particle":"","family":"Matsushima","given":"Soichiro","non-dropping-particle":"","parse-names":false,"suffix":""},{"dropping-particle":"","family":"Nozaki","given":"Yoshitane","non-dropping-particle":"","parse-names":false,"suffix":""},{"dropping-particle":"","family":"Kusuhara","given":"Hiroyuki","non-dropping-particle":"","parse-names":false,"suffix":""},{"dropping-particle":"","family":"Sugiyama","given":"Yuichi","non-dropping-particle":"","parse-names":false,"suffix":""}],"container-title":"Molecular pharmacology","id":"ITEM-1","issue":"3","issued":{"date-parts":[["2005","9"]]},"language":"eng","page":"800-807","publisher-place":"United States","title":"Involvement of BCRP (ABCG2) in the biliary excretion of pitavastatin.","type":"article-journal","volume":"68"},"uris":["http://www.mendeley.com/documents/?uuid=ab8dcc19-2154-4790-9f6a-da28e99cb414"]}],"mendeley":{"formattedCitation":"[42]","plainTextFormattedCitation":"[42]","previouslyFormattedCitation":"[42]"},"properties":{"noteIndex":0},"schema":"https://github.com/citation-style-language/schema/raw/master/csl-citation.json"}</w:instrText>
            </w:r>
            <w:r w:rsidRPr="00F82985">
              <w:rPr>
                <w:color w:val="000000"/>
                <w:sz w:val="20"/>
                <w:szCs w:val="20"/>
                <w:lang w:val="en-US"/>
              </w:rPr>
              <w:fldChar w:fldCharType="separate"/>
            </w:r>
            <w:r w:rsidR="008C4117" w:rsidRPr="008C4117">
              <w:rPr>
                <w:noProof/>
                <w:color w:val="000000"/>
                <w:sz w:val="20"/>
                <w:szCs w:val="20"/>
              </w:rPr>
              <w:t>[42]</w:t>
            </w:r>
            <w:r w:rsidRPr="00F82985">
              <w:rPr>
                <w:color w:val="000000"/>
                <w:sz w:val="20"/>
                <w:szCs w:val="20"/>
                <w:lang w:val="en-US"/>
              </w:rPr>
              <w:fldChar w:fldCharType="end"/>
            </w:r>
          </w:p>
        </w:tc>
      </w:tr>
      <w:tr w:rsidR="00B3136C" w:rsidRPr="00463873" w14:paraId="47978DE8" w14:textId="77777777" w:rsidTr="00573A04">
        <w:trPr>
          <w:trHeight w:val="300"/>
        </w:trPr>
        <w:tc>
          <w:tcPr>
            <w:tcW w:w="1413" w:type="dxa"/>
            <w:shd w:val="clear" w:color="auto" w:fill="auto"/>
            <w:noWrap/>
            <w:vAlign w:val="bottom"/>
            <w:hideMark/>
          </w:tcPr>
          <w:p w14:paraId="37CF5978" w14:textId="3AAD8E5E" w:rsidR="00B3136C" w:rsidRPr="00E77EEB" w:rsidRDefault="00B3136C" w:rsidP="003B76E2">
            <w:pPr>
              <w:jc w:val="both"/>
              <w:rPr>
                <w:color w:val="000000"/>
                <w:sz w:val="20"/>
                <w:szCs w:val="20"/>
              </w:rPr>
            </w:pPr>
            <w:r w:rsidRPr="00E77EEB">
              <w:rPr>
                <w:color w:val="000000"/>
                <w:sz w:val="20"/>
                <w:szCs w:val="20"/>
              </w:rPr>
              <w:t xml:space="preserve">Estradiol-17 </w:t>
            </w:r>
            <w:r w:rsidR="00502A73">
              <w:rPr>
                <w:color w:val="000000"/>
                <w:sz w:val="20"/>
                <w:szCs w:val="20"/>
              </w:rPr>
              <w:t>beta</w:t>
            </w:r>
            <w:r w:rsidRPr="00E77EEB">
              <w:rPr>
                <w:color w:val="000000"/>
                <w:sz w:val="20"/>
                <w:szCs w:val="20"/>
              </w:rPr>
              <w:t>-glucuronide</w:t>
            </w:r>
          </w:p>
          <w:p w14:paraId="28A828DC" w14:textId="77777777" w:rsidR="00B3136C" w:rsidRPr="00E77EEB" w:rsidRDefault="00B3136C" w:rsidP="003B76E2">
            <w:pPr>
              <w:jc w:val="both"/>
              <w:rPr>
                <w:color w:val="000000"/>
                <w:sz w:val="20"/>
                <w:szCs w:val="20"/>
              </w:rPr>
            </w:pPr>
            <w:r w:rsidRPr="00E77EEB">
              <w:rPr>
                <w:color w:val="000000"/>
                <w:sz w:val="20"/>
                <w:szCs w:val="20"/>
              </w:rPr>
              <w:t>CHEBI:791</w:t>
            </w:r>
          </w:p>
        </w:tc>
        <w:tc>
          <w:tcPr>
            <w:tcW w:w="1276" w:type="dxa"/>
            <w:shd w:val="clear" w:color="auto" w:fill="auto"/>
            <w:noWrap/>
            <w:vAlign w:val="bottom"/>
            <w:hideMark/>
          </w:tcPr>
          <w:p w14:paraId="563458B6" w14:textId="77777777" w:rsidR="00B3136C" w:rsidRPr="00E77EEB" w:rsidRDefault="00B3136C" w:rsidP="003B76E2">
            <w:pPr>
              <w:jc w:val="both"/>
              <w:rPr>
                <w:color w:val="000000"/>
                <w:sz w:val="20"/>
                <w:szCs w:val="20"/>
              </w:rPr>
            </w:pPr>
            <w:r w:rsidRPr="00E77EEB">
              <w:rPr>
                <w:color w:val="000000"/>
                <w:sz w:val="20"/>
                <w:szCs w:val="20"/>
              </w:rPr>
              <w:t>1</w:t>
            </w:r>
          </w:p>
        </w:tc>
        <w:tc>
          <w:tcPr>
            <w:tcW w:w="992" w:type="dxa"/>
            <w:shd w:val="clear" w:color="auto" w:fill="auto"/>
            <w:noWrap/>
            <w:vAlign w:val="bottom"/>
            <w:hideMark/>
          </w:tcPr>
          <w:p w14:paraId="313C2153" w14:textId="77777777" w:rsidR="00B3136C" w:rsidRPr="00E77EEB" w:rsidRDefault="00B3136C" w:rsidP="003B76E2">
            <w:pPr>
              <w:jc w:val="both"/>
              <w:rPr>
                <w:color w:val="000000"/>
                <w:sz w:val="20"/>
                <w:szCs w:val="20"/>
              </w:rPr>
            </w:pPr>
            <w:r w:rsidRPr="00E77EEB">
              <w:rPr>
                <w:color w:val="000000"/>
                <w:sz w:val="20"/>
                <w:szCs w:val="20"/>
              </w:rPr>
              <w:t>200</w:t>
            </w:r>
          </w:p>
        </w:tc>
        <w:tc>
          <w:tcPr>
            <w:tcW w:w="3260" w:type="dxa"/>
            <w:shd w:val="clear" w:color="auto" w:fill="auto"/>
            <w:noWrap/>
            <w:vAlign w:val="bottom"/>
            <w:hideMark/>
          </w:tcPr>
          <w:p w14:paraId="6AD73382" w14:textId="42A550D9" w:rsidR="00B3136C" w:rsidRPr="00E26B06" w:rsidRDefault="00B3136C" w:rsidP="003B76E2">
            <w:pPr>
              <w:jc w:val="both"/>
              <w:rPr>
                <w:color w:val="000000"/>
                <w:sz w:val="20"/>
                <w:szCs w:val="20"/>
              </w:rPr>
            </w:pPr>
            <w:r w:rsidRPr="00240D83">
              <w:rPr>
                <w:color w:val="000000"/>
                <w:sz w:val="20"/>
                <w:szCs w:val="20"/>
                <w:lang w:val="en-US"/>
              </w:rPr>
              <w:t>INFLUX: Oatp1, Oatp2 (K</w:t>
            </w:r>
            <w:r w:rsidRPr="00240D83">
              <w:rPr>
                <w:color w:val="000000"/>
                <w:sz w:val="20"/>
                <w:szCs w:val="20"/>
                <w:vertAlign w:val="subscript"/>
                <w:lang w:val="en-US"/>
              </w:rPr>
              <w:t>m</w:t>
            </w:r>
            <w:r w:rsidRPr="00240D83">
              <w:rPr>
                <w:color w:val="000000"/>
                <w:sz w:val="20"/>
                <w:szCs w:val="20"/>
                <w:lang w:val="en-US"/>
              </w:rPr>
              <w:t xml:space="preserve"> = 3 µM), and Oatp3 (K</w:t>
            </w:r>
            <w:r w:rsidRPr="00240D83">
              <w:rPr>
                <w:color w:val="000000"/>
                <w:sz w:val="20"/>
                <w:szCs w:val="20"/>
                <w:vertAlign w:val="subscript"/>
                <w:lang w:val="en-US"/>
              </w:rPr>
              <w:t>m</w:t>
            </w:r>
            <w:r w:rsidRPr="00240D83">
              <w:rPr>
                <w:color w:val="000000"/>
                <w:sz w:val="20"/>
                <w:szCs w:val="20"/>
                <w:lang w:val="en-US"/>
              </w:rPr>
              <w:t xml:space="preserve"> = 39 µM) </w:t>
            </w:r>
            <w:r w:rsidRPr="00F82985">
              <w:rPr>
                <w:color w:val="000000"/>
                <w:sz w:val="20"/>
                <w:szCs w:val="20"/>
                <w:lang w:val="en-US"/>
              </w:rPr>
              <w:fldChar w:fldCharType="begin" w:fldLock="1"/>
            </w:r>
            <w:r w:rsidR="00573A04">
              <w:rPr>
                <w:color w:val="000000"/>
                <w:sz w:val="20"/>
                <w:szCs w:val="20"/>
                <w:lang w:val="en-US"/>
              </w:rPr>
              <w:instrText>ADDIN CSL_CITATION {"citationItems":[{"id":"ITEM-1","itemData":{"ISSN":"1432-2013","author":[{"dropping-particle":"","family":"Cattori","given":"Valentino","non-dropping-particle":"","parse-names":false,"suffix":""},{"dropping-particle":"","family":"Montfoort","given":"Jessica E","non-dropping-particle":"","parse-names":false,"suffix":""},{"dropping-particle":"","family":"Stieger","given":"Bruno","non-dropping-particle":"","parse-names":false,"suffix":""},{"dropping-particle":"","family":"Landmann","given":"Lukas","non-dropping-particle":"","parse-names":false,"suffix":""},{"dropping-particle":"","family":"Meijer","given":"Dirk K","non-dropping-particle":"","parse-names":false,"suffix":""},{"dropping-particle":"","family":"Winterhalter","given":"Kaspar H","non-dropping-particle":"","parse-names":false,"suffix":""},{"dropping-particle":"","family":"Meier","given":"Peter J","non-dropping-particle":"","parse-names":false,"suffix":""},{"dropping-particle":"","family":"Hagenbuch","given":"Bruno","non-dropping-particle":"","parse-names":false,"suffix":""}],"container-title":"Pflügers Archiv","id":"ITEM-1","issue":"2","issued":{"date-parts":[["2001"]]},"page":"188-195","publisher":"Springer","title":"Localization of organic anion transporting polypeptide 4 (Oatp4) in rat liver and comparison of its substrate specificity with Oatp1, Oatp2 and Oatp3","type":"article-journal","volume":"443"},"uris":["http://www.mendeley.com/documents/?uuid=554fae17-93d6-4a1e-b61a-fed583d6825b"]}],"mendeley":{"formattedCitation":"[43]","plainTextFormattedCitation":"[43]","previouslyFormattedCitation":"[43]"},"properties":{"noteIndex":0},"schema":"https://github.com/citation-style-language/schema/raw/master/csl-citation.json"}</w:instrText>
            </w:r>
            <w:r w:rsidRPr="00F82985">
              <w:rPr>
                <w:color w:val="000000"/>
                <w:sz w:val="20"/>
                <w:szCs w:val="20"/>
                <w:lang w:val="en-US"/>
              </w:rPr>
              <w:fldChar w:fldCharType="separate"/>
            </w:r>
            <w:r w:rsidR="008C4117" w:rsidRPr="008C4117">
              <w:rPr>
                <w:noProof/>
                <w:color w:val="000000"/>
                <w:sz w:val="20"/>
                <w:szCs w:val="20"/>
                <w:lang w:val="en-US"/>
              </w:rPr>
              <w:t>[43]</w:t>
            </w:r>
            <w:r w:rsidRPr="00F82985">
              <w:rPr>
                <w:color w:val="000000"/>
                <w:sz w:val="20"/>
                <w:szCs w:val="20"/>
                <w:lang w:val="en-US"/>
              </w:rPr>
              <w:fldChar w:fldCharType="end"/>
            </w:r>
            <w:r w:rsidRPr="00F82985">
              <w:rPr>
                <w:color w:val="000000"/>
                <w:sz w:val="20"/>
                <w:szCs w:val="20"/>
                <w:lang w:val="en-US"/>
              </w:rPr>
              <w:t xml:space="preserve"> </w:t>
            </w:r>
            <w:r w:rsidRPr="00F82985">
              <w:rPr>
                <w:color w:val="000000"/>
                <w:sz w:val="20"/>
                <w:szCs w:val="20"/>
                <w:lang w:val="en-US"/>
              </w:rPr>
              <w:fldChar w:fldCharType="begin" w:fldLock="1"/>
            </w:r>
            <w:r w:rsidR="00573A04">
              <w:rPr>
                <w:color w:val="000000"/>
                <w:sz w:val="20"/>
                <w:szCs w:val="20"/>
                <w:lang w:val="en-US"/>
              </w:rPr>
              <w:instrText>ADDIN CSL_CITATION {"citationItems":[{"id":"ITEM-1","itemData":{"DOI":"10.1152/ajprenal.1996.270.2.F326","ISSN":"0002-9513 (Print)","PMID":"8779894","abstract":"Although substantial evidence indicates that estradiol-17 beta (E2) is conjugated to  the glucuronide in the kidney and then excreted by a direct tubular secretory route and that the liver transports E2 glucuronides via carrier-mediated mechanisms, the transporters involved in these processes have not been identified. The so-called \"organic anion-transporting polypeptide\" (i.e., oatp) has a number of known substrates, including bromosulfophthalein (BSP) and taurocholic acid (TCA) (E. Jacquemin, B. Hagenbuch, B. Stieger, A. W. Wolkoff, and P. J. Meier. Proc. Natl. Acad. Sci. USA 91: 133-137, 1994). In a companion study, we determined that steroid hormones represent a class of hormones that interact strongly with oatp when the latter is transiently expressed in vitro. Here, we studied more extensively steroids and steroid anion conjugates as candidate oatp substrates. In HeLa cell monolayers transfected with a full-length oatp cDNA, [3H]estradiol 17 beta-D-glucuronide ([3H]E2-17G) was transported with a signal-to-noise ratio of 15:1 over that of monolayers transfected with a control plasmid. The affinity of oatp for [3H]E2-17G was significantly higher than that for TCA (K(m) of 3 microM vs. 27 microM, respectively). In contrast to E2-17G, unconjugated estradiol (E2) was not significantly transported by oatp. Several unconjugated steroids and anionic steroid conjugates were tested for their ability to compete with tracer E2-17G for oatp-mediated transport. Conjugation at the 17 or 3 position with the anion of a strong acid (sulfate) resulted in a greater degree of inhibition of tracer E2-17G transport than did conjugation at the 17 or 3 position with an uncharged group (acetate), suggesting that the strength of the negative charge at these positions is an important determinant of the affinity of a given steroid conjugate for oatp. We conclude that the preferred substrates for oatp are steroids with a strong 17- or 3-position anionic group. Since steroid sulfotransferases and glucuronosyltransferases are expressed in the proximal tubule, as is oatp, the transporter may serve as an apical exit pathway for steroids following their conjugation within the tubule cell.","author":[{"dropping-particle":"","family":"Kanai","given":"N","non-dropping-particle":"","parse-names":false,"suffix":""},{"dropping-particle":"","family":"Lu","given":"R","non-dropping-particle":"","parse-names":false,"suffix":""},{"dropping-particle":"","family":"Bao","given":"Y","non-dropping-particle":"","parse-names":false,"suffix":""},{"dropping-particle":"","family":"Wolkoff","given":"A W","non-dropping-particle":"","parse-names":false,"suffix":""},{"dropping-particle":"","family":"Vore","given":"M","non-dropping-particle":"","parse-names":false,"suffix":""},{"dropping-particle":"","family":"Schuster","given":"V L","non-dropping-particle":"","parse-names":false,"suffix":""}],"container-title":"The American journal of physiology","id":"ITEM-1","issue":"2 Pt 2","issued":{"date-parts":[["1996","2"]]},"language":"eng","page":"F326-31","publisher-place":"United States","title":"Estradiol 17 beta-D-glucuronide is a high-affinity substrate for oatp organic anion  transporter.","type":"article-journal","volume":"270"},"uris":["http://www.mendeley.com/documents/?uuid=d6ecd329-bb23-42dc-81f0-d3a65b4a3dfc"]}],"mendeley":{"formattedCitation":"[44]","plainTextFormattedCitation":"[44]","previouslyFormattedCitation":"[44]"},"properties":{"noteIndex":0},"schema":"https://github.com/citation-style-language/schema/raw/master/csl-citation.json"}</w:instrText>
            </w:r>
            <w:r w:rsidRPr="00F82985">
              <w:rPr>
                <w:color w:val="000000"/>
                <w:sz w:val="20"/>
                <w:szCs w:val="20"/>
                <w:lang w:val="en-US"/>
              </w:rPr>
              <w:fldChar w:fldCharType="separate"/>
            </w:r>
            <w:r w:rsidR="008C4117" w:rsidRPr="008C4117">
              <w:rPr>
                <w:noProof/>
                <w:color w:val="000000"/>
                <w:sz w:val="20"/>
                <w:szCs w:val="20"/>
                <w:lang w:val="en-US"/>
              </w:rPr>
              <w:t>[44]</w:t>
            </w:r>
            <w:r w:rsidRPr="00F82985">
              <w:rPr>
                <w:color w:val="000000"/>
                <w:sz w:val="20"/>
                <w:szCs w:val="20"/>
                <w:lang w:val="en-US"/>
              </w:rPr>
              <w:fldChar w:fldCharType="end"/>
            </w:r>
            <w:r w:rsidR="00D82436">
              <w:rPr>
                <w:color w:val="000000"/>
                <w:sz w:val="20"/>
                <w:szCs w:val="20"/>
                <w:lang w:val="en-US"/>
              </w:rPr>
              <w:t xml:space="preserve">. Not </w:t>
            </w:r>
            <w:proofErr w:type="spellStart"/>
            <w:r w:rsidR="00D82436">
              <w:rPr>
                <w:color w:val="000000"/>
                <w:sz w:val="20"/>
                <w:szCs w:val="20"/>
                <w:lang w:val="en-US"/>
              </w:rPr>
              <w:t>Ntcp</w:t>
            </w:r>
            <w:proofErr w:type="spellEnd"/>
            <w:r w:rsidR="00D82436">
              <w:rPr>
                <w:color w:val="000000"/>
                <w:sz w:val="20"/>
                <w:szCs w:val="20"/>
                <w:lang w:val="en-US"/>
              </w:rPr>
              <w:t xml:space="preserve"> </w:t>
            </w:r>
            <w:r w:rsidR="00D82436">
              <w:rPr>
                <w:color w:val="000000"/>
                <w:sz w:val="20"/>
                <w:szCs w:val="20"/>
                <w:lang w:val="en-US"/>
              </w:rPr>
              <w:fldChar w:fldCharType="begin" w:fldLock="1"/>
            </w:r>
            <w:r w:rsidR="00573A04">
              <w:rPr>
                <w:color w:val="000000"/>
                <w:sz w:val="20"/>
                <w:szCs w:val="20"/>
                <w:lang w:val="en-US"/>
              </w:rPr>
              <w:instrText>ADDIN CSL_CITATION {"citationItems":[{"id":"ITEM-1","itemData":{"ISBN":"2296-889X","abstract":"Three carriers of the solute carrier family SLC10 have been functionally characterized so far. Na&lt;sup&gt;+&lt;/sup&gt;/taurocholate cotransporting polypeptide NTCP is a hepatic bile acid transporter and the cellular entry receptor for the hepatitis B and D viruses. Its intestinal counterpart, apical sodium-dependent bile acid transporter ASBT, is responsible for the reabsorption of bile acids from the intestinal lumen. In addition, sodium-dependent organic anion transporter SOAT specifically transports sulfated steroid hormones, but not bile acids. All three carriers show high sequence homology, but significant differences in substrate recognition that makes a systematic structure-activity comparison attractive in order to define the protein domains involved in substrate binding and transport. By using stably transfected NTCP-, ASBT-, and SOAT-HEK293 cells, systematic comparative transport and inhibition experiments were performed with more than 20 bile acid and steroid substrates as well as different inhibitors. Taurolithocholic acid (TLC) was identified as the first common substrate of NTCP, ASBT and SOAT with K&lt;sub&gt;m&lt;/sub&gt; values of 18.4, 5.9, and 19.3 µM, respectively. In contrast, lithocholic acid was the only bile acid that was not transported by any of these carriers. Troglitazone, BSP and erythrosine B were identified as pan-SLC10 inhibitors, whereas cyclosporine A, irbesartan, ginkgolic acid 17:1, and betulinic acid only inhibited NTCP and SOAT, but not ASBT. The HBV/HDV-derived myr-preS1 peptide showed equipotent inhibition of the NTCP-mediated substrate transport of taurocholic acid (TC), dehydroepiandrosterone sulfate (DHEAS), and TLC with IC&lt;sub&gt;50&lt;/sub&gt; values of 182 nM, 167 nM, and 316 nM, respectively. In contrast, TLC was more potent to inhibit myr-preS1 peptide binding to NTCP with IC&lt;sub&gt;50&lt;/sub&gt; of 4.3 µM compared to TC (IC&lt;sub&gt;50&lt;/sub&gt; = 70.4 µM) and DHEAS (IC&lt;sub&gt;50&lt;/sub&gt; = 52.0 µM). Based on the data of the present study, we propose several overlapping, but differently active binding sites for substrates and inhibitors in the carriers NTCP, ASBT, SOAT.","author":[{"dropping-particle":"","family":"Grosser","given":"Gary","non-dropping-particle":"","parse-names":false,"suffix":""},{"dropping-particle":"","family":"Müller","given":"Simon Franz","non-dropping-particle":"","parse-names":false,"suffix":""},{"dropping-particle":"","family":"Kirstgen","given":"Michael","non-dropping-particle":"","parse-names":false,"suffix":""},{"dropping-particle":"","family":"Döring","given":"Barbara","non-dropping-particle":"","parse-names":false,"suffix":""},{"dropping-particle":"","family":"Geyer","given":"Joachim","non-dropping-particle":"","parse-names":false,"suffix":""}],"container-title":"Frontiers in Molecular Biosciences  ","id":"ITEM-1","issued":{"date-parts":[["2021"]]},"page":"430","title":"Substrate Specificities and Inhibition Pattern of the Solute Carrier Family 10 Members NTCP, ASBT and SOAT   ","type":"article","volume":"8      "},"uris":["http://www.mendeley.com/documents/?uuid=5f296c5d-3a71-40f2-b0c2-67349796f47f"]}],"mendeley":{"formattedCitation":"[45]","plainTextFormattedCitation":"[45]","previouslyFormattedCitation":"[45]"},"properties":{"noteIndex":0},"schema":"https://github.com/citation-style-language/schema/raw/master/csl-citation.json"}</w:instrText>
            </w:r>
            <w:r w:rsidR="00D82436">
              <w:rPr>
                <w:color w:val="000000"/>
                <w:sz w:val="20"/>
                <w:szCs w:val="20"/>
                <w:lang w:val="en-US"/>
              </w:rPr>
              <w:fldChar w:fldCharType="separate"/>
            </w:r>
            <w:r w:rsidR="008C4117" w:rsidRPr="008C4117">
              <w:rPr>
                <w:noProof/>
                <w:color w:val="000000"/>
                <w:sz w:val="20"/>
                <w:szCs w:val="20"/>
                <w:lang w:val="en-US"/>
              </w:rPr>
              <w:t>[45]</w:t>
            </w:r>
            <w:r w:rsidR="00D82436">
              <w:rPr>
                <w:color w:val="000000"/>
                <w:sz w:val="20"/>
                <w:szCs w:val="20"/>
                <w:lang w:val="en-US"/>
              </w:rPr>
              <w:fldChar w:fldCharType="end"/>
            </w:r>
            <w:r w:rsidR="00D82436">
              <w:rPr>
                <w:color w:val="000000"/>
                <w:sz w:val="20"/>
                <w:szCs w:val="20"/>
                <w:lang w:val="en-US"/>
              </w:rPr>
              <w:t>.</w:t>
            </w:r>
            <w:r w:rsidR="00E26B06">
              <w:rPr>
                <w:color w:val="000000"/>
                <w:sz w:val="20"/>
                <w:szCs w:val="20"/>
                <w:lang w:val="en-US"/>
              </w:rPr>
              <w:t xml:space="preserve">  Not BTL </w:t>
            </w:r>
            <w:r w:rsidR="00E26B06">
              <w:rPr>
                <w:color w:val="000000"/>
                <w:sz w:val="20"/>
                <w:szCs w:val="20"/>
                <w:lang w:val="en-US"/>
              </w:rPr>
              <w:fldChar w:fldCharType="begin" w:fldLock="1"/>
            </w:r>
            <w:r w:rsidR="00A003A9">
              <w:rPr>
                <w:color w:val="000000"/>
                <w:sz w:val="20"/>
                <w:szCs w:val="20"/>
                <w:lang w:val="en-US"/>
              </w:rPr>
              <w:instrText>ADDIN CSL_CITATION {"citationItems":[{"id":"ITEM-1","itemData":{"DOI":"10.1016/j.aca.2011.07.004","ISSN":"1873-4324 (Electronic)","PMID":"21962375","abstract":"The transport activity of a membrane protein, bilitranslocase (T.C. # 2.A.65.1.1), which acts as a transporter of bilirubin from blood to liver cells, was experimentally determined for a large set of various endogenous compounds, drugs, purine and pyrimidine derivatives. On these grounds, the structure-activity models were developed following the OECD principles of QSAR models and their predictive ability for new chemicals was evaluated. The applicability domain of the models was estimated by Euclidean distances criteria according to the applied modeling method. The selection of the most influential structural variables was an important stage in the adopted modeling methodology. The interpretation of selected variables was performed in order to get an insight into the mechanism of transport through the cell membrane via bilitranslocase. Validation of the optimized models was performed by a previously determined validation set. The classification model was build to separate active from inactive compounds. The resulting accuracy, sensitivity, and specificity were 0.73, 0.89, and 0.64, respectively. Only active compounds were used to develop a predictive model for bilitranslocase inhibition constants. The model showed good predictive ability; Root Mean Squared error of the validation set, RMS(V)=0.29 log units.","author":[{"dropping-particle":"","family":"Zuperl","given":"Spela","non-dropping-particle":"","parse-names":false,"suffix":""},{"dropping-particle":"","family":"Fornasaro","given":"Stefano","non-dropping-particle":"","parse-names":false,"suffix":""},{"dropping-particle":"","family":"Novic","given":"Marjana","non-dropping-particle":"","parse-names":false,"suffix":""},{"dropping-particle":"","family":"Passamonti","given":"Sabina","non-dropping-particle":"","parse-names":false,"suffix":""}],"container-title":"Analytica chimica acta","id":"ITEM-1","issue":"1-2","issued":{"date-parts":[["2011","10"]]},"language":"eng","page":"322-333","publisher-place":"Netherlands","title":"Experimental determination and prediction of bilitranslocase transport activity.","type":"article-journal","volume":"705"},"uris":["http://www.mendeley.com/documents/?uuid=449fdc25-b67c-49a6-8c8a-cc1349e02422"]}],"mendeley":{"formattedCitation":"[5]","plainTextFormattedCitation":"[5]","previouslyFormattedCitation":"[5]"},"properties":{"noteIndex":0},"schema":"https://github.com/citation-style-language/schema/raw/master/csl-citation.json"}</w:instrText>
            </w:r>
            <w:r w:rsidR="00E26B06">
              <w:rPr>
                <w:color w:val="000000"/>
                <w:sz w:val="20"/>
                <w:szCs w:val="20"/>
                <w:lang w:val="en-US"/>
              </w:rPr>
              <w:fldChar w:fldCharType="separate"/>
            </w:r>
            <w:r w:rsidR="00E26B06" w:rsidRPr="00E26B06">
              <w:rPr>
                <w:noProof/>
                <w:color w:val="000000"/>
                <w:sz w:val="20"/>
                <w:szCs w:val="20"/>
                <w:lang w:val="en-US"/>
              </w:rPr>
              <w:t>[5]</w:t>
            </w:r>
            <w:r w:rsidR="00E26B06">
              <w:rPr>
                <w:color w:val="000000"/>
                <w:sz w:val="20"/>
                <w:szCs w:val="20"/>
                <w:lang w:val="en-US"/>
              </w:rPr>
              <w:fldChar w:fldCharType="end"/>
            </w:r>
            <w:r w:rsidR="00E26B06">
              <w:rPr>
                <w:color w:val="000000"/>
                <w:sz w:val="20"/>
                <w:szCs w:val="20"/>
                <w:lang w:val="en-US"/>
              </w:rPr>
              <w:t>.</w:t>
            </w:r>
          </w:p>
          <w:p w14:paraId="5CDFF192" w14:textId="017FF777" w:rsidR="00B3136C" w:rsidRPr="00F82985" w:rsidRDefault="00B3136C" w:rsidP="003B76E2">
            <w:pPr>
              <w:jc w:val="both"/>
              <w:rPr>
                <w:color w:val="000000"/>
                <w:sz w:val="20"/>
                <w:szCs w:val="20"/>
                <w:lang w:val="en-US"/>
              </w:rPr>
            </w:pPr>
            <w:r>
              <w:rPr>
                <w:color w:val="000000"/>
                <w:sz w:val="20"/>
                <w:szCs w:val="20"/>
                <w:lang w:val="en-US"/>
              </w:rPr>
              <w:t xml:space="preserve">EFFLUX: </w:t>
            </w:r>
            <w:r w:rsidRPr="00F82985">
              <w:rPr>
                <w:color w:val="000000"/>
                <w:sz w:val="20"/>
                <w:szCs w:val="20"/>
                <w:lang w:val="en-US"/>
              </w:rPr>
              <w:t>Mrp3 (K</w:t>
            </w:r>
            <w:r w:rsidRPr="00F82985">
              <w:rPr>
                <w:color w:val="000000"/>
                <w:sz w:val="20"/>
                <w:szCs w:val="20"/>
                <w:vertAlign w:val="subscript"/>
                <w:lang w:val="en-US"/>
              </w:rPr>
              <w:t>m</w:t>
            </w:r>
            <w:r w:rsidRPr="00F82985">
              <w:rPr>
                <w:color w:val="000000"/>
                <w:sz w:val="20"/>
                <w:szCs w:val="20"/>
                <w:lang w:val="en-US"/>
              </w:rPr>
              <w:t xml:space="preserve"> = 33 µM) </w:t>
            </w:r>
            <w:r w:rsidRPr="00F82985">
              <w:rPr>
                <w:color w:val="000000"/>
                <w:sz w:val="20"/>
                <w:szCs w:val="20"/>
                <w:lang w:val="en-US"/>
              </w:rPr>
              <w:fldChar w:fldCharType="begin" w:fldLock="1"/>
            </w:r>
            <w:r w:rsidR="00573A04">
              <w:rPr>
                <w:color w:val="000000"/>
                <w:sz w:val="20"/>
                <w:szCs w:val="20"/>
                <w:lang w:val="en-US"/>
              </w:rPr>
              <w:instrText>ADDIN CSL_CITATION {"citationItems":[{"id":"ITEM-1","itemData":{"DOI":"10.1023/a:1013699130991","ISSN":"0724-8741 (Print)","PMID":"11837698","abstract":"PURPOSE: Multidrug resistance-associated protein 3 (MRP3) was initially cloned as a  hepatic transporter induced under cholestatic/ hyperbilirubinemic conditions. In the present study, transport property of human MRP3 (hMRP3) was compared with that of rat MRP3 (rMRP3). METHODS: Adenosine 5' triphosphate (ATP)-dependent uptake of several organic anions into the membrane vesicles isolated from the Sf9 cells expressing hMRP3 and rMRP3 was measured by rapid filtration technique. RESULTS: ATP-dependent uptake of glucuronide conjugates, glutathione conjugates. and [3H]methotrexate (MTX) was stimulated by infection of cDNAs for hMRP3 and rMRP3. The mean (+/- SE) Km values for the uptake of 17beta estradiol 17beta-D-glucuronide ([3H]E(2)17 betaG) by hMRP3 and rMRP3 were 42.9 +/- 4.3 microM and 33.4 +/- 2.2 microM, respectively. Although the Ki values of glucuronides on the uptake of E217betaG were similar in humans and rats, hMRP3 exhibited higher Ki values toward MTX. In addition, although glycocholate and taurolithocholate 3-sulfate (TLC-S) were transported by both hMRP3 and rMRP3, taurocholate was only transported to a significant degree by rMRP3. Moreover, the inhibitory effect of taurocholate and glycocholate on the transport of E(2)17beta3G was much more potent in rMRP3 compared to hMRP3. CONCLUSION: Collectively, the substrate specificity of hMRP3 resembles that of rMRP3 although differences were observed, particularly in bile acid transport.","author":[{"dropping-particle":"","family":"Akita","given":"Hidetaka","non-dropping-particle":"","parse-names":false,"suffix":""},{"dropping-particle":"","family":"Suzuki","given":"Hiroshi","non-dropping-particle":"","parse-names":false,"suffix":""},{"dropping-particle":"","family":"Hirohashi","given":"Tomoko","non-dropping-particle":"","parse-names":false,"suffix":""},{"dropping-particle":"","family":"Takikawa","given":"Hajime","non-dropping-particle":"","parse-names":false,"suffix":""},{"dropping-particle":"","family":"Sugiyama","given":"Yuichi","non-dropping-particle":"","parse-names":false,"suffix":""}],"container-title":"Pharmaceutical research","id":"ITEM-1","issue":"1","issued":{"date-parts":[["2002","1"]]},"language":"eng","page":"34-41","publisher-place":"United States","title":"Transport activity of human MRP3 expressed in Sf9 cells: comparative studies with  rat MRP3.","type":"article-journal","volume":"19"},"uris":["http://www.mendeley.com/documents/?uuid=ac646948-0f79-4228-885a-43248105431a"]}],"mendeley":{"formattedCitation":"[46]","plainTextFormattedCitation":"[46]","previouslyFormattedCitation":"[46]"},"properties":{"noteIndex":0},"schema":"https://github.com/citation-style-language/schema/raw/master/csl-citation.json"}</w:instrText>
            </w:r>
            <w:r w:rsidRPr="00F82985">
              <w:rPr>
                <w:color w:val="000000"/>
                <w:sz w:val="20"/>
                <w:szCs w:val="20"/>
                <w:lang w:val="en-US"/>
              </w:rPr>
              <w:fldChar w:fldCharType="separate"/>
            </w:r>
            <w:r w:rsidR="008C4117" w:rsidRPr="008C4117">
              <w:rPr>
                <w:noProof/>
                <w:color w:val="000000"/>
                <w:sz w:val="20"/>
                <w:szCs w:val="20"/>
                <w:lang w:val="en-US"/>
              </w:rPr>
              <w:t>[46]</w:t>
            </w:r>
            <w:r w:rsidRPr="00F82985">
              <w:rPr>
                <w:color w:val="000000"/>
                <w:sz w:val="20"/>
                <w:szCs w:val="20"/>
                <w:lang w:val="en-US"/>
              </w:rPr>
              <w:fldChar w:fldCharType="end"/>
            </w:r>
            <w:r w:rsidRPr="00F82985">
              <w:rPr>
                <w:color w:val="000000"/>
                <w:sz w:val="20"/>
                <w:szCs w:val="20"/>
                <w:lang w:val="en-US"/>
              </w:rPr>
              <w:t xml:space="preserve"> or (K</w:t>
            </w:r>
            <w:r w:rsidRPr="00F82985">
              <w:rPr>
                <w:color w:val="000000"/>
                <w:sz w:val="20"/>
                <w:szCs w:val="20"/>
                <w:vertAlign w:val="subscript"/>
                <w:lang w:val="en-US"/>
              </w:rPr>
              <w:t>m</w:t>
            </w:r>
            <w:r w:rsidRPr="00F82985">
              <w:rPr>
                <w:color w:val="000000"/>
                <w:sz w:val="20"/>
                <w:szCs w:val="20"/>
                <w:lang w:val="en-US"/>
              </w:rPr>
              <w:t xml:space="preserve">= 67 µM) </w:t>
            </w:r>
            <w:r w:rsidRPr="00F82985">
              <w:rPr>
                <w:color w:val="000000"/>
                <w:sz w:val="20"/>
                <w:szCs w:val="20"/>
                <w:lang w:val="en-US"/>
              </w:rPr>
              <w:fldChar w:fldCharType="begin" w:fldLock="1"/>
            </w:r>
            <w:r w:rsidR="00573A04">
              <w:rPr>
                <w:color w:val="000000"/>
                <w:sz w:val="20"/>
                <w:szCs w:val="20"/>
                <w:lang w:val="en-US"/>
              </w:rPr>
              <w:instrText>ADDIN CSL_CITATION {"citationItems":[{"id":"ITEM-1","itemData":{"DOI":"10.1074/jbc.274.21.15181","ISSN":"0021-9258 (Print)","PMID":"10329726","abstract":"We have previously cloned rat MRP3 as an inducible transporter in the liver  (Hirohashi, T., Suzuki, H., Ito, K., Ogawa, K., Kume, K., Shimizu, T., and Sugiyama, Y. (1998) Mol. Pharmacol. 53, 1068-1075). In the present study, the function of rat MRP3 was investigated using membrane vesicles isolated from LLC-PK1 and HeLa cell population transfected with corresponding cDNA. The ATP-dependent uptake of both 17beta estradiol 17-beta-D-glucuronide ([3H]E217betaG) and glucuronide of [14C] 6-hydroxy-5, 7-dimethyl-2-methylamino-4-(3-pyridylmethyl) benzothiazole (E3040), but not that of [3H]leukotriene C4 and [3H]2, 4-dinitrophenyl-S-glutathione, was markedly stimulated by MRP3 transfection in both cell lines. The Km and Vmax values for the uptake of [3H]E217betaG were 67 +/- 14 microM and 415 +/- 73 pmol/min/mg of protein, respectively, for MRP3-expressing membrane vesicles and 3.0 +/- 0.7 microM and 3.4 +/- 0.4 pmol/min/mg of protein, respectively, for the endogenous transporter expressed on HeLa cells. [3H]E217betaG had also a similar Km value for MRP3 when LLC-PK1 cells were used as the host. All glucuronide conjugates examined (E3040 glucuronide, 4-methylumbelliferone glucuronide, and naphthyl glucuronide) and methotrexate inhibited MRP3-mediated [3H]E217betaG transport in LLC-PK1 cells. Moreover, [3H]methotrexate was transported via MRP3. The inhibitory effect of estrone sulfate, [3H]2,4-dinitrophenyl-S-glutathione, and [3H]leukotriene C4 was moderate or minimal, whereas N-acetyl-2,4-dinitrophenylcysteine had no effect on the uptake of [3H]E217betaG. The uptake of [3H]E217betaG was enhanced by E3040 sulfate and 4-methylumbelliferone sulfate. Thus we were able to demonstrate that several kinds of organic anions are transported via MRP3, although the substrate specificity of MRP3 differs from that of MRP1 and cMOAT/MRP2 in that glutathione conjugates are poor substrates for MRP3.","author":[{"dropping-particle":"","family":"Hirohashi","given":"T","non-dropping-particle":"","parse-names":false,"suffix":""},{"dropping-particle":"","family":"Suzuki","given":"H","non-dropping-particle":"","parse-names":false,"suffix":""},{"dropping-particle":"","family":"Sugiyama","given":"Y","non-dropping-particle":"","parse-names":false,"suffix":""}],"container-title":"The Journal of biological chemistry","id":"ITEM-1","issue":"21","issued":{"date-parts":[["1999","5"]]},"language":"eng","page":"15181-15185","publisher-place":"United States","title":"Characterization of the transport properties of cloned rat multidrug  resistance-associated protein 3 (MRP3).","type":"article-journal","volume":"274"},"uris":["http://www.mendeley.com/documents/?uuid=eacc2c6f-c8c1-4d34-b8a4-9d562b687c12"]}],"mendeley":{"formattedCitation":"[47]","plainTextFormattedCitation":"[47]","previouslyFormattedCitation":"[47]"},"properties":{"noteIndex":0},"schema":"https://github.com/citation-style-language/schema/raw/master/csl-citation.json"}</w:instrText>
            </w:r>
            <w:r w:rsidRPr="00F82985">
              <w:rPr>
                <w:color w:val="000000"/>
                <w:sz w:val="20"/>
                <w:szCs w:val="20"/>
                <w:lang w:val="en-US"/>
              </w:rPr>
              <w:fldChar w:fldCharType="separate"/>
            </w:r>
            <w:r w:rsidR="008C4117" w:rsidRPr="008C4117">
              <w:rPr>
                <w:noProof/>
                <w:color w:val="000000"/>
                <w:sz w:val="20"/>
                <w:szCs w:val="20"/>
                <w:lang w:val="en-US"/>
              </w:rPr>
              <w:t>[47]</w:t>
            </w:r>
            <w:r w:rsidRPr="00F82985">
              <w:rPr>
                <w:color w:val="000000"/>
                <w:sz w:val="20"/>
                <w:szCs w:val="20"/>
                <w:lang w:val="en-US"/>
              </w:rPr>
              <w:fldChar w:fldCharType="end"/>
            </w:r>
          </w:p>
        </w:tc>
        <w:tc>
          <w:tcPr>
            <w:tcW w:w="1984" w:type="dxa"/>
            <w:shd w:val="clear" w:color="auto" w:fill="auto"/>
            <w:noWrap/>
            <w:vAlign w:val="bottom"/>
            <w:hideMark/>
          </w:tcPr>
          <w:p w14:paraId="164344E2" w14:textId="7AA2CB07" w:rsidR="00B3136C" w:rsidRPr="00F82985" w:rsidRDefault="00B3136C" w:rsidP="003B76E2">
            <w:pPr>
              <w:jc w:val="both"/>
              <w:rPr>
                <w:color w:val="000000"/>
                <w:sz w:val="20"/>
                <w:szCs w:val="20"/>
                <w:lang w:val="en-US"/>
              </w:rPr>
            </w:pPr>
            <w:r w:rsidRPr="00F82985">
              <w:rPr>
                <w:color w:val="000000"/>
                <w:sz w:val="20"/>
                <w:szCs w:val="20"/>
                <w:lang w:val="en-US"/>
              </w:rPr>
              <w:t>Mrp2 (K</w:t>
            </w:r>
            <w:r w:rsidRPr="00F82985">
              <w:rPr>
                <w:color w:val="000000"/>
                <w:sz w:val="20"/>
                <w:szCs w:val="20"/>
                <w:vertAlign w:val="subscript"/>
                <w:lang w:val="en-US"/>
              </w:rPr>
              <w:t>m</w:t>
            </w:r>
            <w:r w:rsidRPr="00F82985">
              <w:rPr>
                <w:color w:val="000000"/>
                <w:sz w:val="20"/>
                <w:szCs w:val="20"/>
                <w:lang w:val="en-US"/>
              </w:rPr>
              <w:t xml:space="preserve"> = 4.8 µM) </w:t>
            </w:r>
            <w:r w:rsidRPr="00F82985">
              <w:rPr>
                <w:color w:val="000000"/>
                <w:sz w:val="20"/>
                <w:szCs w:val="20"/>
                <w:lang w:val="en-US"/>
              </w:rPr>
              <w:fldChar w:fldCharType="begin" w:fldLock="1"/>
            </w:r>
            <w:r w:rsidR="00573A04">
              <w:rPr>
                <w:color w:val="000000"/>
                <w:sz w:val="20"/>
                <w:szCs w:val="20"/>
                <w:lang w:val="en-US"/>
              </w:rPr>
              <w:instrText>ADDIN CSL_CITATION {"citationItems":[{"id":"ITEM-1","itemData":{"DOI":"10.1124/dmd.104.002196","abstract":"We investigated whether the species difference in the biliary excretion activity of some Mrp2 substrates was attributable to the intrinsic transport potential or the expression level of Mrp2, especially in rat and dog. Dog Mrp2 cDNA was isolated from beagle dog liver, and a vesicle transport study was performed using recombinant rat and dog Mrp2 expressed in insect Sf9 cells. The ATP-dependent transport of 17β-estradiol 17-(β-d-glucuronide) ([3H]E217βG) and leukotriene C4 ([3H]LTC4), normalized by the absolute protein expression level, was similar in both Mrp2s. The Mrp2 protein expression in dog liver was only 10% of that in rat liver and was comparable with the reported difference in the biliary excretion clearance of temocaprilat as Mrp2 substrate. In contrast to LTC4, unique transport kinetics for E217βG were evident in dog Mrp2. In addition to the high-affinity site with a Km value of 3.25 ± 0.10 μM, which is similar to that in rat Mrp2 (4.81 ± 1.21 μM), dog Mrp2 has an additional low-affinity site (</w:instrText>
            </w:r>
            <w:r w:rsidR="00573A04">
              <w:rPr>
                <w:rFonts w:ascii="Cambria Math" w:hAnsi="Cambria Math" w:cs="Cambria Math"/>
                <w:color w:val="000000"/>
                <w:sz w:val="20"/>
                <w:szCs w:val="20"/>
                <w:lang w:val="en-US"/>
              </w:rPr>
              <w:instrText>≫</w:instrText>
            </w:r>
            <w:r w:rsidR="00573A04">
              <w:rPr>
                <w:color w:val="000000"/>
                <w:sz w:val="20"/>
                <w:szCs w:val="20"/>
                <w:lang w:val="en-US"/>
              </w:rPr>
              <w:instrText>75 μM), which makes a major contribution to the transport of E217βG (65% of the total transport capacity at tracer concentration). In summary, the difference in the biliary excretion activity of Mrp2 substrates between rat and dog depends on the Mrp2 protein expression level rather than the intrinsic transport activity of the transporter molecules. The unique transport properties of glucuronide conjugates by dog Mrp2 may lead to the species difference involving the drug-drug interaction or drug-induced hyperbilirubinemia on the bile canalicular membrane. The American Society for Pharmacology and Experimental Therapeutics","author":[{"dropping-particle":"","family":"Ninomiya","given":"Mizuki","non-dropping-particle":"","parse-names":false,"suffix":""},{"dropping-particle":"","family":"Ito","given":"Kousei","non-dropping-particle":"","parse-names":false,"suffix":""},{"dropping-particle":"","family":"Horie","given":"Toshiharu","non-dropping-particle":"","parse-names":false,"suffix":""}],"container-title":"Drug Metabolism and Disposition","id":"ITEM-1","issue":"2","issued":{"date-parts":[["2005","2","1"]]},"page":"225 LP  - 232","title":"FUNCTIONAL ANALYSIS OF DOG MULTIDRUG RESISTANCE-ASSOCIATED PROTEIN 2 (MRP2) IN COMPARISON WITH RAT MRP2","type":"article-journal","volume":"33"},"uris":["http://www.mendeley.com/documents/?uuid=17db9396-d5e4-4490-9b7e-e8c34e51c9cb"]}],"mendeley":{"formattedCitation":"[48]","plainTextFormattedCitation":"[48]","previouslyFormattedCitation":"[48]"},"properties":{"noteIndex":0},"schema":"https://github.com/citation-style-language/schema/raw/master/csl-citation.json"}</w:instrText>
            </w:r>
            <w:r w:rsidRPr="00F82985">
              <w:rPr>
                <w:color w:val="000000"/>
                <w:sz w:val="20"/>
                <w:szCs w:val="20"/>
                <w:lang w:val="en-US"/>
              </w:rPr>
              <w:fldChar w:fldCharType="separate"/>
            </w:r>
            <w:r w:rsidR="008C4117" w:rsidRPr="008C4117">
              <w:rPr>
                <w:noProof/>
                <w:color w:val="000000"/>
                <w:sz w:val="20"/>
                <w:szCs w:val="20"/>
                <w:lang w:val="en-US"/>
              </w:rPr>
              <w:t>[48]</w:t>
            </w:r>
            <w:r w:rsidRPr="00F82985">
              <w:rPr>
                <w:color w:val="000000"/>
                <w:sz w:val="20"/>
                <w:szCs w:val="20"/>
                <w:lang w:val="en-US"/>
              </w:rPr>
              <w:fldChar w:fldCharType="end"/>
            </w:r>
          </w:p>
          <w:p w14:paraId="2DB65996" w14:textId="0D447EF6" w:rsidR="00B3136C" w:rsidRPr="00240D83" w:rsidRDefault="00B3136C" w:rsidP="003B76E2">
            <w:pPr>
              <w:jc w:val="both"/>
              <w:rPr>
                <w:color w:val="000000"/>
                <w:sz w:val="20"/>
                <w:szCs w:val="20"/>
                <w:lang w:val="en-US"/>
              </w:rPr>
            </w:pPr>
            <w:proofErr w:type="spellStart"/>
            <w:r w:rsidRPr="00F82985">
              <w:rPr>
                <w:color w:val="000000"/>
                <w:sz w:val="20"/>
                <w:szCs w:val="20"/>
                <w:lang w:val="en-US"/>
              </w:rPr>
              <w:t>Bcrp</w:t>
            </w:r>
            <w:proofErr w:type="spellEnd"/>
            <w:r w:rsidRPr="00F82985">
              <w:rPr>
                <w:color w:val="000000"/>
                <w:sz w:val="20"/>
                <w:szCs w:val="20"/>
                <w:lang w:val="en-US"/>
              </w:rPr>
              <w:t xml:space="preserve"> (human; K</w:t>
            </w:r>
            <w:r w:rsidRPr="00F82985">
              <w:rPr>
                <w:color w:val="000000"/>
                <w:sz w:val="20"/>
                <w:szCs w:val="20"/>
                <w:vertAlign w:val="subscript"/>
                <w:lang w:val="en-US"/>
              </w:rPr>
              <w:t>i</w:t>
            </w:r>
            <w:r w:rsidRPr="00F82985">
              <w:rPr>
                <w:color w:val="000000"/>
                <w:sz w:val="20"/>
                <w:szCs w:val="20"/>
                <w:lang w:val="en-US"/>
              </w:rPr>
              <w:t xml:space="preserve"> or K</w:t>
            </w:r>
            <w:r w:rsidRPr="00F82985">
              <w:rPr>
                <w:color w:val="000000"/>
                <w:sz w:val="20"/>
                <w:szCs w:val="20"/>
                <w:vertAlign w:val="subscript"/>
                <w:lang w:val="en-US"/>
              </w:rPr>
              <w:t>m</w:t>
            </w:r>
            <w:r w:rsidRPr="00F82985">
              <w:rPr>
                <w:color w:val="000000"/>
                <w:sz w:val="20"/>
                <w:szCs w:val="20"/>
                <w:lang w:val="en-US"/>
              </w:rPr>
              <w:t xml:space="preserve"> not determined) </w:t>
            </w:r>
            <w:r w:rsidRPr="00F82985">
              <w:rPr>
                <w:color w:val="000000"/>
                <w:sz w:val="20"/>
                <w:szCs w:val="20"/>
                <w:lang w:val="en-US"/>
              </w:rPr>
              <w:fldChar w:fldCharType="begin" w:fldLock="1"/>
            </w:r>
            <w:r w:rsidR="00573A04">
              <w:rPr>
                <w:color w:val="000000"/>
                <w:sz w:val="20"/>
                <w:szCs w:val="20"/>
                <w:lang w:val="en-US"/>
              </w:rPr>
              <w:instrText>ADDIN CSL_CITATION {"citationItems":[{"id":"ITEM-1","itemData":{"DOI":"10.1124/mol.111.075143","ISSN":"1521-0111 (Electronic)","PMID":"22096226","abstract":"ABCG2 is involved in epithelial transport/barrier functions. Here, we have  investigated its ability to transport bile acids in liver and placenta. Cholylglycylamido fluorescein (CGamF) was exported by WIF-B9/R cells, which do not express the bile salt export pump (BSEP). Sensitivity to typical inhibitors suggested that CGamF export was mainly mediated by ABCG2. In Chinese hamster ovary (CHO cells), coexpression of rat Oatp1a1 and human ABCG2 enhanced the uptake and efflux, respectively, of CGamF, cholic acid (CA), glycoCA (GCA), tauroCA, and taurolithocholic acid-3-sulfate. The ability of ABCG2 to export these bile acids was confirmed by microinjecting them together with inulin in Xenopus laevis oocytes expressing this pump. ABCG2-mediated bile acid transport was inhibited by estradiol 17β-d-glucuronide and fumitremorgin C. Placental barrier for bile acids accounted for &lt;2-fold increase in fetal cholanemia despite &gt;14-fold increased maternal cholanemia induced by obstructive cholestasis in pregnant rats. In rat placenta, the expression of Abcg2, which was much higher than that of Bsep, was not affected by short-term cholestasis. In pregnant rats, fumitremorgin C did not affect uptake/secretion of GCA by the liver but inhibited its fetal-maternal transfer. Compared with wild-type mice, obstructive cholestasis in pregnant Abcg2(-/-) knockout mice induced similar bile acid accumulation in maternal serum but higher accumulation in placenta, fetal serum, and liver. In conclusion, ABCG2 is able to transport bile acids. The importance of this function depends on the relative expression in the same epithelium of other bile acid exporters. Thus, ABCG2 may play a key role in bile acid transport in placenta, as BSEP does in liver.","author":[{"dropping-particle":"","family":"Blazquez","given":"Alba G","non-dropping-particle":"","parse-names":false,"suffix":""},{"dropping-particle":"","family":"Briz","given":"Oscar","non-dropping-particle":"","parse-names":false,"suffix":""},{"dropping-particle":"","family":"Romero","given":"Marta R","non-dropping-particle":"","parse-names":false,"suffix":""},{"dropping-particle":"","family":"Rosales","given":"Ruben","non-dropping-particle":"","parse-names":false,"suffix":""},{"dropping-particle":"","family":"Monte","given":"Maria J","non-dropping-particle":"","parse-names":false,"suffix":""},{"dropping-particle":"","family":"Vaquero","given":"Javier","non-dropping-particle":"","parse-names":false,"suffix":""},{"dropping-particle":"","family":"Macias","given":"Rocio I R","non-dropping-particle":"","parse-names":false,"suffix":""},{"dropping-particle":"","family":"Cassio","given":"Doris","non-dropping-particle":"","parse-names":false,"suffix":""},{"dropping-particle":"","family":"Marin","given":"Jose J G","non-dropping-particle":"","parse-names":false,"suffix":""}],"container-title":"Molecular pharmacology","id":"ITEM-1","issue":"2","issued":{"date-parts":[["2012","2"]]},"language":"eng","page":"273-283","publisher-place":"United States","title":"Characterization of the role of ABCG2 as a bile acid transporter in liver and  placenta.","type":"article-journal","volume":"81"},"uris":["http://www.mendeley.com/documents/?uuid=2cd20494-a37f-4b6a-a740-ce8819e89c48"]}],"mendeley":{"formattedCitation":"[49]","plainTextFormattedCitation":"[49]","previouslyFormattedCitation":"[49]"},"properties":{"noteIndex":0},"schema":"https://github.com/citation-style-language/schema/raw/master/csl-citation.json"}</w:instrText>
            </w:r>
            <w:r w:rsidRPr="00F82985">
              <w:rPr>
                <w:color w:val="000000"/>
                <w:sz w:val="20"/>
                <w:szCs w:val="20"/>
                <w:lang w:val="en-US"/>
              </w:rPr>
              <w:fldChar w:fldCharType="separate"/>
            </w:r>
            <w:r w:rsidR="008C4117" w:rsidRPr="008C4117">
              <w:rPr>
                <w:noProof/>
                <w:color w:val="000000"/>
                <w:sz w:val="20"/>
                <w:szCs w:val="20"/>
                <w:lang w:val="en-US"/>
              </w:rPr>
              <w:t>[49]</w:t>
            </w:r>
            <w:r w:rsidRPr="00F82985">
              <w:rPr>
                <w:color w:val="000000"/>
                <w:sz w:val="20"/>
                <w:szCs w:val="20"/>
                <w:lang w:val="en-US"/>
              </w:rPr>
              <w:fldChar w:fldCharType="end"/>
            </w:r>
          </w:p>
        </w:tc>
      </w:tr>
      <w:tr w:rsidR="00B3136C" w:rsidRPr="00760B34" w14:paraId="400870E0" w14:textId="77777777" w:rsidTr="00573A04">
        <w:trPr>
          <w:trHeight w:val="300"/>
        </w:trPr>
        <w:tc>
          <w:tcPr>
            <w:tcW w:w="1413" w:type="dxa"/>
            <w:shd w:val="clear" w:color="auto" w:fill="auto"/>
            <w:noWrap/>
            <w:vAlign w:val="bottom"/>
            <w:hideMark/>
          </w:tcPr>
          <w:p w14:paraId="1C2BE2E3" w14:textId="77777777" w:rsidR="00B3136C" w:rsidRPr="00240D83" w:rsidRDefault="00B3136C" w:rsidP="003B76E2">
            <w:pPr>
              <w:jc w:val="both"/>
              <w:rPr>
                <w:color w:val="000000"/>
                <w:sz w:val="20"/>
                <w:szCs w:val="20"/>
                <w:lang w:val="en-US"/>
              </w:rPr>
            </w:pPr>
            <w:r w:rsidRPr="00240D83">
              <w:rPr>
                <w:color w:val="000000"/>
                <w:sz w:val="20"/>
                <w:szCs w:val="20"/>
                <w:lang w:val="en-US"/>
              </w:rPr>
              <w:t>Indomethacin</w:t>
            </w:r>
          </w:p>
          <w:p w14:paraId="5AABDDA1" w14:textId="77777777" w:rsidR="00B3136C" w:rsidRPr="00240D83" w:rsidRDefault="00B3136C" w:rsidP="003B76E2">
            <w:pPr>
              <w:jc w:val="both"/>
              <w:rPr>
                <w:color w:val="000000"/>
                <w:sz w:val="20"/>
                <w:szCs w:val="20"/>
                <w:lang w:val="en-US"/>
              </w:rPr>
            </w:pPr>
            <w:r w:rsidRPr="00240D83">
              <w:rPr>
                <w:color w:val="000000"/>
                <w:sz w:val="20"/>
                <w:szCs w:val="20"/>
                <w:lang w:val="en-US"/>
              </w:rPr>
              <w:t>CHEBI:49662</w:t>
            </w:r>
          </w:p>
        </w:tc>
        <w:tc>
          <w:tcPr>
            <w:tcW w:w="1276" w:type="dxa"/>
            <w:shd w:val="clear" w:color="auto" w:fill="auto"/>
            <w:noWrap/>
            <w:vAlign w:val="bottom"/>
            <w:hideMark/>
          </w:tcPr>
          <w:p w14:paraId="0E62480D" w14:textId="77777777" w:rsidR="00B3136C" w:rsidRPr="00240D83" w:rsidRDefault="00B3136C" w:rsidP="003B76E2">
            <w:pPr>
              <w:jc w:val="both"/>
              <w:rPr>
                <w:color w:val="000000"/>
                <w:sz w:val="20"/>
                <w:szCs w:val="20"/>
                <w:lang w:val="en-US"/>
              </w:rPr>
            </w:pPr>
            <w:r w:rsidRPr="00240D83">
              <w:rPr>
                <w:color w:val="000000"/>
                <w:sz w:val="20"/>
                <w:szCs w:val="20"/>
                <w:lang w:val="en-US"/>
              </w:rPr>
              <w:t>1</w:t>
            </w:r>
          </w:p>
        </w:tc>
        <w:tc>
          <w:tcPr>
            <w:tcW w:w="992" w:type="dxa"/>
            <w:shd w:val="clear" w:color="auto" w:fill="auto"/>
            <w:noWrap/>
            <w:vAlign w:val="bottom"/>
            <w:hideMark/>
          </w:tcPr>
          <w:p w14:paraId="6B72D70A" w14:textId="77777777" w:rsidR="00B3136C" w:rsidRPr="00240D83" w:rsidRDefault="00B3136C" w:rsidP="003B76E2">
            <w:pPr>
              <w:jc w:val="both"/>
              <w:rPr>
                <w:color w:val="000000"/>
                <w:sz w:val="20"/>
                <w:szCs w:val="20"/>
                <w:lang w:val="en-US"/>
              </w:rPr>
            </w:pPr>
            <w:r w:rsidRPr="00240D83">
              <w:rPr>
                <w:color w:val="000000"/>
                <w:sz w:val="20"/>
                <w:szCs w:val="20"/>
                <w:lang w:val="en-US"/>
              </w:rPr>
              <w:t>200</w:t>
            </w:r>
          </w:p>
        </w:tc>
        <w:tc>
          <w:tcPr>
            <w:tcW w:w="3260" w:type="dxa"/>
            <w:shd w:val="clear" w:color="auto" w:fill="auto"/>
            <w:noWrap/>
            <w:vAlign w:val="bottom"/>
            <w:hideMark/>
          </w:tcPr>
          <w:p w14:paraId="2FB07CF1" w14:textId="2C9A2065" w:rsidR="00B3136C" w:rsidRDefault="00B3136C" w:rsidP="003B76E2">
            <w:pPr>
              <w:jc w:val="both"/>
              <w:rPr>
                <w:color w:val="000000"/>
                <w:sz w:val="20"/>
                <w:szCs w:val="20"/>
              </w:rPr>
            </w:pPr>
            <w:r>
              <w:rPr>
                <w:color w:val="000000"/>
                <w:sz w:val="20"/>
                <w:szCs w:val="20"/>
                <w:lang w:val="en-US"/>
              </w:rPr>
              <w:t xml:space="preserve">INFLUX: </w:t>
            </w:r>
            <w:r w:rsidRPr="00F82985">
              <w:rPr>
                <w:color w:val="000000"/>
                <w:sz w:val="20"/>
                <w:szCs w:val="20"/>
                <w:lang w:val="en-US"/>
              </w:rPr>
              <w:t>Oat2 (Slc22A7, K</w:t>
            </w:r>
            <w:r w:rsidRPr="00F82985">
              <w:rPr>
                <w:color w:val="000000"/>
                <w:sz w:val="20"/>
                <w:szCs w:val="20"/>
                <w:vertAlign w:val="subscript"/>
                <w:lang w:val="en-US"/>
              </w:rPr>
              <w:t>m</w:t>
            </w:r>
            <w:r w:rsidRPr="00F82985">
              <w:rPr>
                <w:color w:val="000000"/>
                <w:sz w:val="20"/>
                <w:szCs w:val="20"/>
                <w:lang w:val="en-US"/>
              </w:rPr>
              <w:t xml:space="preserve"> = 0.37 µM) </w:t>
            </w:r>
            <w:r w:rsidRPr="00F82985">
              <w:rPr>
                <w:color w:val="000000"/>
                <w:sz w:val="20"/>
                <w:szCs w:val="20"/>
              </w:rPr>
              <w:fldChar w:fldCharType="begin" w:fldLock="1"/>
            </w:r>
            <w:r w:rsidR="00573A04">
              <w:rPr>
                <w:color w:val="000000"/>
                <w:sz w:val="20"/>
                <w:szCs w:val="20"/>
                <w:lang w:val="en-US"/>
              </w:rPr>
              <w:instrText>ADDIN CSL_CITATION {"citationItems":[{"id":"ITEM-1","itemData":{"ISSN":"0022-3565","author":[{"dropping-particle":"","family":"Morita","given":"Naomi","non-dropping-particle":"","parse-names":false,"suffix":""},{"dropping-particle":"","family":"Kusuhara","given":"Hiroyuki","non-dropping-particle":"","parse-names":false,"suffix":""},{"dropping-particle":"","family":"Sekine","given":"Takashi","non-dropping-particle":"","parse-names":false,"suffix":""},{"dropping-particle":"","family":"Endou","given":"Hitoshi","non-dropping-particle":"","parse-names":false,"suffix":""},{"dropping-particle":"","family":"Sugiyama","given":"Yuichi","non-dropping-particle":"","parse-names":false,"suffix":""}],"container-title":"Journal of Pharmacology and Experimental Therapeutics","id":"ITEM-1","issue":"3","issued":{"date-parts":[["2001"]]},"page":"1179-1184","publisher":"ASPET","title":"Functional characterization of rat organic anion transporter 2 in LLC-PK1 cells","type":"article-journal","volume":"298"},"uris":["http://www.mendeley.com/documents/?uuid=897af378-370a-4969-8794-2c3aa5a4083f"]}],"mendeley":{"formattedCitation":"[50]","plainTextFormattedCitation":"[50]","previouslyFormattedCitation":"[50]"},"properties":{"noteIndex":0},"schema":"https://github.com/citation-style-language/schema/raw/master/csl-citation.json"}</w:instrText>
            </w:r>
            <w:r w:rsidRPr="00F82985">
              <w:rPr>
                <w:color w:val="000000"/>
                <w:sz w:val="20"/>
                <w:szCs w:val="20"/>
              </w:rPr>
              <w:fldChar w:fldCharType="separate"/>
            </w:r>
            <w:r w:rsidR="008C4117" w:rsidRPr="008C4117">
              <w:rPr>
                <w:noProof/>
                <w:color w:val="000000"/>
                <w:sz w:val="20"/>
                <w:szCs w:val="20"/>
                <w:lang w:val="en-US"/>
              </w:rPr>
              <w:t>[50]</w:t>
            </w:r>
            <w:r w:rsidRPr="00F82985">
              <w:rPr>
                <w:color w:val="000000"/>
                <w:sz w:val="20"/>
                <w:szCs w:val="20"/>
              </w:rPr>
              <w:fldChar w:fldCharType="end"/>
            </w:r>
            <w:r w:rsidRPr="00F82985">
              <w:rPr>
                <w:color w:val="000000"/>
                <w:sz w:val="20"/>
                <w:szCs w:val="20"/>
                <w:lang w:val="en-US"/>
              </w:rPr>
              <w:t xml:space="preserve">; OATP1B1, OATP1B3, OATP2B1 (human; 11, 38, and 130 µM) </w:t>
            </w:r>
            <w:r w:rsidRPr="00F82985">
              <w:rPr>
                <w:color w:val="000000"/>
                <w:sz w:val="20"/>
                <w:szCs w:val="20"/>
              </w:rPr>
              <w:fldChar w:fldCharType="begin" w:fldLock="1"/>
            </w:r>
            <w:r w:rsidR="00573A04">
              <w:rPr>
                <w:color w:val="000000"/>
                <w:sz w:val="20"/>
                <w:szCs w:val="20"/>
                <w:lang w:val="en-US"/>
              </w:rPr>
              <w:instrText>ADDIN CSL_CITATION {"citationItems":[{"id":"ITEM-1","itemData":{"DOI":"10.1021/jm300212s","ISSN":"1520-4804 (Electronic)","PMID":"22541068","abstract":"The hepatic organic anion transporting polypeptides (OATPs) influence the pharmacokinetics of several drug classes and are involved in many clinical drug-drug interactions. Predicting potential interactions with OATPs is, therefore, of value. Here, we developed in vitro and in silico models for identification and prediction of specific and general inhibitors of OATP1B1, OATP1B3, and OATP2B1. The maximal transport activity (MTA) of each OATP in human liver was predicted from transport kinetics and protein quantification. We then used MTA to predict the effects of a subset of inhibitors on atorvastatin uptake in vivo. Using a data set of 225 drug-like compounds, 91 OATP inhibitors were identified. In silico models indicated that lipophilicity and polar surface area are key molecular features of OATP inhibition. MTA predictions identified OATP1B1 and OATP1B3 as major determinants of atorvastatin uptake in vivo. The relative contributions to overall hepatic uptake varied with isoform specificities of the inhibitors.","author":[{"dropping-particle":"","family":"Karlgren","given":"Maria","non-dropping-particle":"","parse-names":false,"suffix":""},{"dropping-particle":"","family":"Vildhede","given":"Anna","non-dropping-particle":"","parse-names":false,"suffix":""},{"dropping-particle":"","family":"Norinder","given":"Ulf","non-dropping-particle":"","parse-names":false,"suffix":""},{"dropping-particle":"","family":"Wisniewski","given":"Jacek R","non-dropping-particle":"","parse-names":false,"suffix":""},{"dropping-particle":"","family":"Kimoto","given":"Emi","non-dropping-particle":"","parse-names":false,"suffix":""},{"dropping-particle":"","family":"Lai","given":"Yurong","non-dropping-particle":"","parse-names":false,"suffix":""},{"dropping-particle":"","family":"Haglund","given":"Ulf","non-dropping-particle":"","parse-names":false,"suffix":""},{"dropping-particle":"","family":"Artursson","given":"Per","non-dropping-particle":"","parse-names":false,"suffix":""}],"container-title":"Journal of medicinal chemistry","id":"ITEM-1","issue":"10","issued":{"date-parts":[["2012","5"]]},"language":"eng","page":"4740-4763","publisher-place":"United States","title":"Classification of inhibitors of hepatic organic anion transporting polypeptides (OATPs): influence of protein expression on drug-drug interactions.","type":"article-journal","volume":"55"},"uris":["http://www.mendeley.com/documents/?uuid=4d9b818a-16b5-49d1-be92-d78ca67edba1"]}],"mendeley":{"formattedCitation":"[39]","plainTextFormattedCitation":"[39]","previouslyFormattedCitation":"[39]"},"properties":{"noteIndex":0},"schema":"https://github.com/citation-style-language/schema/raw/master/csl-citation.json"}</w:instrText>
            </w:r>
            <w:r w:rsidRPr="00F82985">
              <w:rPr>
                <w:color w:val="000000"/>
                <w:sz w:val="20"/>
                <w:szCs w:val="20"/>
              </w:rPr>
              <w:fldChar w:fldCharType="separate"/>
            </w:r>
            <w:r w:rsidR="008C4117" w:rsidRPr="008C4117">
              <w:rPr>
                <w:noProof/>
                <w:color w:val="000000"/>
                <w:sz w:val="20"/>
                <w:szCs w:val="20"/>
              </w:rPr>
              <w:t>[39]</w:t>
            </w:r>
            <w:r w:rsidRPr="00F82985">
              <w:rPr>
                <w:color w:val="000000"/>
                <w:sz w:val="20"/>
                <w:szCs w:val="20"/>
              </w:rPr>
              <w:fldChar w:fldCharType="end"/>
            </w:r>
            <w:r w:rsidRPr="00F82985">
              <w:rPr>
                <w:color w:val="000000"/>
                <w:sz w:val="20"/>
                <w:szCs w:val="20"/>
              </w:rPr>
              <w:t>; OST</w:t>
            </w:r>
            <w:r w:rsidRPr="00F82985">
              <w:rPr>
                <w:color w:val="000000"/>
                <w:sz w:val="20"/>
                <w:szCs w:val="20"/>
              </w:rPr>
              <w:sym w:font="Symbol" w:char="F061"/>
            </w:r>
            <w:r w:rsidRPr="00F82985">
              <w:rPr>
                <w:color w:val="000000"/>
                <w:sz w:val="20"/>
                <w:szCs w:val="20"/>
              </w:rPr>
              <w:t>-OST</w:t>
            </w:r>
            <w:r w:rsidRPr="00F82985">
              <w:rPr>
                <w:color w:val="000000"/>
                <w:sz w:val="20"/>
                <w:szCs w:val="20"/>
              </w:rPr>
              <w:sym w:font="Symbol" w:char="F062"/>
            </w:r>
            <w:r w:rsidRPr="00F82985">
              <w:rPr>
                <w:color w:val="000000"/>
                <w:sz w:val="20"/>
                <w:szCs w:val="20"/>
              </w:rPr>
              <w:t xml:space="preserve"> (Slc51) </w:t>
            </w:r>
            <w:r w:rsidRPr="00F82985">
              <w:rPr>
                <w:color w:val="000000"/>
                <w:sz w:val="20"/>
                <w:szCs w:val="20"/>
              </w:rPr>
              <w:fldChar w:fldCharType="begin" w:fldLock="1"/>
            </w:r>
            <w:r w:rsidR="00E26B06">
              <w:rPr>
                <w:color w:val="000000"/>
                <w:sz w:val="20"/>
                <w:szCs w:val="20"/>
              </w:rPr>
              <w:instrText>ADDIN CSL_CITATION {"citationItems":[{"id":"ITEM-1","itemData":{"DOI":"10.1074/jbc.M301106200","ISSN":"0021-9258 (Print)","PMID":"12719432","abstract":"These studies identify an organic solute transporter (OST) that is generated when  two novel gene products are co-expressed, namely human OSTalpha and OSTbeta or mouse OSTalpha and OSTbeta. The results also demonstrate that the mammalian proteins are functionally complemented by evolutionarily divergent Ostalpha-Ostbeta proteins recently identified in the little skate, Raja erinacea, even though the latter exhibit only 25-41% predicted amino acid identity with the mammalian proteins. Human, mouse, and skate OSTalpha proteins are predicted to contain seven transmembrane helices, whereas the OSTbeta sequences are predicted to have a single transmembrane helix. Human OSTalpha-OSTbeta and mouse Ostalpha-Ostbeta cDNAs were cloned from liver mRNA, sequenced, expressed in Xenopus laevis oocytes, and tested for their ability to functionally complement the corresponding skate proteins by measuring transport of [3H]estrone 3-sulfate. None of the proteins elicited a transport signal when expressed individually in oocytes; however, all nine OSTalpha-OSTbeta combinations (i.e. OSTalpha-OSTbeta pairs from human, mouse, or skate) generated robust estrone 3-sulfate transport activity. Transport was sodium-independent, saturable, and inhibited by other steroids and anionic drugs. Human and mouse OSTalpha-OSTbeta also were able to mediate transport of taurocholate, digoxin, and prostaglandin E2 but not of estradiol 17beta-d-glucuronide or p-aminohippurate. OSTalpha and OSTbeta were able to reach the oocyte plasma membrane when expressed either individually or in pairs, indicating that co-expression is not required for proper membrane targeting. Interestingly, OSTalpha and OSTbeta mRNAs were highly expressed and widely distributed in human tissues, with the highest levels occurring in the testis, colon, liver, small intestine, kidney, ovary, and adrenal gland.","author":[{"dropping-particle":"","family":"Seward","given":"David J","non-dropping-particle":"","parse-names":false,"suffix":""},{"dropping-particle":"","family":"Koh","given":"Albert S","non-dropping-particle":"","parse-names":false,"suffix":""},{"dropping-particle":"","family":"Boyer","given":"James L","non-dropping-particle":"","parse-names":false,"suffix":""},{"dropping-particle":"","family":"Ballatori","given":"Nazzareno","non-dropping-particle":"","parse-names":false,"suffix":""}],"container-title":"The Journal of biological chemistry","id":"ITEM-1","issue":"30","issued":{"date-parts":[["2003","7"]]},"language":"eng","page":"27473-27482","publisher-place":"United States","title":"Functional complementation between a novel mammalian polygenic transport complex and  an evolutionarily ancient organic solute transporter, OSTalpha-OSTbeta.","type":"article-journal","volume":"278"},"uris":["http://www.mendeley.com/documents/?uuid=3eb56095-bf99-4c86-b1ac-7476900586ea"]}],"mendeley":{"formattedCitation":"[51]","plainTextFormattedCitation":"[51]","previouslyFormattedCitation":"[51]"},"properties":{"noteIndex":0},"schema":"https://github.com/citation-style-language/schema/raw/master/csl-citation.json"}</w:instrText>
            </w:r>
            <w:r w:rsidRPr="00F82985">
              <w:rPr>
                <w:color w:val="000000"/>
                <w:sz w:val="20"/>
                <w:szCs w:val="20"/>
              </w:rPr>
              <w:fldChar w:fldCharType="separate"/>
            </w:r>
            <w:r w:rsidR="00D82436" w:rsidRPr="00D82436">
              <w:rPr>
                <w:noProof/>
                <w:color w:val="000000"/>
                <w:sz w:val="20"/>
                <w:szCs w:val="20"/>
              </w:rPr>
              <w:t>[51]</w:t>
            </w:r>
            <w:r w:rsidRPr="00F82985">
              <w:rPr>
                <w:color w:val="000000"/>
                <w:sz w:val="20"/>
                <w:szCs w:val="20"/>
              </w:rPr>
              <w:fldChar w:fldCharType="end"/>
            </w:r>
            <w:r>
              <w:rPr>
                <w:color w:val="000000"/>
                <w:sz w:val="20"/>
                <w:szCs w:val="20"/>
              </w:rPr>
              <w:t xml:space="preserve">; OATP2B1 (human; 2.14 and 16.9 µM </w:t>
            </w:r>
            <w:r>
              <w:rPr>
                <w:color w:val="000000"/>
                <w:sz w:val="20"/>
                <w:szCs w:val="20"/>
              </w:rPr>
              <w:fldChar w:fldCharType="begin" w:fldLock="1"/>
            </w:r>
            <w:r w:rsidR="00E26B06">
              <w:rPr>
                <w:color w:val="000000"/>
                <w:sz w:val="20"/>
                <w:szCs w:val="20"/>
              </w:rPr>
              <w:instrText>ADDIN CSL_CITATION {"citationItems":[{"id":"ITEM-1","itemData":{"DOI":"https://doi.org/10.1016/j.dmpk.2021.100416","ISSN":"1347-4367","abstract":"Organic anion transporting polypeptide (OATP) 2B1 is expressed in the intestine and liver, and OATP2B1-mediated transport of estrone 3-sulfate is pH-dependent and consists of: the high-affinity component (Hc) and low-affinity component (Lc). This study aimed to evaluate the influence of pH on the transport kinetics of each component, along with the inhibitory nature of ten OATP2B1 inhibitors. The Michaelis constants (Km) were 4-fold and 1.5-fold lower at pH 6.3 than at pH 7.4, for Hc and Lc respectively. The inhibitory potencies of diclofenac, indomethacin, and ibuprofen towards Hc were 1.5–4.3 fold lower at pH 6.3 than at pH 7.4. Contrastingly, inhibitory potencies towards Lc were 9.0–52 fold lower at pH 7.4. Similarly, the inhibitory effect of naproxen was stronger towards Hc at pH 6.3 and towards Lc at pH 7.4. On the other hand, celecoxib selectively inhibited Lc transport at pH 7.4. Rifampicin inhibited both components at pH 6.3 and 7.4 to a similar extent, while bromosulphophthalein, naringin, and gefitinib selectively inhibited Hc irrespective of pH. Fexofenadine inhibited neither component. In conclusion, the transport affinities of both Hc and Lc were enhanced under acidic conditions. The influence of pH on the inhibitory potency towards each component varied among the inhibitors.","author":[{"dropping-particle":"","family":"Sato","given":"Ryo","non-dropping-particle":"","parse-names":false,"suffix":""},{"dropping-particle":"","family":"Akiyoshi","given":"Takeshi","non-dropping-particle":"","parse-names":false,"suffix":""},{"dropping-particle":"","family":"Morita","given":"Tokio","non-dropping-particle":"","parse-names":false,"suffix":""},{"dropping-particle":"","family":"Katayama","given":"Kazuhiro","non-dropping-particle":"","parse-names":false,"suffix":""},{"dropping-particle":"","family":"Yajima","given":"Kodai","non-dropping-particle":"","parse-names":false,"suffix":""},{"dropping-particle":"","family":"Kataoka","given":"Hiroki","non-dropping-particle":"","parse-names":false,"suffix":""},{"dropping-particle":"","family":"Imaoka","given":"Ayuko","non-dropping-particle":"","parse-names":false,"suffix":""},{"dropping-particle":"","family":"Ohtani","given":"Hisakazu","non-dropping-particle":"","parse-names":false,"suffix":""}],"container-title":"Drug Metabolism and Pharmacokinetics","id":"ITEM-1","issued":{"date-parts":[["2021"]]},"page":"100416","title":"Dual kinetics of OATP2B1: Inhibitory potency and pH-dependence of OATP2B1 inhibitors","type":"article-journal","volume":"41"},"uris":["http://www.mendeley.com/documents/?uuid=796e344a-36bc-4603-a299-c3603763cb5a"]}],"mendeley":{"formattedCitation":"[52]","plainTextFormattedCitation":"[52]","previouslyFormattedCitation":"[52]"},"properties":{"noteIndex":0},"schema":"https://github.com/citation-style-language/schema/raw/master/csl-citation.json"}</w:instrText>
            </w:r>
            <w:r>
              <w:rPr>
                <w:color w:val="000000"/>
                <w:sz w:val="20"/>
                <w:szCs w:val="20"/>
              </w:rPr>
              <w:fldChar w:fldCharType="separate"/>
            </w:r>
            <w:r w:rsidR="00D82436" w:rsidRPr="00D82436">
              <w:rPr>
                <w:noProof/>
                <w:color w:val="000000"/>
                <w:sz w:val="20"/>
                <w:szCs w:val="20"/>
              </w:rPr>
              <w:t>[52]</w:t>
            </w:r>
            <w:r>
              <w:rPr>
                <w:color w:val="000000"/>
                <w:sz w:val="20"/>
                <w:szCs w:val="20"/>
              </w:rPr>
              <w:fldChar w:fldCharType="end"/>
            </w:r>
            <w:r>
              <w:rPr>
                <w:color w:val="000000"/>
                <w:sz w:val="20"/>
                <w:szCs w:val="20"/>
              </w:rPr>
              <w:t>).</w:t>
            </w:r>
            <w:r w:rsidR="00E26B06">
              <w:rPr>
                <w:color w:val="000000"/>
                <w:sz w:val="20"/>
                <w:szCs w:val="20"/>
              </w:rPr>
              <w:t xml:space="preserve"> </w:t>
            </w:r>
            <w:r w:rsidR="00E26B06">
              <w:rPr>
                <w:color w:val="000000"/>
                <w:sz w:val="20"/>
                <w:szCs w:val="20"/>
                <w:lang w:val="en-US"/>
              </w:rPr>
              <w:t xml:space="preserve"> Not BTL </w:t>
            </w:r>
            <w:r w:rsidR="00E26B06">
              <w:rPr>
                <w:color w:val="000000"/>
                <w:sz w:val="20"/>
                <w:szCs w:val="20"/>
                <w:lang w:val="en-US"/>
              </w:rPr>
              <w:fldChar w:fldCharType="begin" w:fldLock="1"/>
            </w:r>
            <w:r w:rsidR="00A003A9">
              <w:rPr>
                <w:color w:val="000000"/>
                <w:sz w:val="20"/>
                <w:szCs w:val="20"/>
                <w:lang w:val="en-US"/>
              </w:rPr>
              <w:instrText>ADDIN CSL_CITATION {"citationItems":[{"id":"ITEM-1","itemData":{"DOI":"10.1016/j.aca.2011.07.004","ISSN":"1873-4324 (Electronic)","PMID":"21962375","abstract":"The transport activity of a membrane protein, bilitranslocase (T.C. # 2.A.65.1.1), which acts as a transporter of bilirubin from blood to liver cells, was experimentally determined for a large set of various endogenous compounds, drugs, purine and pyrimidine derivatives. On these grounds, the structure-activity models were developed following the OECD principles of QSAR models and their predictive ability for new chemicals was evaluated. The applicability domain of the models was estimated by Euclidean distances criteria according to the applied modeling method. The selection of the most influential structural variables was an important stage in the adopted modeling methodology. The interpretation of selected variables was performed in order to get an insight into the mechanism of transport through the cell membrane via bilitranslocase. Validation of the optimized models was performed by a previously determined validation set. The classification model was build to separate active from inactive compounds. The resulting accuracy, sensitivity, and specificity were 0.73, 0.89, and 0.64, respectively. Only active compounds were used to develop a predictive model for bilitranslocase inhibition constants. The model showed good predictive ability; Root Mean Squared error of the validation set, RMS(V)=0.29 log units.","author":[{"dropping-particle":"","family":"Zuperl","given":"Spela","non-dropping-particle":"","parse-names":false,"suffix":""},{"dropping-particle":"","family":"Fornasaro","given":"Stefano","non-dropping-particle":"","parse-names":false,"suffix":""},{"dropping-particle":"","family":"Novic","given":"Marjana","non-dropping-particle":"","parse-names":false,"suffix":""},{"dropping-particle":"","family":"Passamonti","given":"Sabina","non-dropping-particle":"","parse-names":false,"suffix":""}],"container-title":"Analytica chimica acta","id":"ITEM-1","issue":"1-2","issued":{"date-parts":[["2011","10"]]},"language":"eng","page":"322-333","publisher-place":"Netherlands","title":"Experimental determination and prediction of bilitranslocase transport activity.","type":"article-journal","volume":"705"},"uris":["http://www.mendeley.com/documents/?uuid=449fdc25-b67c-49a6-8c8a-cc1349e02422"]}],"mendeley":{"formattedCitation":"[5]","plainTextFormattedCitation":"[5]","previouslyFormattedCitation":"[5]"},"properties":{"noteIndex":0},"schema":"https://github.com/citation-style-language/schema/raw/master/csl-citation.json"}</w:instrText>
            </w:r>
            <w:r w:rsidR="00E26B06">
              <w:rPr>
                <w:color w:val="000000"/>
                <w:sz w:val="20"/>
                <w:szCs w:val="20"/>
                <w:lang w:val="en-US"/>
              </w:rPr>
              <w:fldChar w:fldCharType="separate"/>
            </w:r>
            <w:r w:rsidR="00E26B06" w:rsidRPr="00E26B06">
              <w:rPr>
                <w:noProof/>
                <w:color w:val="000000"/>
                <w:sz w:val="20"/>
                <w:szCs w:val="20"/>
                <w:lang w:val="en-US"/>
              </w:rPr>
              <w:t>[5]</w:t>
            </w:r>
            <w:r w:rsidR="00E26B06">
              <w:rPr>
                <w:color w:val="000000"/>
                <w:sz w:val="20"/>
                <w:szCs w:val="20"/>
                <w:lang w:val="en-US"/>
              </w:rPr>
              <w:fldChar w:fldCharType="end"/>
            </w:r>
            <w:r w:rsidR="00E26B06">
              <w:rPr>
                <w:color w:val="000000"/>
                <w:sz w:val="20"/>
                <w:szCs w:val="20"/>
                <w:lang w:val="en-US"/>
              </w:rPr>
              <w:t>.</w:t>
            </w:r>
          </w:p>
          <w:p w14:paraId="20B5E904" w14:textId="1028B790" w:rsidR="00B3136C" w:rsidRPr="00463272" w:rsidRDefault="00B3136C" w:rsidP="003B76E2">
            <w:pPr>
              <w:jc w:val="both"/>
              <w:rPr>
                <w:color w:val="000000"/>
                <w:sz w:val="20"/>
                <w:szCs w:val="20"/>
                <w:lang w:val="en-US"/>
              </w:rPr>
            </w:pPr>
            <w:r w:rsidRPr="00463272">
              <w:rPr>
                <w:color w:val="000000"/>
                <w:sz w:val="20"/>
                <w:szCs w:val="20"/>
                <w:lang w:val="en-US"/>
              </w:rPr>
              <w:t xml:space="preserve">EFFLUX: </w:t>
            </w:r>
            <w:r w:rsidRPr="00F82985">
              <w:rPr>
                <w:color w:val="000000"/>
                <w:sz w:val="20"/>
                <w:szCs w:val="20"/>
                <w:lang w:val="en-US"/>
              </w:rPr>
              <w:t>Mrp3 (K</w:t>
            </w:r>
            <w:r w:rsidRPr="00F82985">
              <w:rPr>
                <w:color w:val="000000"/>
                <w:sz w:val="20"/>
                <w:szCs w:val="20"/>
                <w:vertAlign w:val="subscript"/>
                <w:lang w:val="en-US"/>
              </w:rPr>
              <w:t>i</w:t>
            </w:r>
            <w:r w:rsidRPr="00F82985">
              <w:rPr>
                <w:color w:val="000000"/>
                <w:sz w:val="20"/>
                <w:szCs w:val="20"/>
                <w:lang w:val="en-US"/>
              </w:rPr>
              <w:t xml:space="preserve"> = 60 µM) </w:t>
            </w:r>
            <w:r w:rsidRPr="00F82985">
              <w:rPr>
                <w:color w:val="000000"/>
                <w:sz w:val="20"/>
                <w:szCs w:val="20"/>
                <w:lang w:val="en-US"/>
              </w:rPr>
              <w:fldChar w:fldCharType="begin" w:fldLock="1"/>
            </w:r>
            <w:r w:rsidR="00E26B06">
              <w:rPr>
                <w:color w:val="000000"/>
                <w:sz w:val="20"/>
                <w:szCs w:val="20"/>
                <w:lang w:val="en-US"/>
              </w:rPr>
              <w:instrText>ADDIN CSL_CITATION {"citationItems":[{"id":"ITEM-1","itemData":{"DOI":"10.1111/j.1872-034X.2007.00255.x","abstract":"Aim: Drug-induced hyperbilirubinemia has been shown to often be derived from modulation of the expression and activity of hepatobiliary transporters. In this study we examined the interactions of some therapeutic agents, which have been shown to cause cholestasis, with the elimination of bilirubin-glucuronides, in order to clarify whether these drugs modify the activity of Mrp2 and Mrp3 directly. Methods: The modulation of bilirubin-glucuronide elimination with rifampicin, probenecid, indomethacin and benzbromarone was assayed in sandwich cultured rat hepatocytes. Results: All the drugs studied decreased the canalicular transport, but modified the sinusoidal efflux differently. Rifampicin and probenecid stimulated the sinusoidal efflux, shifting the elimination of bilirubin-glucuronides to the sinusoidal domain (biliary excretion index: 3.9 ± 1.2; 22.7 ± 7.4 vs. 56.6 ± 1.5 and 56.8 ± 5.5). However, the overall elimination of bilirubin-glucuronides did not change significantly. In contrast, indomethacin and benzbromarone inhibited bothtransport processes, resulting in the decrease of the overall bilirubin-glucuronide elimination (61 ± 22; 56 ± 5% of the control). Rifampicin, indomethacin and benzbromarone decreased 5,(6)-carboxy-2′,7′-dichlorofluorescein transport by multidrug resistance-associated protein (Mrp)2 as visualized by confocal laser microscopy and in vesicular transport experiments. Interestingly, rifampicin decreased the MRP3 activity in vesicular transport experiments using 17-beta-estradiol-17-beta-D-glucuronide as substrate, in contrast to that observed in bilirubin-glucuronide transport experiments. Conclusion: Here we show that the interactions of drugs on hepatobiliary transporter proteins may be identified in vitro in a sandwich culture of hepatocytes, in which canalicular and sinusoidal transport can be studied separately. © 2007 The Japan Society of Hepatology.","author":[{"dropping-particle":"","family":"Lengyel","given":"G.","non-dropping-particle":"","parse-names":false,"suffix":""},{"dropping-particle":"","family":"Veres","given":"Z.","non-dropping-particle":"","parse-names":false,"suffix":""},{"dropping-particle":"","family":"Tugyi","given":"R.","non-dropping-particle":"","parse-names":false,"suffix":""},{"dropping-particle":"","family":"Vereczkey","given":"L.","non-dropping-particle":"","parse-names":false,"suffix":""},{"dropping-particle":"","family":"Molnár","given":"T.","non-dropping-particle":"","parse-names":false,"suffix":""},{"dropping-particle":"","family":"Glavinas","given":"H.","non-dropping-particle":"","parse-names":false,"suffix":""},{"dropping-particle":"","family":"Krajcsi","given":"P.","non-dropping-particle":"","parse-names":false,"suffix":""},{"dropping-particle":"","family":"Jemnitz","given":"K.","non-dropping-particle":"","parse-names":false,"suffix":""}],"container-title":"Hepatology Research","id":"ITEM-1","issue":"3","issued":{"date-parts":[["2008"]]},"title":"Modulation of sinusoidal and canalicular elimination of bilirubin-glucuronides by rifampicin and other cholestatic drugs in a sandwich culture of rat hepatocytes","type":"article-journal","volume":"38"},"uris":["http://www.mendeley.com/documents/?uuid=435f7e28-db83-414b-a963-992c3ddc6315"]}],"mendeley":{"formattedCitation":"[53]","plainTextFormattedCitation":"[53]","previouslyFormattedCitation":"[53]"},"properties":{"noteIndex":0},"schema":"https://github.com/citation-style-language/schema/raw/master/csl-citation.json"}</w:instrText>
            </w:r>
            <w:r w:rsidRPr="00F82985">
              <w:rPr>
                <w:color w:val="000000"/>
                <w:sz w:val="20"/>
                <w:szCs w:val="20"/>
                <w:lang w:val="en-US"/>
              </w:rPr>
              <w:fldChar w:fldCharType="separate"/>
            </w:r>
            <w:r w:rsidR="00D82436" w:rsidRPr="00D82436">
              <w:rPr>
                <w:noProof/>
                <w:color w:val="000000"/>
                <w:sz w:val="20"/>
                <w:szCs w:val="20"/>
                <w:lang w:val="en-US"/>
              </w:rPr>
              <w:t>[53]</w:t>
            </w:r>
            <w:r w:rsidRPr="00F82985">
              <w:rPr>
                <w:color w:val="000000"/>
                <w:sz w:val="20"/>
                <w:szCs w:val="20"/>
                <w:lang w:val="en-US"/>
              </w:rPr>
              <w:fldChar w:fldCharType="end"/>
            </w:r>
          </w:p>
        </w:tc>
        <w:tc>
          <w:tcPr>
            <w:tcW w:w="1984" w:type="dxa"/>
            <w:shd w:val="clear" w:color="auto" w:fill="auto"/>
            <w:noWrap/>
            <w:vAlign w:val="bottom"/>
            <w:hideMark/>
          </w:tcPr>
          <w:p w14:paraId="7DB91285" w14:textId="0DCA49F3" w:rsidR="00B3136C" w:rsidRPr="00F82985" w:rsidRDefault="00B3136C" w:rsidP="003B76E2">
            <w:pPr>
              <w:jc w:val="both"/>
              <w:rPr>
                <w:color w:val="000000"/>
                <w:sz w:val="20"/>
                <w:szCs w:val="20"/>
                <w:lang w:val="en-US"/>
              </w:rPr>
            </w:pPr>
            <w:r w:rsidRPr="00F82985">
              <w:rPr>
                <w:color w:val="000000"/>
                <w:sz w:val="20"/>
                <w:szCs w:val="20"/>
                <w:lang w:val="en-US"/>
              </w:rPr>
              <w:t xml:space="preserve">Mrp2 (human, activator) </w:t>
            </w:r>
            <w:r w:rsidRPr="00F82985">
              <w:rPr>
                <w:color w:val="000000"/>
                <w:sz w:val="20"/>
                <w:szCs w:val="20"/>
              </w:rPr>
              <w:fldChar w:fldCharType="begin" w:fldLock="1"/>
            </w:r>
            <w:r w:rsidR="00E26B06">
              <w:rPr>
                <w:color w:val="000000"/>
                <w:sz w:val="20"/>
                <w:szCs w:val="20"/>
                <w:lang w:val="en-US"/>
              </w:rPr>
              <w:instrText>ADDIN CSL_CITATION {"citationItems":[{"id":"ITEM-1","itemData":{"DOI":"https://doi.org/10.1074/jbc.M303515200","ISSN":"0021-9258","abstract":"The multidrug resistance proteins MRP2 (ABCC2) and MRP3 (ABCC3) are key primary active transporters involved in anionic conjugate and drug extrusion from the human liver. The major physiological role of MRP2 is to transport conjugated metabolites into the bile canaliculus, whereas MRP3 is localized in the basolateral membrane of the hepatocytes and transports similar metabolites back to the bloodstream. Both proteins were shown to interact with a large variety of transported substrates, and earlier studies suggested that MRPs may work as co-transporters for different molecules. In the present study we expressed the human MRP2 and MRP3 proteins in insect cells and examined their transport and ATPase characteristics in isolated, inside-out membrane vesicles. We found that the primary active transport of estradiol-17-β-d-glucuronide (E217βG), a major product of human steroid metabolism, was differently modulated by bile acids and organic anions in the case of human MRP2 and MRP3. Active E217βG transport by MRP2 was significantly stimulated by the organic anions indomethacin, furosemide, and probenecid and by several conjugated bile acids. In contrast, all of these agents inhibited E217βG transport by MRP3. We found that in the case of MRP2, ATP-dependent vesicular bile acid transport was increased by E217βG, and the results indicated an allosteric cross-stimulation, probably a co-transport of bile acids and glucuronate conjugates through this protein. There was no such stimulation of bile acid transport by MRP3. In conclusion, the different transport modulation of MRPs by bile acids and anionic drugs could play a major role in regulating physiological and pathological metabolite fluxes in the human liver.","author":[{"dropping-particle":"","family":"Bodó","given":"Adrienn","non-dropping-particle":"","parse-names":false,"suffix":""},{"dropping-particle":"","family":"Bakos","given":"Éva","non-dropping-particle":"","parse-names":false,"suffix":""},{"dropping-particle":"","family":"Szeri","given":"Flóra","non-dropping-particle":"","parse-names":false,"suffix":""},{"dropping-particle":"","family":"Váradi","given":"András","non-dropping-particle":"","parse-names":false,"suffix":""},{"dropping-particle":"","family":"Sarkadi","given":"Balázs","non-dropping-particle":"","parse-names":false,"suffix":""}],"container-title":"Journal of Biological Chemistry","id":"ITEM-1","issue":"26","issued":{"date-parts":[["2003"]]},"page":"23529-23537","title":"Differential Modulation of the Human Liver Conjugate Transporters MRP2 and MRP3 by Bile Acids and Organic Anions*","type":"article-journal","volume":"278"},"uris":["http://www.mendeley.com/documents/?uuid=319a9c42-6954-43d8-8790-1739b3f4b631"]}],"mendeley":{"formattedCitation":"[54]","plainTextFormattedCitation":"[54]","previouslyFormattedCitation":"[54]"},"properties":{"noteIndex":0},"schema":"https://github.com/citation-style-language/schema/raw/master/csl-citation.json"}</w:instrText>
            </w:r>
            <w:r w:rsidRPr="00F82985">
              <w:rPr>
                <w:color w:val="000000"/>
                <w:sz w:val="20"/>
                <w:szCs w:val="20"/>
              </w:rPr>
              <w:fldChar w:fldCharType="separate"/>
            </w:r>
            <w:r w:rsidR="00D82436" w:rsidRPr="00D82436">
              <w:rPr>
                <w:noProof/>
                <w:color w:val="000000"/>
                <w:sz w:val="20"/>
                <w:szCs w:val="20"/>
                <w:lang w:val="en-US"/>
              </w:rPr>
              <w:t>[54]</w:t>
            </w:r>
            <w:r w:rsidRPr="00F82985">
              <w:rPr>
                <w:color w:val="000000"/>
                <w:sz w:val="20"/>
                <w:szCs w:val="20"/>
              </w:rPr>
              <w:fldChar w:fldCharType="end"/>
            </w:r>
            <w:r w:rsidRPr="00F82985">
              <w:rPr>
                <w:color w:val="000000"/>
                <w:sz w:val="20"/>
                <w:szCs w:val="20"/>
                <w:lang w:val="en-US"/>
              </w:rPr>
              <w:t xml:space="preserve"> </w:t>
            </w:r>
          </w:p>
        </w:tc>
      </w:tr>
      <w:tr w:rsidR="00B3136C" w:rsidRPr="00760B34" w14:paraId="538590C3" w14:textId="77777777" w:rsidTr="00573A04">
        <w:trPr>
          <w:trHeight w:val="300"/>
        </w:trPr>
        <w:tc>
          <w:tcPr>
            <w:tcW w:w="1413" w:type="dxa"/>
            <w:shd w:val="clear" w:color="auto" w:fill="auto"/>
            <w:noWrap/>
            <w:vAlign w:val="bottom"/>
            <w:hideMark/>
          </w:tcPr>
          <w:p w14:paraId="1EDF2542" w14:textId="77777777" w:rsidR="00B3136C" w:rsidRDefault="00B3136C" w:rsidP="003B76E2">
            <w:pPr>
              <w:jc w:val="both"/>
              <w:rPr>
                <w:color w:val="000000"/>
                <w:sz w:val="20"/>
                <w:szCs w:val="20"/>
                <w:lang w:val="en-US"/>
              </w:rPr>
            </w:pPr>
            <w:r w:rsidRPr="00F82985">
              <w:rPr>
                <w:color w:val="000000"/>
                <w:sz w:val="20"/>
                <w:szCs w:val="20"/>
                <w:lang w:val="en-US"/>
              </w:rPr>
              <w:t>Ketoprofen</w:t>
            </w:r>
          </w:p>
          <w:p w14:paraId="71A50D52" w14:textId="77777777" w:rsidR="00B3136C" w:rsidRPr="00F82985" w:rsidRDefault="00B3136C" w:rsidP="003B76E2">
            <w:pPr>
              <w:jc w:val="both"/>
              <w:rPr>
                <w:color w:val="000000"/>
                <w:sz w:val="20"/>
                <w:szCs w:val="20"/>
                <w:lang w:val="en-US"/>
              </w:rPr>
            </w:pPr>
            <w:r w:rsidRPr="001A314B">
              <w:rPr>
                <w:color w:val="000000"/>
                <w:sz w:val="20"/>
                <w:szCs w:val="20"/>
                <w:lang w:val="en-US"/>
              </w:rPr>
              <w:t>CHEBI:6128</w:t>
            </w:r>
          </w:p>
        </w:tc>
        <w:tc>
          <w:tcPr>
            <w:tcW w:w="1276" w:type="dxa"/>
            <w:shd w:val="clear" w:color="auto" w:fill="auto"/>
            <w:noWrap/>
            <w:vAlign w:val="bottom"/>
            <w:hideMark/>
          </w:tcPr>
          <w:p w14:paraId="63FCF368" w14:textId="77777777" w:rsidR="00B3136C" w:rsidRPr="00F82985" w:rsidRDefault="00B3136C" w:rsidP="003B76E2">
            <w:pPr>
              <w:jc w:val="both"/>
              <w:rPr>
                <w:color w:val="000000"/>
                <w:sz w:val="20"/>
                <w:szCs w:val="20"/>
                <w:lang w:val="en-US"/>
              </w:rPr>
            </w:pPr>
            <w:r w:rsidRPr="00F82985">
              <w:rPr>
                <w:color w:val="000000"/>
                <w:sz w:val="20"/>
                <w:szCs w:val="20"/>
                <w:lang w:val="en-US"/>
              </w:rPr>
              <w:t>1</w:t>
            </w:r>
          </w:p>
        </w:tc>
        <w:tc>
          <w:tcPr>
            <w:tcW w:w="992" w:type="dxa"/>
            <w:shd w:val="clear" w:color="auto" w:fill="auto"/>
            <w:noWrap/>
            <w:vAlign w:val="bottom"/>
            <w:hideMark/>
          </w:tcPr>
          <w:p w14:paraId="7A12B6EB" w14:textId="77777777" w:rsidR="00B3136C" w:rsidRPr="00F82985" w:rsidRDefault="00B3136C" w:rsidP="003B76E2">
            <w:pPr>
              <w:jc w:val="both"/>
              <w:rPr>
                <w:color w:val="000000"/>
                <w:sz w:val="20"/>
                <w:szCs w:val="20"/>
                <w:lang w:val="en-US"/>
              </w:rPr>
            </w:pPr>
            <w:r w:rsidRPr="00F82985">
              <w:rPr>
                <w:color w:val="000000"/>
                <w:sz w:val="20"/>
                <w:szCs w:val="20"/>
                <w:lang w:val="en-US"/>
              </w:rPr>
              <w:t>200</w:t>
            </w:r>
          </w:p>
        </w:tc>
        <w:tc>
          <w:tcPr>
            <w:tcW w:w="3260" w:type="dxa"/>
            <w:shd w:val="clear" w:color="auto" w:fill="auto"/>
            <w:noWrap/>
            <w:vAlign w:val="bottom"/>
            <w:hideMark/>
          </w:tcPr>
          <w:p w14:paraId="3B0042EB" w14:textId="4A82F9E5" w:rsidR="00B3136C" w:rsidRPr="00E26B06" w:rsidRDefault="00B3136C" w:rsidP="003B76E2">
            <w:pPr>
              <w:jc w:val="both"/>
              <w:rPr>
                <w:color w:val="000000"/>
                <w:sz w:val="20"/>
                <w:szCs w:val="20"/>
              </w:rPr>
            </w:pPr>
            <w:r w:rsidRPr="00240D83">
              <w:rPr>
                <w:color w:val="000000"/>
                <w:sz w:val="20"/>
                <w:szCs w:val="20"/>
                <w:lang w:val="en-US"/>
              </w:rPr>
              <w:t>INFLUX: Oat2 (K</w:t>
            </w:r>
            <w:r w:rsidRPr="00240D83">
              <w:rPr>
                <w:color w:val="000000"/>
                <w:sz w:val="20"/>
                <w:szCs w:val="20"/>
                <w:vertAlign w:val="subscript"/>
                <w:lang w:val="en-US"/>
              </w:rPr>
              <w:t>m</w:t>
            </w:r>
            <w:r w:rsidRPr="00240D83">
              <w:rPr>
                <w:color w:val="000000"/>
                <w:sz w:val="20"/>
                <w:szCs w:val="20"/>
                <w:lang w:val="en-US"/>
              </w:rPr>
              <w:t xml:space="preserve"> = 3.3 µM) </w:t>
            </w:r>
            <w:r w:rsidRPr="00F82985">
              <w:rPr>
                <w:color w:val="000000"/>
                <w:sz w:val="20"/>
                <w:szCs w:val="20"/>
              </w:rPr>
              <w:fldChar w:fldCharType="begin" w:fldLock="1"/>
            </w:r>
            <w:r w:rsidR="00573A04">
              <w:rPr>
                <w:color w:val="000000"/>
                <w:sz w:val="20"/>
                <w:szCs w:val="20"/>
                <w:lang w:val="en-US"/>
              </w:rPr>
              <w:instrText>ADDIN CSL_CITATION {"citationItems":[{"id":"ITEM-1","itemData":{"ISSN":"0022-3565","author":[{"dropping-particle":"","family":"Morita","given":"Naomi","non-dropping-particle":"","parse-names":false,"suffix":""},{"dropping-particle":"","family":"Kusuhara","given":"Hiroyuki","non-dropping-particle":"","parse-names":false,"suffix":""},{"dropping-particle":"","family":"Sekine","given":"Takashi","non-dropping-particle":"","parse-names":false,"suffix":""},{"dropping-particle":"","family":"Endou","given":"Hitoshi","non-dropping-particle":"","parse-names":false,"suffix":""},{"dropping-particle":"","family":"Sugiyama","given":"Yuichi","non-dropping-particle":"","parse-names":false,"suffix":""}],"container-title":"Journal of Pharmacology and Experimental Therapeutics","id":"ITEM-1","issue":"3","issued":{"date-parts":[["2001"]]},"page":"1179-1184","publisher":"ASPET","title":"Functional characterization of rat organic anion transporter 2 in LLC-PK1 cells","type":"article-journal","volume":"298"},"uris":["http://www.mendeley.com/documents/?uuid=897af378-370a-4969-8794-2c3aa5a4083f"]}],"mendeley":{"formattedCitation":"[50]","plainTextFormattedCitation":"[50]","previouslyFormattedCitation":"[50]"},"properties":{"noteIndex":0},"schema":"https://github.com/citation-style-language/schema/raw/master/csl-citation.json"}</w:instrText>
            </w:r>
            <w:r w:rsidRPr="00F82985">
              <w:rPr>
                <w:color w:val="000000"/>
                <w:sz w:val="20"/>
                <w:szCs w:val="20"/>
              </w:rPr>
              <w:fldChar w:fldCharType="separate"/>
            </w:r>
            <w:r w:rsidR="008C4117" w:rsidRPr="008C4117">
              <w:rPr>
                <w:noProof/>
                <w:color w:val="000000"/>
                <w:sz w:val="20"/>
                <w:szCs w:val="20"/>
                <w:lang w:val="en-US"/>
              </w:rPr>
              <w:t>[50]</w:t>
            </w:r>
            <w:r w:rsidRPr="00F82985">
              <w:rPr>
                <w:color w:val="000000"/>
                <w:sz w:val="20"/>
                <w:szCs w:val="20"/>
              </w:rPr>
              <w:fldChar w:fldCharType="end"/>
            </w:r>
            <w:r w:rsidR="00E26B06" w:rsidRPr="00E26B06">
              <w:rPr>
                <w:color w:val="000000"/>
                <w:sz w:val="20"/>
                <w:szCs w:val="20"/>
                <w:lang w:val="en-US"/>
              </w:rPr>
              <w:t xml:space="preserve">. </w:t>
            </w:r>
            <w:r w:rsidR="00E26B06">
              <w:rPr>
                <w:color w:val="000000"/>
                <w:sz w:val="20"/>
                <w:szCs w:val="20"/>
                <w:lang w:val="en-US"/>
              </w:rPr>
              <w:t xml:space="preserve"> Not BTL </w:t>
            </w:r>
            <w:r w:rsidR="00E26B06">
              <w:rPr>
                <w:color w:val="000000"/>
                <w:sz w:val="20"/>
                <w:szCs w:val="20"/>
                <w:lang w:val="en-US"/>
              </w:rPr>
              <w:fldChar w:fldCharType="begin" w:fldLock="1"/>
            </w:r>
            <w:r w:rsidR="00A003A9">
              <w:rPr>
                <w:color w:val="000000"/>
                <w:sz w:val="20"/>
                <w:szCs w:val="20"/>
                <w:lang w:val="en-US"/>
              </w:rPr>
              <w:instrText>ADDIN CSL_CITATION {"citationItems":[{"id":"ITEM-1","itemData":{"DOI":"10.1016/j.aca.2011.07.004","ISSN":"1873-4324 (Electronic)","PMID":"21962375","abstract":"The transport activity of a membrane protein, bilitranslocase (T.C. # 2.A.65.1.1), which acts as a transporter of bilirubin from blood to liver cells, was experimentally determined for a large set of various endogenous compounds, drugs, purine and pyrimidine derivatives. On these grounds, the structure-activity models were developed following the OECD principles of QSAR models and their predictive ability for new chemicals was evaluated. The applicability domain of the models was estimated by Euclidean distances criteria according to the applied modeling method. The selection of the most influential structural variables was an important stage in the adopted modeling methodology. The interpretation of selected variables was performed in order to get an insight into the mechanism of transport through the cell membrane via bilitranslocase. Validation of the optimized models was performed by a previously determined validation set. The classification model was build to separate active from inactive compounds. The resulting accuracy, sensitivity, and specificity were 0.73, 0.89, and 0.64, respectively. Only active compounds were used to develop a predictive model for bilitranslocase inhibition constants. The model showed good predictive ability; Root Mean Squared error of the validation set, RMS(V)=0.29 log units.","author":[{"dropping-particle":"","family":"Zuperl","given":"Spela","non-dropping-particle":"","parse-names":false,"suffix":""},{"dropping-particle":"","family":"Fornasaro","given":"Stefano","non-dropping-particle":"","parse-names":false,"suffix":""},{"dropping-particle":"","family":"Novic","given":"Marjana","non-dropping-particle":"","parse-names":false,"suffix":""},{"dropping-particle":"","family":"Passamonti","given":"Sabina","non-dropping-particle":"","parse-names":false,"suffix":""}],"container-title":"Analytica chimica acta","id":"ITEM-1","issue":"1-2","issued":{"date-parts":[["2011","10"]]},"language":"eng","page":"322-333","publisher-place":"Netherlands","title":"Experimental determination and prediction of bilitranslocase transport activity.","type":"article-journal","volume":"705"},"uris":["http://www.mendeley.com/documents/?uuid=449fdc25-b67c-49a6-8c8a-cc1349e02422"]}],"mendeley":{"formattedCitation":"[5]","plainTextFormattedCitation":"[5]","previouslyFormattedCitation":"[5]"},"properties":{"noteIndex":0},"schema":"https://github.com/citation-style-language/schema/raw/master/csl-citation.json"}</w:instrText>
            </w:r>
            <w:r w:rsidR="00E26B06">
              <w:rPr>
                <w:color w:val="000000"/>
                <w:sz w:val="20"/>
                <w:szCs w:val="20"/>
                <w:lang w:val="en-US"/>
              </w:rPr>
              <w:fldChar w:fldCharType="separate"/>
            </w:r>
            <w:r w:rsidR="00E26B06" w:rsidRPr="00E26B06">
              <w:rPr>
                <w:noProof/>
                <w:color w:val="000000"/>
                <w:sz w:val="20"/>
                <w:szCs w:val="20"/>
                <w:lang w:val="en-US"/>
              </w:rPr>
              <w:t>[5]</w:t>
            </w:r>
            <w:r w:rsidR="00E26B06">
              <w:rPr>
                <w:color w:val="000000"/>
                <w:sz w:val="20"/>
                <w:szCs w:val="20"/>
                <w:lang w:val="en-US"/>
              </w:rPr>
              <w:fldChar w:fldCharType="end"/>
            </w:r>
            <w:r w:rsidR="00E26B06">
              <w:rPr>
                <w:color w:val="000000"/>
                <w:sz w:val="20"/>
                <w:szCs w:val="20"/>
                <w:lang w:val="en-US"/>
              </w:rPr>
              <w:t>.</w:t>
            </w:r>
          </w:p>
          <w:p w14:paraId="1413FA6E" w14:textId="77777777" w:rsidR="00B3136C" w:rsidRPr="00240D83" w:rsidRDefault="00B3136C" w:rsidP="003B76E2">
            <w:pPr>
              <w:jc w:val="both"/>
              <w:rPr>
                <w:color w:val="000000"/>
                <w:sz w:val="20"/>
                <w:szCs w:val="20"/>
                <w:lang w:val="en-US"/>
              </w:rPr>
            </w:pPr>
            <w:r w:rsidRPr="00240D83">
              <w:rPr>
                <w:color w:val="000000"/>
                <w:sz w:val="20"/>
                <w:szCs w:val="20"/>
                <w:lang w:val="en-US"/>
              </w:rPr>
              <w:t xml:space="preserve">EFFLUX: </w:t>
            </w:r>
            <w:r w:rsidRPr="00F82985">
              <w:rPr>
                <w:color w:val="000000"/>
                <w:sz w:val="20"/>
                <w:szCs w:val="20"/>
                <w:lang w:val="en-US"/>
              </w:rPr>
              <w:t>Unknown</w:t>
            </w:r>
          </w:p>
        </w:tc>
        <w:tc>
          <w:tcPr>
            <w:tcW w:w="1984" w:type="dxa"/>
            <w:shd w:val="clear" w:color="auto" w:fill="auto"/>
            <w:noWrap/>
            <w:vAlign w:val="bottom"/>
            <w:hideMark/>
          </w:tcPr>
          <w:p w14:paraId="5D7B0542" w14:textId="77777777" w:rsidR="00B3136C" w:rsidRPr="00F82985" w:rsidRDefault="00B3136C" w:rsidP="003B76E2">
            <w:pPr>
              <w:jc w:val="both"/>
              <w:rPr>
                <w:color w:val="000000"/>
                <w:sz w:val="20"/>
                <w:szCs w:val="20"/>
                <w:lang w:val="en-US"/>
              </w:rPr>
            </w:pPr>
            <w:r w:rsidRPr="00F82985">
              <w:rPr>
                <w:color w:val="000000"/>
                <w:sz w:val="20"/>
                <w:szCs w:val="20"/>
                <w:lang w:val="en-US"/>
              </w:rPr>
              <w:t>Unknown</w:t>
            </w:r>
          </w:p>
        </w:tc>
      </w:tr>
      <w:tr w:rsidR="00B3136C" w:rsidRPr="00760B34" w14:paraId="14A2449D" w14:textId="77777777" w:rsidTr="00573A04">
        <w:trPr>
          <w:trHeight w:val="300"/>
        </w:trPr>
        <w:tc>
          <w:tcPr>
            <w:tcW w:w="1413" w:type="dxa"/>
            <w:shd w:val="clear" w:color="auto" w:fill="auto"/>
            <w:noWrap/>
            <w:vAlign w:val="bottom"/>
          </w:tcPr>
          <w:p w14:paraId="460F763C" w14:textId="77777777" w:rsidR="00B3136C" w:rsidRDefault="00B3136C" w:rsidP="003B76E2">
            <w:pPr>
              <w:jc w:val="both"/>
              <w:rPr>
                <w:color w:val="000000"/>
                <w:sz w:val="20"/>
                <w:szCs w:val="20"/>
                <w:lang w:val="en-US"/>
              </w:rPr>
            </w:pPr>
            <w:r>
              <w:rPr>
                <w:i/>
                <w:iCs/>
                <w:color w:val="000000"/>
                <w:sz w:val="20"/>
                <w:szCs w:val="20"/>
                <w:lang w:val="en-US"/>
              </w:rPr>
              <w:t>trans-</w:t>
            </w:r>
            <w:r>
              <w:rPr>
                <w:color w:val="000000"/>
                <w:sz w:val="20"/>
                <w:szCs w:val="20"/>
                <w:lang w:val="en-US"/>
              </w:rPr>
              <w:t>r</w:t>
            </w:r>
            <w:r w:rsidRPr="00F82985">
              <w:rPr>
                <w:color w:val="000000"/>
                <w:sz w:val="20"/>
                <w:szCs w:val="20"/>
                <w:lang w:val="en-US"/>
              </w:rPr>
              <w:t>esveratrol</w:t>
            </w:r>
          </w:p>
          <w:p w14:paraId="5A37BD21" w14:textId="77777777" w:rsidR="00B3136C" w:rsidRPr="00F82985" w:rsidRDefault="00B3136C" w:rsidP="003B76E2">
            <w:pPr>
              <w:jc w:val="both"/>
              <w:rPr>
                <w:color w:val="000000"/>
                <w:sz w:val="20"/>
                <w:szCs w:val="20"/>
                <w:lang w:val="en-US"/>
              </w:rPr>
            </w:pPr>
            <w:r w:rsidRPr="001A314B">
              <w:rPr>
                <w:color w:val="000000"/>
                <w:sz w:val="20"/>
                <w:szCs w:val="20"/>
                <w:lang w:val="en-US"/>
              </w:rPr>
              <w:t>CHEBI:45713</w:t>
            </w:r>
          </w:p>
        </w:tc>
        <w:tc>
          <w:tcPr>
            <w:tcW w:w="1276" w:type="dxa"/>
            <w:shd w:val="clear" w:color="auto" w:fill="auto"/>
            <w:noWrap/>
            <w:vAlign w:val="bottom"/>
          </w:tcPr>
          <w:p w14:paraId="275F72F5" w14:textId="77777777" w:rsidR="00B3136C" w:rsidRPr="00F82985" w:rsidRDefault="00B3136C" w:rsidP="003B76E2">
            <w:pPr>
              <w:jc w:val="both"/>
              <w:rPr>
                <w:color w:val="000000"/>
                <w:sz w:val="20"/>
                <w:szCs w:val="20"/>
                <w:lang w:val="en-US"/>
              </w:rPr>
            </w:pPr>
            <w:r w:rsidRPr="00F82985">
              <w:rPr>
                <w:color w:val="000000"/>
                <w:sz w:val="20"/>
                <w:szCs w:val="20"/>
                <w:lang w:val="en-US"/>
              </w:rPr>
              <w:t>2</w:t>
            </w:r>
          </w:p>
        </w:tc>
        <w:tc>
          <w:tcPr>
            <w:tcW w:w="992" w:type="dxa"/>
            <w:shd w:val="clear" w:color="auto" w:fill="auto"/>
            <w:noWrap/>
            <w:vAlign w:val="bottom"/>
          </w:tcPr>
          <w:p w14:paraId="13C9DDEC" w14:textId="77777777" w:rsidR="00B3136C" w:rsidRPr="00F82985" w:rsidRDefault="00B3136C" w:rsidP="003B76E2">
            <w:pPr>
              <w:jc w:val="both"/>
              <w:rPr>
                <w:color w:val="000000"/>
                <w:sz w:val="20"/>
                <w:szCs w:val="20"/>
                <w:lang w:val="en-US"/>
              </w:rPr>
            </w:pPr>
            <w:r w:rsidRPr="00F82985">
              <w:rPr>
                <w:color w:val="000000"/>
                <w:sz w:val="20"/>
                <w:szCs w:val="20"/>
                <w:lang w:val="en-US"/>
              </w:rPr>
              <w:t>400</w:t>
            </w:r>
          </w:p>
        </w:tc>
        <w:tc>
          <w:tcPr>
            <w:tcW w:w="3260" w:type="dxa"/>
            <w:shd w:val="clear" w:color="auto" w:fill="auto"/>
            <w:noWrap/>
            <w:vAlign w:val="bottom"/>
          </w:tcPr>
          <w:p w14:paraId="390FD46F" w14:textId="02ACF269" w:rsidR="00E26B06" w:rsidRPr="00463272" w:rsidRDefault="00B3136C" w:rsidP="003B76E2">
            <w:pPr>
              <w:jc w:val="both"/>
              <w:rPr>
                <w:color w:val="000000"/>
                <w:sz w:val="20"/>
                <w:szCs w:val="20"/>
              </w:rPr>
            </w:pPr>
            <w:r>
              <w:rPr>
                <w:color w:val="000000"/>
                <w:sz w:val="20"/>
                <w:szCs w:val="20"/>
                <w:lang w:val="en-US"/>
              </w:rPr>
              <w:t xml:space="preserve">INFLUX: </w:t>
            </w:r>
            <w:r w:rsidRPr="00F82985">
              <w:rPr>
                <w:color w:val="000000"/>
                <w:sz w:val="20"/>
                <w:szCs w:val="20"/>
                <w:lang w:val="en-US"/>
              </w:rPr>
              <w:t>OATP1B1, OATP1B3, OATP2B1 (human; K</w:t>
            </w:r>
            <w:r w:rsidRPr="00A31749">
              <w:rPr>
                <w:color w:val="000000"/>
                <w:sz w:val="20"/>
                <w:szCs w:val="20"/>
                <w:vertAlign w:val="subscript"/>
                <w:lang w:val="en-US"/>
              </w:rPr>
              <w:t>m</w:t>
            </w:r>
            <w:r w:rsidRPr="00F82985">
              <w:rPr>
                <w:color w:val="000000"/>
                <w:sz w:val="20"/>
                <w:szCs w:val="20"/>
                <w:lang w:val="en-US"/>
              </w:rPr>
              <w:t>= 0-90 µM)</w:t>
            </w:r>
            <w:r w:rsidRPr="00F82985">
              <w:rPr>
                <w:color w:val="000000"/>
                <w:sz w:val="20"/>
                <w:szCs w:val="20"/>
                <w:lang w:val="en-US"/>
              </w:rPr>
              <w:fldChar w:fldCharType="begin" w:fldLock="1"/>
            </w:r>
            <w:r w:rsidR="00E26B06">
              <w:rPr>
                <w:color w:val="000000"/>
                <w:sz w:val="20"/>
                <w:szCs w:val="20"/>
                <w:lang w:val="en-US"/>
              </w:rPr>
              <w:instrText>ADDIN CSL_CITATION {"citationItems":[{"id":"ITEM-1","itemData":{"ISSN":"1613-4125","author":[{"dropping-particle":"","family":"Riha","given":"Juliane","non-dropping-particle":"","parse-names":false,"suffix":""},{"dropping-particle":"","family":"Brenner","given":"Stefan","non-dropping-particle":"","parse-names":false,"suffix":""},{"dropping-particle":"","family":"Böhmdorfer","given":"Michaela","non-dropping-particle":"","parse-names":false,"suffix":""},{"dropping-particle":"","family":"Giessrigl","given":"Benedikt","non-dropping-particle":"","parse-names":false,"suffix":""},{"dropping-particle":"","family":"Pignitter","given":"Marc","non-dropping-particle":"","parse-names":false,"suffix":""},{"dropping-particle":"","family":"Schueller","given":"Katharina","non-dropping-particle":"","parse-names":false,"suffix":""},{"dropping-particle":"","family":"Thalhammer","given":"Theresia","non-dropping-particle":"","parse-names":false,"suffix":""},{"dropping-particle":"","family":"Stieger","given":"Bruno","non-dropping-particle":"","parse-names":false,"suffix":""},{"dropping-particle":"","family":"Somoza","given":"Veronika","non-dropping-particle":"","parse-names":false,"suffix":""},{"dropping-particle":"","family":"Szekeres","given":"Thomas","non-dropping-particle":"","parse-names":false,"suffix":""}],"container-title":"Molecular nutrition &amp; food research","id":"ITEM-1","issue":"9","issued":{"date-parts":[["2014"]]},"page":"1830-1842","publisher":"Wiley Online Library","title":"Resveratrol and its major sulfated conjugates are substrates of organic anion transporting polypeptides (OATPs): Impact on growth of ZR‐75‐1 breast cancer cells","type":"article-journal","volume":"58"},"uris":["http://www.mendeley.com/documents/?uuid=2640f082-dfbc-43dd-b9ae-d3078f815003"]}],"mendeley":{"formattedCitation":"[55]","plainTextFormattedCitation":"[55]","previouslyFormattedCitation":"[55]"},"properties":{"noteIndex":0},"schema":"https://github.com/citation-style-language/schema/raw/master/csl-citation.json"}</w:instrText>
            </w:r>
            <w:r w:rsidRPr="00F82985">
              <w:rPr>
                <w:color w:val="000000"/>
                <w:sz w:val="20"/>
                <w:szCs w:val="20"/>
                <w:lang w:val="en-US"/>
              </w:rPr>
              <w:fldChar w:fldCharType="separate"/>
            </w:r>
            <w:r w:rsidR="00D82436" w:rsidRPr="00D82436">
              <w:rPr>
                <w:noProof/>
                <w:color w:val="000000"/>
                <w:sz w:val="20"/>
                <w:szCs w:val="20"/>
                <w:lang w:val="en-US"/>
              </w:rPr>
              <w:t>[55]</w:t>
            </w:r>
            <w:r w:rsidRPr="00F82985">
              <w:rPr>
                <w:color w:val="000000"/>
                <w:sz w:val="20"/>
                <w:szCs w:val="20"/>
                <w:lang w:val="en-US"/>
              </w:rPr>
              <w:fldChar w:fldCharType="end"/>
            </w:r>
            <w:r w:rsidR="00E26B06">
              <w:rPr>
                <w:color w:val="000000"/>
                <w:sz w:val="20"/>
                <w:szCs w:val="20"/>
                <w:lang w:val="en-US"/>
              </w:rPr>
              <w:t xml:space="preserve">.  Not BTL </w:t>
            </w:r>
            <w:r w:rsidR="00E26B06">
              <w:rPr>
                <w:color w:val="000000"/>
                <w:sz w:val="20"/>
                <w:szCs w:val="20"/>
                <w:lang w:val="en-US"/>
              </w:rPr>
              <w:fldChar w:fldCharType="begin" w:fldLock="1"/>
            </w:r>
            <w:r w:rsidR="00A003A9">
              <w:rPr>
                <w:color w:val="000000"/>
                <w:sz w:val="20"/>
                <w:szCs w:val="20"/>
                <w:lang w:val="en-US"/>
              </w:rPr>
              <w:instrText>ADDIN CSL_CITATION {"citationItems":[{"id":"ITEM-1","itemData":{"DOI":"10.1016/j.aca.2011.07.004","ISSN":"1873-4324 (Electronic)","PMID":"21962375","abstract":"The transport activity of a membrane protein, bilitranslocase (T.C. # 2.A.65.1.1), which acts as a transporter of bilirubin from blood to liver cells, was experimentally determined for a large set of various endogenous compounds, drugs, purine and pyrimidine derivatives. On these grounds, the structure-activity models were developed following the OECD principles of QSAR models and their predictive ability for new chemicals was evaluated. The applicability domain of the models was estimated by Euclidean distances criteria according to the applied modeling method. The selection of the most influential structural variables was an important stage in the adopted modeling methodology. The interpretation of selected variables was performed in order to get an insight into the mechanism of transport through the cell membrane via bilitranslocase. Validation of the optimized models was performed by a previously determined validation set. The classification model was build to separate active from inactive compounds. The resulting accuracy, sensitivity, and specificity were 0.73, 0.89, and 0.64, respectively. Only active compounds were used to develop a predictive model for bilitranslocase inhibition constants. The model showed good predictive ability; Root Mean Squared error of the validation set, RMS(V)=0.29 log units.","author":[{"dropping-particle":"","family":"Zuperl","given":"Spela","non-dropping-particle":"","parse-names":false,"suffix":""},{"dropping-particle":"","family":"Fornasaro","given":"Stefano","non-dropping-particle":"","parse-names":false,"suffix":""},{"dropping-particle":"","family":"Novic","given":"Marjana","non-dropping-particle":"","parse-names":false,"suffix":""},{"dropping-particle":"","family":"Passamonti","given":"Sabina","non-dropping-particle":"","parse-names":false,"suffix":""}],"container-title":"Analytica chimica acta","id":"ITEM-1","issue":"1-2","issued":{"date-parts":[["2011","10"]]},"language":"eng","page":"322-333","publisher-place":"Netherlands","title":"Experimental determination and prediction of bilitranslocase transport activity.","type":"article-journal","volume":"705"},"uris":["http://www.mendeley.com/documents/?uuid=449fdc25-b67c-49a6-8c8a-cc1349e02422"]}],"mendeley":{"formattedCitation":"[5]","plainTextFormattedCitation":"[5]","previouslyFormattedCitation":"[5]"},"properties":{"noteIndex":0},"schema":"https://github.com/citation-style-language/schema/raw/master/csl-citation.json"}</w:instrText>
            </w:r>
            <w:r w:rsidR="00E26B06">
              <w:rPr>
                <w:color w:val="000000"/>
                <w:sz w:val="20"/>
                <w:szCs w:val="20"/>
                <w:lang w:val="en-US"/>
              </w:rPr>
              <w:fldChar w:fldCharType="separate"/>
            </w:r>
            <w:r w:rsidR="00E26B06" w:rsidRPr="00E26B06">
              <w:rPr>
                <w:noProof/>
                <w:color w:val="000000"/>
                <w:sz w:val="20"/>
                <w:szCs w:val="20"/>
                <w:lang w:val="en-US"/>
              </w:rPr>
              <w:t>[5]</w:t>
            </w:r>
            <w:r w:rsidR="00E26B06">
              <w:rPr>
                <w:color w:val="000000"/>
                <w:sz w:val="20"/>
                <w:szCs w:val="20"/>
                <w:lang w:val="en-US"/>
              </w:rPr>
              <w:fldChar w:fldCharType="end"/>
            </w:r>
            <w:r w:rsidR="00E26B06">
              <w:rPr>
                <w:color w:val="000000"/>
                <w:sz w:val="20"/>
                <w:szCs w:val="20"/>
                <w:lang w:val="en-US"/>
              </w:rPr>
              <w:t>.</w:t>
            </w:r>
          </w:p>
          <w:p w14:paraId="16984EAD" w14:textId="2F5578D2" w:rsidR="00B3136C" w:rsidRPr="00E26B06" w:rsidRDefault="00B3136C" w:rsidP="003B76E2">
            <w:pPr>
              <w:jc w:val="both"/>
              <w:rPr>
                <w:color w:val="000000"/>
                <w:sz w:val="20"/>
                <w:szCs w:val="20"/>
                <w:lang w:val="en-US"/>
              </w:rPr>
            </w:pPr>
            <w:r>
              <w:rPr>
                <w:color w:val="000000"/>
                <w:sz w:val="20"/>
                <w:szCs w:val="20"/>
                <w:lang w:val="en-US"/>
              </w:rPr>
              <w:t xml:space="preserve">EFFLUX: </w:t>
            </w:r>
            <w:r w:rsidRPr="00F82985">
              <w:rPr>
                <w:color w:val="000000"/>
                <w:sz w:val="20"/>
                <w:szCs w:val="20"/>
                <w:lang w:val="en-US"/>
              </w:rPr>
              <w:t xml:space="preserve">Mrp3 (not a substrate, unless conjugated) </w:t>
            </w:r>
            <w:r w:rsidRPr="00F82985">
              <w:rPr>
                <w:color w:val="000000"/>
                <w:sz w:val="20"/>
                <w:szCs w:val="20"/>
                <w:lang w:val="en-US"/>
              </w:rPr>
              <w:fldChar w:fldCharType="begin" w:fldLock="1"/>
            </w:r>
            <w:r w:rsidR="00E26B06">
              <w:rPr>
                <w:color w:val="000000"/>
                <w:sz w:val="20"/>
                <w:szCs w:val="20"/>
                <w:lang w:val="en-US"/>
              </w:rPr>
              <w:instrText>ADDIN CSL_CITATION {"citationItems":[{"id":"ITEM-1","itemData":{"DOI":"10.1124/mol.108.052019","ISSN":"1521-0111 (Electronic)","PMID":"19114588","abstract":"The phytoestrogen resveratrol has putative health-promoting effects and is present  in several dietary constituents. Resveratrol is metabolized extensively in the gut epithelium, resulting in the formation of hydrophilic glucuronic acid and sulfate conjugates. These polar resveratrol conjugates need specific transporters to cross the cell membrane. We show here that vectorial transport of some of these metabolites is mediated by multidrug resistance protein 3 (MRP3, ABCC3) and/or breast cancer resistance protein (BCRP, ABCG2) located in the basolateral and apical membranes of enterocytes, respectively. In vitro, MRP3 transports resveratrol-glucuronide (Res-3-G). The absence of Mrp3 in mice results in altered disposition of Res-3-G and its parent compound resveratrol, leading to a reduced percentage of resveratrol being excreted via the urine in Mrp3(-/-) mice. Circumstantial evidence suggests that circulating resveratrol is formed by deglucuronidating Res-3-G in vivo, providing a possible explanation for the health beneficial effects of resveratrol in vivo, despite its rapid and extensive conjugation. BCRP transports Res-3-G and resveratrol sulfates in vitro, and its absence in mice results in high plasma levels of resveratrol-di-sulfate, a resveratrol metabolite hardly detectable in the plasma of wild-type mice and in an increased disposal of resveratrol via the urine. The profound effects of ATP-binding cassette transporters on the disposal of resveratrol may be representative for the handling of several other polyphenols of dietary origin.","author":[{"dropping-particle":"","family":"Wetering","given":"Koen","non-dropping-particle":"van de","parse-names":false,"suffix":""},{"dropping-particle":"","family":"Burkon","given":"Alexander","non-dropping-particle":"","parse-names":false,"suffix":""},{"dropping-particle":"","family":"Feddema","given":"Wouter","non-dropping-particle":"","parse-names":false,"suffix":""},{"dropping-particle":"","family":"Bot","given":"Alice","non-dropping-particle":"","parse-names":false,"suffix":""},{"dropping-particle":"","family":"Jonge","given":"Hugo","non-dropping-particle":"de","parse-names":false,"suffix":""},{"dropping-particle":"","family":"Somoza","given":"Veronika","non-dropping-particle":"","parse-names":false,"suffix":""},{"dropping-particle":"","family":"Borst","given":"Piet","non-dropping-particle":"","parse-names":false,"suffix":""}],"container-title":"Molecular pharmacology","id":"ITEM-1","issue":"4","issued":{"date-parts":[["2009","4"]]},"language":"eng","page":"876-885","publisher-place":"United States","title":"Intestinal breast cancer resistance protein (BCRP)/Bcrp1 and multidrug resistance  protein 3 (MRP3)/Mrp3 are involved in the pharmacokinetics of resveratrol.","type":"article-journal","volume":"75"},"uris":["http://www.mendeley.com/documents/?uuid=356ea850-7de8-4175-8c7a-da716d2e2e19"]}],"mendeley":{"formattedCitation":"[56]","plainTextFormattedCitation":"[56]","previouslyFormattedCitation":"[56]"},"properties":{"noteIndex":0},"schema":"https://github.com/citation-style-language/schema/raw/master/csl-citation.json"}</w:instrText>
            </w:r>
            <w:r w:rsidRPr="00F82985">
              <w:rPr>
                <w:color w:val="000000"/>
                <w:sz w:val="20"/>
                <w:szCs w:val="20"/>
                <w:lang w:val="en-US"/>
              </w:rPr>
              <w:fldChar w:fldCharType="separate"/>
            </w:r>
            <w:r w:rsidR="00D82436" w:rsidRPr="00D82436">
              <w:rPr>
                <w:noProof/>
                <w:color w:val="000000"/>
                <w:sz w:val="20"/>
                <w:szCs w:val="20"/>
                <w:lang w:val="en-US"/>
              </w:rPr>
              <w:t>[56]</w:t>
            </w:r>
            <w:r w:rsidRPr="00F82985">
              <w:rPr>
                <w:color w:val="000000"/>
                <w:sz w:val="20"/>
                <w:szCs w:val="20"/>
                <w:lang w:val="en-US"/>
              </w:rPr>
              <w:fldChar w:fldCharType="end"/>
            </w:r>
          </w:p>
        </w:tc>
        <w:tc>
          <w:tcPr>
            <w:tcW w:w="1984" w:type="dxa"/>
            <w:shd w:val="clear" w:color="auto" w:fill="auto"/>
            <w:noWrap/>
            <w:vAlign w:val="bottom"/>
          </w:tcPr>
          <w:p w14:paraId="6C0EF38C" w14:textId="77777777" w:rsidR="00B3136C" w:rsidRPr="00E77EEB" w:rsidRDefault="00B3136C" w:rsidP="003B76E2">
            <w:pPr>
              <w:jc w:val="both"/>
              <w:rPr>
                <w:color w:val="000000"/>
                <w:sz w:val="20"/>
                <w:szCs w:val="20"/>
                <w:highlight w:val="yellow"/>
                <w:lang w:val="en-US"/>
              </w:rPr>
            </w:pPr>
            <w:r w:rsidRPr="00F82985">
              <w:rPr>
                <w:color w:val="000000"/>
                <w:sz w:val="20"/>
                <w:szCs w:val="20"/>
                <w:lang w:val="en-US"/>
              </w:rPr>
              <w:t>Unknown</w:t>
            </w:r>
            <w:r>
              <w:rPr>
                <w:color w:val="000000"/>
                <w:sz w:val="20"/>
                <w:szCs w:val="20"/>
                <w:lang w:val="en-US"/>
              </w:rPr>
              <w:t xml:space="preserve"> </w:t>
            </w:r>
          </w:p>
        </w:tc>
      </w:tr>
      <w:tr w:rsidR="00B3136C" w:rsidRPr="008705A2" w14:paraId="2D106C6E" w14:textId="77777777" w:rsidTr="00573A04">
        <w:trPr>
          <w:trHeight w:val="300"/>
        </w:trPr>
        <w:tc>
          <w:tcPr>
            <w:tcW w:w="1413" w:type="dxa"/>
            <w:shd w:val="clear" w:color="auto" w:fill="auto"/>
            <w:noWrap/>
            <w:vAlign w:val="bottom"/>
          </w:tcPr>
          <w:p w14:paraId="302EED2A" w14:textId="77777777" w:rsidR="00B3136C" w:rsidRPr="00335343" w:rsidRDefault="00B3136C" w:rsidP="003B76E2">
            <w:pPr>
              <w:jc w:val="both"/>
              <w:rPr>
                <w:color w:val="000000"/>
                <w:sz w:val="20"/>
                <w:szCs w:val="20"/>
                <w:lang w:val="en-US"/>
              </w:rPr>
            </w:pPr>
            <w:r w:rsidRPr="00335343">
              <w:rPr>
                <w:color w:val="000000"/>
                <w:sz w:val="20"/>
                <w:szCs w:val="20"/>
                <w:lang w:val="en-US"/>
              </w:rPr>
              <w:t>Taurocholate</w:t>
            </w:r>
          </w:p>
          <w:p w14:paraId="134D2B98" w14:textId="77777777" w:rsidR="00B3136C" w:rsidRPr="00335343" w:rsidRDefault="00B3136C" w:rsidP="003B76E2">
            <w:pPr>
              <w:jc w:val="both"/>
              <w:rPr>
                <w:color w:val="000000"/>
                <w:sz w:val="20"/>
                <w:szCs w:val="20"/>
                <w:lang w:val="en-US"/>
              </w:rPr>
            </w:pPr>
            <w:r w:rsidRPr="00335343">
              <w:rPr>
                <w:color w:val="000000"/>
                <w:sz w:val="20"/>
                <w:szCs w:val="20"/>
                <w:lang w:val="en-US"/>
              </w:rPr>
              <w:t>CHEBI:36257</w:t>
            </w:r>
          </w:p>
        </w:tc>
        <w:tc>
          <w:tcPr>
            <w:tcW w:w="1276" w:type="dxa"/>
            <w:shd w:val="clear" w:color="auto" w:fill="auto"/>
            <w:noWrap/>
            <w:vAlign w:val="bottom"/>
          </w:tcPr>
          <w:p w14:paraId="128E16B3" w14:textId="77777777" w:rsidR="00B3136C" w:rsidRPr="00335343" w:rsidRDefault="00B3136C" w:rsidP="003B76E2">
            <w:pPr>
              <w:jc w:val="both"/>
              <w:rPr>
                <w:color w:val="000000"/>
                <w:sz w:val="20"/>
                <w:szCs w:val="20"/>
                <w:lang w:val="en-US"/>
              </w:rPr>
            </w:pPr>
            <w:r w:rsidRPr="00335343">
              <w:rPr>
                <w:color w:val="000000"/>
                <w:sz w:val="20"/>
                <w:szCs w:val="20"/>
                <w:lang w:val="en-US"/>
              </w:rPr>
              <w:t>0.2-2</w:t>
            </w:r>
          </w:p>
        </w:tc>
        <w:tc>
          <w:tcPr>
            <w:tcW w:w="992" w:type="dxa"/>
            <w:shd w:val="clear" w:color="auto" w:fill="auto"/>
            <w:noWrap/>
            <w:vAlign w:val="bottom"/>
          </w:tcPr>
          <w:p w14:paraId="70099882" w14:textId="77777777" w:rsidR="00B3136C" w:rsidRPr="00335343" w:rsidRDefault="00B3136C" w:rsidP="003B76E2">
            <w:pPr>
              <w:jc w:val="both"/>
              <w:rPr>
                <w:color w:val="000000"/>
                <w:sz w:val="20"/>
                <w:szCs w:val="20"/>
                <w:lang w:val="en-US"/>
              </w:rPr>
            </w:pPr>
            <w:r w:rsidRPr="00335343">
              <w:rPr>
                <w:color w:val="000000"/>
                <w:sz w:val="20"/>
                <w:szCs w:val="20"/>
                <w:lang w:val="en-US"/>
              </w:rPr>
              <w:t>40-400</w:t>
            </w:r>
          </w:p>
        </w:tc>
        <w:tc>
          <w:tcPr>
            <w:tcW w:w="3260" w:type="dxa"/>
            <w:shd w:val="clear" w:color="auto" w:fill="auto"/>
            <w:noWrap/>
            <w:vAlign w:val="bottom"/>
          </w:tcPr>
          <w:p w14:paraId="3B2C9801" w14:textId="27DFF51C" w:rsidR="00B3136C" w:rsidRDefault="00B3136C" w:rsidP="003B76E2">
            <w:pPr>
              <w:jc w:val="both"/>
              <w:rPr>
                <w:color w:val="000000"/>
                <w:sz w:val="20"/>
                <w:szCs w:val="20"/>
              </w:rPr>
            </w:pPr>
            <w:r>
              <w:rPr>
                <w:color w:val="000000"/>
                <w:sz w:val="20"/>
                <w:szCs w:val="20"/>
                <w:lang w:val="en-US"/>
              </w:rPr>
              <w:t xml:space="preserve">INFLUX: </w:t>
            </w:r>
            <w:proofErr w:type="spellStart"/>
            <w:r w:rsidRPr="008705A2">
              <w:rPr>
                <w:color w:val="000000"/>
                <w:sz w:val="20"/>
                <w:szCs w:val="20"/>
                <w:lang w:val="en-US"/>
              </w:rPr>
              <w:t>Ntcp</w:t>
            </w:r>
            <w:proofErr w:type="spellEnd"/>
            <w:r w:rsidRPr="008705A2">
              <w:rPr>
                <w:color w:val="000000"/>
                <w:sz w:val="20"/>
                <w:szCs w:val="20"/>
                <w:lang w:val="en-US"/>
              </w:rPr>
              <w:t xml:space="preserve"> (</w:t>
            </w:r>
            <w:r w:rsidRPr="00F82985">
              <w:rPr>
                <w:color w:val="000000"/>
                <w:sz w:val="20"/>
                <w:szCs w:val="20"/>
                <w:lang w:val="en-US"/>
              </w:rPr>
              <w:t>K</w:t>
            </w:r>
            <w:r w:rsidRPr="00A31749">
              <w:rPr>
                <w:color w:val="000000"/>
                <w:sz w:val="20"/>
                <w:szCs w:val="20"/>
                <w:vertAlign w:val="subscript"/>
                <w:lang w:val="en-US"/>
              </w:rPr>
              <w:t>m</w:t>
            </w:r>
            <w:r w:rsidRPr="00F82985">
              <w:rPr>
                <w:color w:val="000000"/>
                <w:sz w:val="20"/>
                <w:szCs w:val="20"/>
                <w:lang w:val="en-US"/>
              </w:rPr>
              <w:t>=</w:t>
            </w:r>
            <w:r w:rsidRPr="008705A2">
              <w:rPr>
                <w:color w:val="000000"/>
                <w:sz w:val="20"/>
                <w:szCs w:val="20"/>
                <w:lang w:val="en-US"/>
              </w:rPr>
              <w:t>10.5 µM) and Oat</w:t>
            </w:r>
            <w:r>
              <w:rPr>
                <w:color w:val="000000"/>
                <w:sz w:val="20"/>
                <w:szCs w:val="20"/>
                <w:lang w:val="en-US"/>
              </w:rPr>
              <w:t>p1 (</w:t>
            </w:r>
            <w:r w:rsidRPr="00F82985">
              <w:rPr>
                <w:color w:val="000000"/>
                <w:sz w:val="20"/>
                <w:szCs w:val="20"/>
                <w:lang w:val="en-US"/>
              </w:rPr>
              <w:t>K</w:t>
            </w:r>
            <w:r w:rsidRPr="00A31749">
              <w:rPr>
                <w:color w:val="000000"/>
                <w:sz w:val="20"/>
                <w:szCs w:val="20"/>
                <w:vertAlign w:val="subscript"/>
                <w:lang w:val="en-US"/>
              </w:rPr>
              <w:t>m</w:t>
            </w:r>
            <w:r w:rsidRPr="00F82985">
              <w:rPr>
                <w:color w:val="000000"/>
                <w:sz w:val="20"/>
                <w:szCs w:val="20"/>
                <w:lang w:val="en-US"/>
              </w:rPr>
              <w:t>=</w:t>
            </w:r>
            <w:r>
              <w:rPr>
                <w:color w:val="000000"/>
                <w:sz w:val="20"/>
                <w:szCs w:val="20"/>
                <w:lang w:val="en-US"/>
              </w:rPr>
              <w:t xml:space="preserve">19.4 µM) </w:t>
            </w:r>
            <w:r w:rsidRPr="008705A2">
              <w:rPr>
                <w:color w:val="000000"/>
                <w:sz w:val="20"/>
                <w:szCs w:val="20"/>
              </w:rPr>
              <w:fldChar w:fldCharType="begin" w:fldLock="1"/>
            </w:r>
            <w:r w:rsidR="00E26B06">
              <w:rPr>
                <w:color w:val="000000"/>
                <w:sz w:val="20"/>
                <w:szCs w:val="20"/>
                <w:lang w:val="en-US"/>
              </w:rPr>
              <w:instrText>ADDIN CSL_CITATION {"citationItems":[{"id":"ITEM-1","itemData":{"DOI":"10.1152/ajpgi.00352.2002","ISSN":"0193-1857","author":[{"dropping-particle":"","family":"Hata","given":"Soichiro","non-dropping-particle":"","parse-names":false,"suffix":""},{"dropping-particle":"","family":"Wang","given":"Pijun","non-dropping-particle":"","parse-names":false,"suffix":""},{"dropping-particle":"","family":"Eftychiou","given":"Nicole","non-dropping-particle":"","parse-names":false,"suffix":""},{"dropping-particle":"","family":"Ananthanarayanan","given":"Meenakshisundaram","non-dropping-particle":"","parse-names":false,"suffix":""},{"dropping-particle":"","family":"Batta","given":"Ashok","non-dropping-particle":"","parse-names":false,"suffix":""},{"dropping-particle":"","family":"Salen","given":"Gerald","non-dropping-particle":"","parse-names":false,"suffix":""},{"dropping-particle":"","family":"Pang","given":"K Sandy","non-dropping-particle":"","parse-names":false,"suffix":""},{"dropping-particle":"","family":"Wolkoff","given":"Allan W","non-dropping-particle":"","parse-names":false,"suffix":""}],"container-title":"American Journal of Physiology-Gastrointestinal and Liver Physiology","id":"ITEM-1","issue":"5","issued":{"date-parts":[["2003"]]},"page":"G829-G839","publisher":"American Physiological Society","title":"Substrate specificities of rat oatp1 and ntcp: implications for hepatic organic anion uptake","type":"article-journal","volume":"285"},"uris":["http://www.mendeley.com/documents/?uuid=e4662eb5-c3c0-4631-b194-8d83b7d66080"]}],"mendeley":{"formattedCitation":"[57]","plainTextFormattedCitation":"[57]","previouslyFormattedCitation":"[57]"},"properties":{"noteIndex":0},"schema":"https://github.com/citation-style-language/schema/raw/master/csl-citation.json"}</w:instrText>
            </w:r>
            <w:r w:rsidRPr="008705A2">
              <w:rPr>
                <w:color w:val="000000"/>
                <w:sz w:val="20"/>
                <w:szCs w:val="20"/>
              </w:rPr>
              <w:fldChar w:fldCharType="separate"/>
            </w:r>
            <w:r w:rsidR="00D82436" w:rsidRPr="00D82436">
              <w:rPr>
                <w:noProof/>
                <w:color w:val="000000"/>
                <w:sz w:val="20"/>
                <w:szCs w:val="20"/>
                <w:lang w:val="en-US"/>
              </w:rPr>
              <w:t>[57]</w:t>
            </w:r>
            <w:r w:rsidRPr="008705A2">
              <w:rPr>
                <w:color w:val="000000"/>
                <w:sz w:val="20"/>
                <w:szCs w:val="20"/>
              </w:rPr>
              <w:fldChar w:fldCharType="end"/>
            </w:r>
            <w:r w:rsidRPr="008705A2">
              <w:rPr>
                <w:color w:val="000000"/>
                <w:sz w:val="20"/>
                <w:szCs w:val="20"/>
                <w:lang w:val="en-US"/>
              </w:rPr>
              <w:t>; OST</w:t>
            </w:r>
            <w:r w:rsidRPr="00F82985">
              <w:rPr>
                <w:color w:val="000000"/>
                <w:sz w:val="20"/>
                <w:szCs w:val="20"/>
              </w:rPr>
              <w:sym w:font="Symbol" w:char="F061"/>
            </w:r>
            <w:r w:rsidRPr="008705A2">
              <w:rPr>
                <w:color w:val="000000"/>
                <w:sz w:val="20"/>
                <w:szCs w:val="20"/>
                <w:lang w:val="en-US"/>
              </w:rPr>
              <w:t>-OST</w:t>
            </w:r>
            <w:r w:rsidRPr="00F82985">
              <w:rPr>
                <w:color w:val="000000"/>
                <w:sz w:val="20"/>
                <w:szCs w:val="20"/>
              </w:rPr>
              <w:sym w:font="Symbol" w:char="F062"/>
            </w:r>
            <w:r w:rsidRPr="008705A2">
              <w:rPr>
                <w:color w:val="000000"/>
                <w:sz w:val="20"/>
                <w:szCs w:val="20"/>
                <w:lang w:val="en-US"/>
              </w:rPr>
              <w:t xml:space="preserve"> (Slc51)</w:t>
            </w:r>
            <w:r>
              <w:rPr>
                <w:color w:val="000000"/>
                <w:sz w:val="20"/>
                <w:szCs w:val="20"/>
                <w:lang w:val="en-US"/>
              </w:rPr>
              <w:t xml:space="preserve"> (&gt;10 mM)</w:t>
            </w:r>
            <w:r w:rsidRPr="008705A2">
              <w:rPr>
                <w:color w:val="000000"/>
                <w:sz w:val="20"/>
                <w:szCs w:val="20"/>
                <w:lang w:val="en-US"/>
              </w:rPr>
              <w:t xml:space="preserve"> </w:t>
            </w:r>
            <w:r>
              <w:rPr>
                <w:color w:val="000000"/>
                <w:sz w:val="20"/>
                <w:szCs w:val="20"/>
                <w:lang w:val="en-US"/>
              </w:rPr>
              <w:fldChar w:fldCharType="begin" w:fldLock="1"/>
            </w:r>
            <w:r w:rsidR="00E26B06">
              <w:rPr>
                <w:color w:val="000000"/>
                <w:sz w:val="20"/>
                <w:szCs w:val="20"/>
                <w:lang w:val="en-US"/>
              </w:rPr>
              <w:instrText>ADDIN CSL_CITATION {"citationItems":[{"id":"ITEM-1","itemData":{"DOI":"https://doi.org/10.1016/j.bbamem.2019.03.003","ISSN":"0005-2736","abstract":"Bile acids are biosynthesized from cholesterol in hepatocytes and usually localize in the enterohepatic circulation system. This system is regulated by several transporters that are expressed in the liver and intestine. Organic solute transporter (OST) α/β, which is known as a bidirectional transporter for some organic anions, contributes to the transport of bile acids; however, the transport properties of individual bile acids are not well understood. In this study, we investigated the transport properties of five bile acids (cholic acid [CA], chenodeoxycholic acid [CDCA], deoxycholic acid [DCA], ursodeoxycholic acid [UDCA], and lithocholic acid [LCA]) together with their glycine and taurine conjugates mediated by OSTα/β. Of the unconjugated bile acids, CA, CDCA, DCA, and LCA were taken up by OSTαβ/MDCKII cells more rapidly than mock cells, but no significant increase in the uptake of UDCA was observed. On the contrary, all glycine- and taurine-conjugated bile acids showed a significant increase in the uptake by OSTαβ/MDCKII cells. Saturable OSTα/β-mediated transports of CDCA, DCA, glycochenodeoxycholic acid (GCDCA), glycodeoxycholic acid (GDCA), glycolithocholic acid (GLCA), taurochenodeoxycholic acid (TCDCA), and taurolithocholic acid (TLCA) were observed. The apparent Michaelis constants of CDCA, DCA, GCDCA, GDCA, GLCA, TCDCA, and TLCA for OSTα/β were 23.0 ± 4.0, 14.9 ± 1.9, 864.2 ± 80.7, 586.4 ± 43.2, 12.8 ± 0.5, 723.7 ± 4.8, and 23.9 ± 0.3 μM, respectively. However, the transport of other bile acids was not saturable. Our results indicate that OSTα/β has a low affinity but a high capacity for transporting bile acids.","author":[{"dropping-particle":"","family":"Suga","given":"Takahiro","non-dropping-particle":"","parse-names":false,"suffix":""},{"dropping-particle":"","family":"Yamaguchi","given":"Hiroaki","non-dropping-particle":"","parse-names":false,"suffix":""},{"dropping-particle":"","family":"Ogura","given":"Jiro","non-dropping-particle":"","parse-names":false,"suffix":""},{"dropping-particle":"","family":"Mano","given":"Nariyasu","non-dropping-particle":"","parse-names":false,"suffix":""}],"container-title":"Biochimica et Biophysica Acta (BBA) - Biomembranes","id":"ITEM-1","issue":"5","issued":{"date-parts":[["2019"]]},"page":"1023-1029","title":"Characterization of conjugated and unconjugated bile acid transport via human organic solute transporter α/β","type":"article-journal","volume":"1861"},"uris":["http://www.mendeley.com/documents/?uuid=08caf920-90ea-478f-b0c9-23a86cfd4c92"]}],"mendeley":{"formattedCitation":"[58]","plainTextFormattedCitation":"[58]","previouslyFormattedCitation":"[58]"},"properties":{"noteIndex":0},"schema":"https://github.com/citation-style-language/schema/raw/master/csl-citation.json"}</w:instrText>
            </w:r>
            <w:r>
              <w:rPr>
                <w:color w:val="000000"/>
                <w:sz w:val="20"/>
                <w:szCs w:val="20"/>
                <w:lang w:val="en-US"/>
              </w:rPr>
              <w:fldChar w:fldCharType="separate"/>
            </w:r>
            <w:r w:rsidR="00D82436" w:rsidRPr="00D82436">
              <w:rPr>
                <w:noProof/>
                <w:color w:val="000000"/>
                <w:sz w:val="20"/>
                <w:szCs w:val="20"/>
              </w:rPr>
              <w:t>[58]</w:t>
            </w:r>
            <w:r>
              <w:rPr>
                <w:color w:val="000000"/>
                <w:sz w:val="20"/>
                <w:szCs w:val="20"/>
                <w:lang w:val="en-US"/>
              </w:rPr>
              <w:fldChar w:fldCharType="end"/>
            </w:r>
            <w:r w:rsidR="00E26B06">
              <w:rPr>
                <w:color w:val="000000"/>
                <w:sz w:val="20"/>
                <w:szCs w:val="20"/>
                <w:lang w:val="en-US"/>
              </w:rPr>
              <w:t xml:space="preserve">.  Not BTL </w:t>
            </w:r>
            <w:r w:rsidR="00E26B06">
              <w:rPr>
                <w:color w:val="000000"/>
                <w:sz w:val="20"/>
                <w:szCs w:val="20"/>
                <w:lang w:val="en-US"/>
              </w:rPr>
              <w:fldChar w:fldCharType="begin" w:fldLock="1"/>
            </w:r>
            <w:r w:rsidR="00A003A9">
              <w:rPr>
                <w:color w:val="000000"/>
                <w:sz w:val="20"/>
                <w:szCs w:val="20"/>
                <w:lang w:val="en-US"/>
              </w:rPr>
              <w:instrText>ADDIN CSL_CITATION {"citationItems":[{"id":"ITEM-1","itemData":{"DOI":"10.1016/j.aca.2011.07.004","ISSN":"1873-4324 (Electronic)","PMID":"21962375","abstract":"The transport activity of a membrane protein, bilitranslocase (T.C. # 2.A.65.1.1), which acts as a transporter of bilirubin from blood to liver cells, was experimentally determined for a large set of various endogenous compounds, drugs, purine and pyrimidine derivatives. On these grounds, the structure-activity models were developed following the OECD principles of QSAR models and their predictive ability for new chemicals was evaluated. The applicability domain of the models was estimated by Euclidean distances criteria according to the applied modeling method. The selection of the most influential structural variables was an important stage in the adopted modeling methodology. The interpretation of selected variables was performed in order to get an insight into the mechanism of transport through the cell membrane via bilitranslocase. Validation of the optimized models was performed by a previously determined validation set. The classification model was build to separate active from inactive compounds. The resulting accuracy, sensitivity, and specificity were 0.73, 0.89, and 0.64, respectively. Only active compounds were used to develop a predictive model for bilitranslocase inhibition constants. The model showed good predictive ability; Root Mean Squared error of the validation set, RMS(V)=0.29 log units.","author":[{"dropping-particle":"","family":"Zuperl","given":"Spela","non-dropping-particle":"","parse-names":false,"suffix":""},{"dropping-particle":"","family":"Fornasaro","given":"Stefano","non-dropping-particle":"","parse-names":false,"suffix":""},{"dropping-particle":"","family":"Novic","given":"Marjana","non-dropping-particle":"","parse-names":false,"suffix":""},{"dropping-particle":"","family":"Passamonti","given":"Sabina","non-dropping-particle":"","parse-names":false,"suffix":""}],"container-title":"Analytica chimica acta","id":"ITEM-1","issue":"1-2","issued":{"date-parts":[["2011","10"]]},"language":"eng","page":"322-333","publisher-place":"Netherlands","title":"Experimental determination and prediction of bilitranslocase transport activity.","type":"article-journal","volume":"705"},"uris":["http://www.mendeley.com/documents/?uuid=449fdc25-b67c-49a6-8c8a-cc1349e02422"]}],"mendeley":{"formattedCitation":"[5]","plainTextFormattedCitation":"[5]","previouslyFormattedCitation":"[5]"},"properties":{"noteIndex":0},"schema":"https://github.com/citation-style-language/schema/raw/master/csl-citation.json"}</w:instrText>
            </w:r>
            <w:r w:rsidR="00E26B06">
              <w:rPr>
                <w:color w:val="000000"/>
                <w:sz w:val="20"/>
                <w:szCs w:val="20"/>
                <w:lang w:val="en-US"/>
              </w:rPr>
              <w:fldChar w:fldCharType="separate"/>
            </w:r>
            <w:r w:rsidR="00E26B06" w:rsidRPr="00E26B06">
              <w:rPr>
                <w:noProof/>
                <w:color w:val="000000"/>
                <w:sz w:val="20"/>
                <w:szCs w:val="20"/>
                <w:lang w:val="en-US"/>
              </w:rPr>
              <w:t>[5]</w:t>
            </w:r>
            <w:r w:rsidR="00E26B06">
              <w:rPr>
                <w:color w:val="000000"/>
                <w:sz w:val="20"/>
                <w:szCs w:val="20"/>
                <w:lang w:val="en-US"/>
              </w:rPr>
              <w:fldChar w:fldCharType="end"/>
            </w:r>
            <w:r w:rsidR="00E26B06">
              <w:rPr>
                <w:color w:val="000000"/>
                <w:sz w:val="20"/>
                <w:szCs w:val="20"/>
                <w:lang w:val="en-US"/>
              </w:rPr>
              <w:t>.</w:t>
            </w:r>
          </w:p>
          <w:p w14:paraId="38D0440B" w14:textId="76F97C47" w:rsidR="00B3136C" w:rsidRPr="00F82985" w:rsidRDefault="00B3136C" w:rsidP="003B76E2">
            <w:pPr>
              <w:jc w:val="both"/>
              <w:rPr>
                <w:color w:val="000000"/>
                <w:sz w:val="20"/>
                <w:szCs w:val="20"/>
                <w:highlight w:val="yellow"/>
              </w:rPr>
            </w:pPr>
            <w:r w:rsidRPr="00463272">
              <w:rPr>
                <w:color w:val="000000"/>
                <w:sz w:val="20"/>
                <w:szCs w:val="20"/>
              </w:rPr>
              <w:t xml:space="preserve">EFFLUX: </w:t>
            </w:r>
            <w:r w:rsidRPr="009D1AA1">
              <w:rPr>
                <w:color w:val="000000"/>
                <w:sz w:val="20"/>
                <w:szCs w:val="20"/>
              </w:rPr>
              <w:t xml:space="preserve">Mrp3 (Ki=74 µM) </w:t>
            </w:r>
            <w:r w:rsidRPr="009D1AA1">
              <w:rPr>
                <w:color w:val="000000"/>
                <w:sz w:val="20"/>
                <w:szCs w:val="20"/>
                <w:lang w:val="en-US"/>
              </w:rPr>
              <w:fldChar w:fldCharType="begin" w:fldLock="1"/>
            </w:r>
            <w:r w:rsidR="00573A04">
              <w:rPr>
                <w:color w:val="000000"/>
                <w:sz w:val="20"/>
                <w:szCs w:val="20"/>
              </w:rPr>
              <w:instrText>ADDIN CSL_CITATION {"citationItems":[{"id":"ITEM-1","itemData":{"DOI":"10.1023/a:1013699130991","ISSN":"0724-8741 (Print)","PMID":"11837698","abstract":"PURPOSE: Multidrug resistance-associated protein 3 (MRP3) was initially cloned as a  hepatic transporter induced under cholestatic/ hyperbilirubinemic conditions. In the present study, transport property of human MRP3 (hMRP3) was compared with that of rat MRP3 (rMRP3). METHODS: Adenosine 5' triphosphate (ATP)-dependent uptake of several organic anions into the membrane vesicles isolated from the Sf9 cells expressing hMRP3 and rMRP3 was measured by rapid filtration technique. RESULTS: ATP-dependent uptake of glucuronide conjugates, glutathione conjugates. and [3H]methotrexate (MTX) was stimulated by infection of cDNAs for hMRP3 and rMRP3. The mean (+/- SE) Km values for the uptake of 17beta estradiol 17beta-D-glucuronide ([3H]E(2)17 betaG) by hMRP3 and rMRP3 were 42.9 +/- 4.3 microM and 33.4 +/- 2.2 microM, respectively. Although the Ki values of glucuronides on the uptake of E217betaG were similar in humans and rats, hMRP3 exhibited higher Ki values toward MTX. In addition, although glycocholate and taurolithocholate 3-sulfate (TLC-S) were transported by both hMRP3 and rMRP3, taurocholate was only transported to a significant degree by rMRP3. Moreover, the inhibitory effect of taurocholate and glycocholate on the transport of E(2)17beta3G was much more potent in rMRP3 compared to hMRP3. CONCLUSION: Collectively, the substrate specificity of hMRP3 resembles that of rMRP3 although differences were observed, particularly in bile acid transport.","author":[{"dropping-particle":"","family":"Akita","given":"Hidetaka","non-dropping-particle":"","parse-names":false,"suffix":""},{"dropping-particle":"","family":"Suzuki","given":"Hiroshi","non-dropping-particle":"","parse-names":false,"suffix":""},{"dropping-particle":"","family":"Hirohashi","given":"Tomoko","non-dropping-particle":"","parse-names":false,"suffix":""},{"dropping-particle":"","family":"Takikawa","given":"Hajime","non-dropping-particle":"","parse-names":false,"suffix":""},{"dropping-particle":"","family":"Sugiyama","given":"Yuichi","non-dropping-particle":"","parse-names":false,"suffix":""}],"container-title":"Pharmaceutical research","id":"ITEM-1","issue":"1","issued":{"date-parts":[["2002","1"]]},"language":"eng","page":"34-41","publisher-place":"United States","title":"Transport activity of human MRP3 expressed in Sf9 cells: comparative studies with  rat MRP3.","type":"article-journal","volume":"19"},"uris":["http://www.mendeley.com/documents/?uuid=ac646948-0f79-4228-885a-43248105431a"]}],"mendeley":{"formattedCitation":"[46]","plainTextFormattedCitation":"[46]","previouslyFormattedCitation":"[46]"},"properties":{"noteIndex":0},"schema":"https://github.com/citation-style-language/schema/raw/master/csl-citation.json"}</w:instrText>
            </w:r>
            <w:r w:rsidRPr="009D1AA1">
              <w:rPr>
                <w:color w:val="000000"/>
                <w:sz w:val="20"/>
                <w:szCs w:val="20"/>
                <w:lang w:val="en-US"/>
              </w:rPr>
              <w:fldChar w:fldCharType="separate"/>
            </w:r>
            <w:r w:rsidR="008C4117" w:rsidRPr="008C4117">
              <w:rPr>
                <w:noProof/>
                <w:color w:val="000000"/>
                <w:sz w:val="20"/>
                <w:szCs w:val="20"/>
              </w:rPr>
              <w:t>[46]</w:t>
            </w:r>
            <w:r w:rsidRPr="009D1AA1">
              <w:rPr>
                <w:color w:val="000000"/>
                <w:sz w:val="20"/>
                <w:szCs w:val="20"/>
                <w:lang w:val="en-US"/>
              </w:rPr>
              <w:fldChar w:fldCharType="end"/>
            </w:r>
          </w:p>
        </w:tc>
        <w:tc>
          <w:tcPr>
            <w:tcW w:w="1984" w:type="dxa"/>
            <w:shd w:val="clear" w:color="auto" w:fill="auto"/>
            <w:noWrap/>
            <w:vAlign w:val="bottom"/>
          </w:tcPr>
          <w:p w14:paraId="28CF2021" w14:textId="0775F033" w:rsidR="00B3136C" w:rsidRPr="008705A2" w:rsidRDefault="00B3136C" w:rsidP="003B76E2">
            <w:pPr>
              <w:jc w:val="both"/>
              <w:rPr>
                <w:color w:val="000000"/>
                <w:sz w:val="20"/>
                <w:szCs w:val="20"/>
                <w:highlight w:val="yellow"/>
                <w:lang w:val="en-US"/>
              </w:rPr>
            </w:pPr>
            <w:proofErr w:type="spellStart"/>
            <w:r w:rsidRPr="00A31749">
              <w:rPr>
                <w:color w:val="000000"/>
                <w:sz w:val="20"/>
                <w:szCs w:val="20"/>
                <w:lang w:val="en-US"/>
              </w:rPr>
              <w:t>Bsep</w:t>
            </w:r>
            <w:proofErr w:type="spellEnd"/>
            <w:r w:rsidRPr="00A31749">
              <w:rPr>
                <w:color w:val="000000"/>
                <w:sz w:val="20"/>
                <w:szCs w:val="20"/>
                <w:lang w:val="en-US"/>
              </w:rPr>
              <w:t xml:space="preserve"> </w:t>
            </w:r>
            <w:r w:rsidRPr="00F82985">
              <w:rPr>
                <w:color w:val="000000"/>
                <w:sz w:val="20"/>
                <w:szCs w:val="20"/>
                <w:lang w:val="en-US"/>
              </w:rPr>
              <w:t>(K</w:t>
            </w:r>
            <w:r w:rsidRPr="00F82985">
              <w:rPr>
                <w:color w:val="000000"/>
                <w:sz w:val="20"/>
                <w:szCs w:val="20"/>
                <w:vertAlign w:val="subscript"/>
                <w:lang w:val="en-US"/>
              </w:rPr>
              <w:t>m</w:t>
            </w:r>
            <w:r w:rsidRPr="00F82985">
              <w:rPr>
                <w:color w:val="000000"/>
                <w:sz w:val="20"/>
                <w:szCs w:val="20"/>
                <w:lang w:val="en-US"/>
              </w:rPr>
              <w:t>=</w:t>
            </w:r>
            <w:r>
              <w:rPr>
                <w:color w:val="000000"/>
                <w:sz w:val="20"/>
                <w:szCs w:val="20"/>
                <w:lang w:val="en-US"/>
              </w:rPr>
              <w:t>5.3</w:t>
            </w:r>
            <w:r w:rsidRPr="00F82985">
              <w:rPr>
                <w:color w:val="000000"/>
                <w:sz w:val="20"/>
                <w:szCs w:val="20"/>
                <w:lang w:val="en-US"/>
              </w:rPr>
              <w:t xml:space="preserve"> µM)</w:t>
            </w:r>
            <w:r>
              <w:rPr>
                <w:color w:val="000000"/>
                <w:sz w:val="20"/>
                <w:szCs w:val="20"/>
                <w:lang w:val="en-US"/>
              </w:rPr>
              <w:t xml:space="preserve"> </w:t>
            </w:r>
            <w:r>
              <w:rPr>
                <w:color w:val="000000"/>
                <w:sz w:val="20"/>
                <w:szCs w:val="20"/>
                <w:lang w:val="en-US"/>
              </w:rPr>
              <w:fldChar w:fldCharType="begin" w:fldLock="1"/>
            </w:r>
            <w:r w:rsidR="00E26B06">
              <w:rPr>
                <w:color w:val="000000"/>
                <w:sz w:val="20"/>
                <w:szCs w:val="20"/>
                <w:lang w:val="en-US"/>
              </w:rPr>
              <w:instrText>ADDIN CSL_CITATION {"citationItems":[{"id":"ITEM-1","itemData":{"DOI":"10.1074/jbc.273.16.10046","ISSN":"0021-9258 (Print)","PMID":"9545351","abstract":"Canalicular secretion of bile salts is a vital function of the vertebrate liver, yet  the molecular identity of the involved ATP-dependent carrier protein has not been elucidated. We cloned the full-length cDNA of the sister of P-glycoprotein (spgp; Mr approximately 160,000) of rat liver and demonstrated that it functions as an ATP-dependent bile salt transporter in cRNA injected Xenopus laevis oocytes and in vesicles isolated from transfected Sf9 cells. The latter demonstrated a 5-fold stimulation of ATP-dependent taurocholate transport as compared with controls. This spgp-mediated taurocholate transport was stimulated solely by ATP, was inhibited by vanadate, and exhibited saturability with increasing concentrations of taurocholate (Km approximately 5 microM). Furthermore, spgp-mediated transport rates of various bile salts followed the same order of magnitude as ATP-dependent transport in canalicular rat liver plasma membrane vesicles, i.e. taurochenodeoxycholate &gt; tauroursodeoxycholate = taurocholate &gt; glycocholate = cholate. Tissue distribution assessed by Northern blotting revealed predominant, if not exclusive, expression of spgp in the liver, where it was further localized to the canalicular microvilli and to subcanalicular vesicles of the hepatocytes by in situ immunofluorescence and immunogold labeling studies. These results indicate that the sister of P-glycoprotein is the major canalicular bile salt export pump of mammalian liver.","author":[{"dropping-particle":"","family":"Gerloff","given":"T","non-dropping-particle":"","parse-names":false,"suffix":""},{"dropping-particle":"","family":"Stieger","given":"B","non-dropping-particle":"","parse-names":false,"suffix":""},{"dropping-particle":"","family":"Hagenbuch","given":"B","non-dropping-particle":"","parse-names":false,"suffix":""},{"dropping-particle":"","family":"Madon","given":"J","non-dropping-particle":"","parse-names":false,"suffix":""},{"dropping-particle":"","family":"Landmann","given":"L","non-dropping-particle":"","parse-names":false,"suffix":""},{"dropping-particle":"","family":"Roth","given":"J","non-dropping-particle":"","parse-names":false,"suffix":""},{"dropping-particle":"","family":"Hofmann","given":"A F","non-dropping-particle":"","parse-names":false,"suffix":""},{"dropping-particle":"","family":"Meier","given":"P J","non-dropping-particle":"","parse-names":false,"suffix":""}],"container-title":"The Journal of biological chemistry","id":"ITEM-1","issue":"16","issued":{"date-parts":[["1998","4"]]},"language":"eng","page":"10046-10050","publisher-place":"United States","title":"The sister of P-glycoprotein represents the canalicular bile salt export pump of  mammalian liver.","type":"article-journal","volume":"273"},"uris":["http://www.mendeley.com/documents/?uuid=cb75a55d-08ae-4ab4-8a65-a42eb1d4b32f"]}],"mendeley":{"formattedCitation":"[59]","plainTextFormattedCitation":"[59]","previouslyFormattedCitation":"[59]"},"properties":{"noteIndex":0},"schema":"https://github.com/citation-style-language/schema/raw/master/csl-citation.json"}</w:instrText>
            </w:r>
            <w:r>
              <w:rPr>
                <w:color w:val="000000"/>
                <w:sz w:val="20"/>
                <w:szCs w:val="20"/>
                <w:lang w:val="en-US"/>
              </w:rPr>
              <w:fldChar w:fldCharType="separate"/>
            </w:r>
            <w:r w:rsidR="00D82436" w:rsidRPr="00D82436">
              <w:rPr>
                <w:noProof/>
                <w:color w:val="000000"/>
                <w:sz w:val="20"/>
                <w:szCs w:val="20"/>
                <w:lang w:val="en-US"/>
              </w:rPr>
              <w:t>[59]</w:t>
            </w:r>
            <w:r>
              <w:rPr>
                <w:color w:val="000000"/>
                <w:sz w:val="20"/>
                <w:szCs w:val="20"/>
                <w:lang w:val="en-US"/>
              </w:rPr>
              <w:fldChar w:fldCharType="end"/>
            </w:r>
          </w:p>
        </w:tc>
      </w:tr>
      <w:tr w:rsidR="00B3136C" w:rsidRPr="00F82985" w14:paraId="7D875D3A" w14:textId="77777777" w:rsidTr="00573A04">
        <w:trPr>
          <w:trHeight w:val="1435"/>
        </w:trPr>
        <w:tc>
          <w:tcPr>
            <w:tcW w:w="1413" w:type="dxa"/>
            <w:shd w:val="clear" w:color="auto" w:fill="auto"/>
            <w:noWrap/>
            <w:vAlign w:val="bottom"/>
            <w:hideMark/>
          </w:tcPr>
          <w:p w14:paraId="6A1C74A7" w14:textId="77777777" w:rsidR="00B3136C" w:rsidRPr="008705A2" w:rsidRDefault="00B3136C" w:rsidP="003B76E2">
            <w:pPr>
              <w:jc w:val="both"/>
              <w:rPr>
                <w:color w:val="000000"/>
                <w:sz w:val="20"/>
                <w:szCs w:val="20"/>
                <w:lang w:val="en-US"/>
              </w:rPr>
            </w:pPr>
            <w:r w:rsidRPr="008705A2">
              <w:rPr>
                <w:color w:val="000000"/>
                <w:sz w:val="20"/>
                <w:szCs w:val="20"/>
                <w:lang w:val="en-US"/>
              </w:rPr>
              <w:t>Bilirubin glucuronide (*)</w:t>
            </w:r>
          </w:p>
        </w:tc>
        <w:tc>
          <w:tcPr>
            <w:tcW w:w="1276" w:type="dxa"/>
            <w:shd w:val="clear" w:color="auto" w:fill="auto"/>
            <w:noWrap/>
            <w:vAlign w:val="bottom"/>
            <w:hideMark/>
          </w:tcPr>
          <w:p w14:paraId="60B40973" w14:textId="77777777" w:rsidR="00B3136C" w:rsidRPr="008705A2" w:rsidRDefault="00B3136C" w:rsidP="003B76E2">
            <w:pPr>
              <w:jc w:val="both"/>
              <w:rPr>
                <w:color w:val="000000"/>
                <w:sz w:val="20"/>
                <w:szCs w:val="20"/>
                <w:lang w:val="en-US"/>
              </w:rPr>
            </w:pPr>
            <w:proofErr w:type="spellStart"/>
            <w:r w:rsidRPr="008705A2">
              <w:rPr>
                <w:color w:val="000000"/>
                <w:sz w:val="20"/>
                <w:szCs w:val="20"/>
                <w:lang w:val="en-US"/>
              </w:rPr>
              <w:t>n.a.</w:t>
            </w:r>
            <w:proofErr w:type="spellEnd"/>
          </w:p>
        </w:tc>
        <w:tc>
          <w:tcPr>
            <w:tcW w:w="992" w:type="dxa"/>
            <w:shd w:val="clear" w:color="auto" w:fill="auto"/>
            <w:noWrap/>
            <w:vAlign w:val="bottom"/>
            <w:hideMark/>
          </w:tcPr>
          <w:p w14:paraId="75DB785C" w14:textId="77777777" w:rsidR="00B3136C" w:rsidRPr="008705A2" w:rsidRDefault="00B3136C" w:rsidP="003B76E2">
            <w:pPr>
              <w:jc w:val="both"/>
              <w:rPr>
                <w:color w:val="000000"/>
                <w:sz w:val="20"/>
                <w:szCs w:val="20"/>
                <w:lang w:val="en-US"/>
              </w:rPr>
            </w:pPr>
            <w:proofErr w:type="spellStart"/>
            <w:r w:rsidRPr="008705A2">
              <w:rPr>
                <w:color w:val="000000"/>
                <w:sz w:val="20"/>
                <w:szCs w:val="20"/>
                <w:lang w:val="en-US"/>
              </w:rPr>
              <w:t>n.a.</w:t>
            </w:r>
            <w:proofErr w:type="spellEnd"/>
          </w:p>
        </w:tc>
        <w:tc>
          <w:tcPr>
            <w:tcW w:w="3260" w:type="dxa"/>
            <w:shd w:val="clear" w:color="auto" w:fill="auto"/>
            <w:noWrap/>
            <w:vAlign w:val="bottom"/>
            <w:hideMark/>
          </w:tcPr>
          <w:p w14:paraId="7FA55DB9" w14:textId="6810B3D6" w:rsidR="00B3136C" w:rsidRPr="00240D83" w:rsidRDefault="00B3136C" w:rsidP="003B76E2">
            <w:pPr>
              <w:jc w:val="both"/>
              <w:rPr>
                <w:color w:val="000000"/>
                <w:sz w:val="20"/>
                <w:szCs w:val="20"/>
                <w:lang w:val="en-US"/>
              </w:rPr>
            </w:pPr>
            <w:r>
              <w:rPr>
                <w:color w:val="000000"/>
                <w:sz w:val="20"/>
                <w:szCs w:val="20"/>
                <w:lang w:val="en-US"/>
              </w:rPr>
              <w:t xml:space="preserve">INFLUX: </w:t>
            </w:r>
            <w:r w:rsidRPr="008705A2">
              <w:rPr>
                <w:color w:val="000000"/>
                <w:sz w:val="20"/>
                <w:szCs w:val="20"/>
                <w:lang w:val="en-US"/>
              </w:rPr>
              <w:t xml:space="preserve">OATP1B1 (human; </w:t>
            </w:r>
            <w:proofErr w:type="spellStart"/>
            <w:r w:rsidRPr="008705A2">
              <w:rPr>
                <w:color w:val="000000"/>
                <w:sz w:val="20"/>
                <w:szCs w:val="20"/>
                <w:lang w:val="en-US"/>
              </w:rPr>
              <w:t>Monoglucuronosyl</w:t>
            </w:r>
            <w:proofErr w:type="spellEnd"/>
            <w:r w:rsidRPr="008705A2">
              <w:rPr>
                <w:color w:val="000000"/>
                <w:sz w:val="20"/>
                <w:szCs w:val="20"/>
                <w:lang w:val="en-US"/>
              </w:rPr>
              <w:t xml:space="preserve"> bilirubin, K</w:t>
            </w:r>
            <w:r w:rsidRPr="008705A2">
              <w:rPr>
                <w:color w:val="000000"/>
                <w:sz w:val="20"/>
                <w:szCs w:val="20"/>
                <w:vertAlign w:val="subscript"/>
                <w:lang w:val="en-US"/>
              </w:rPr>
              <w:t>m</w:t>
            </w:r>
            <w:r w:rsidRPr="008705A2">
              <w:rPr>
                <w:color w:val="000000"/>
                <w:sz w:val="20"/>
                <w:szCs w:val="20"/>
                <w:lang w:val="en-US"/>
              </w:rPr>
              <w:t xml:space="preserve"> = 0.1 µM; </w:t>
            </w:r>
            <w:proofErr w:type="spellStart"/>
            <w:r w:rsidRPr="008705A2">
              <w:rPr>
                <w:color w:val="000000"/>
                <w:sz w:val="20"/>
                <w:szCs w:val="20"/>
                <w:lang w:val="en-US"/>
              </w:rPr>
              <w:t>bisglucuronosyl</w:t>
            </w:r>
            <w:proofErr w:type="spellEnd"/>
            <w:r w:rsidRPr="008705A2">
              <w:rPr>
                <w:color w:val="000000"/>
                <w:sz w:val="20"/>
                <w:szCs w:val="20"/>
                <w:lang w:val="en-US"/>
              </w:rPr>
              <w:t xml:space="preserve"> bilirubin, K</w:t>
            </w:r>
            <w:r w:rsidRPr="008705A2">
              <w:rPr>
                <w:color w:val="000000"/>
                <w:sz w:val="20"/>
                <w:szCs w:val="20"/>
                <w:vertAlign w:val="subscript"/>
                <w:lang w:val="en-US"/>
              </w:rPr>
              <w:t>m</w:t>
            </w:r>
            <w:r w:rsidRPr="008705A2">
              <w:rPr>
                <w:color w:val="000000"/>
                <w:sz w:val="20"/>
                <w:szCs w:val="20"/>
                <w:lang w:val="en-US"/>
              </w:rPr>
              <w:t xml:space="preserve"> = 0.28 µM) </w:t>
            </w:r>
            <w:r w:rsidRPr="00F82985">
              <w:rPr>
                <w:color w:val="000000"/>
                <w:sz w:val="20"/>
                <w:szCs w:val="20"/>
              </w:rPr>
              <w:fldChar w:fldCharType="begin" w:fldLock="1"/>
            </w:r>
            <w:r w:rsidR="008C0DA1">
              <w:rPr>
                <w:color w:val="000000"/>
                <w:sz w:val="20"/>
                <w:szCs w:val="20"/>
                <w:lang w:val="en-US"/>
              </w:rPr>
              <w:instrText>ADDIN CSL_CITATION {"citationItems":[{"id":"ITEM-1","itemData":{"DOI":"10.1074/jbc.M004968200","ISSN":"00219258","PMID":"11134001","abstract":"Bilirubin, the end product of heme catabolism, is taken up from the blood circulation into the liver. This work identifies a high-affinity transport protein mediating the uptake of bilirubin and its conjugates into human hepatocytes. Human embryonic kidney cells (HEK293) permanently expressing the recombinant organic anion-transporting polypeptide 2 (human OATP2, also known as LST-1 or OATP-C; symbol SLC21A6) showed uptake of [ 3H]monoglucuronosyl bilirubin, [3H]bisglucuronosyl bilirubin, and [3H]sulfobromophthalein with Km values of 0.10, 0.28, and 0.14 μM, respectively. High-affinity uptake of unconjugated [3H]bilirubin by OATP2 occurred in the presence of albumin and was not mediated by another basolateral hepatic uptake transporter, human OATP8 (symbol SLC21A8). OATP2 and OATP8 differed by their capacity to extract substrates from albumin before transport. In comparison to the high-affinity transport by OATP2, OATP8 transported [3H]sulfobromophthalein and [3H]monoglucuronosyl bilirubin with lower affinity, with K m values of 3.3 and 0.5 μM, respectively. The organic anion indocyanine green potently inhibited transport mediated by OATP2, with a K i value of 112 nM, but did not inhibit transport mediated by OATP8. Human OATP2 may play a key role in the prevention of hyperbilirubinemia by facilitating the selective entry of unconjugated bilirubin and its glucuronate conjugates into human hepatocytes.","author":[{"dropping-particle":"","family":"Cui","given":"Yunhai","non-dropping-particle":"","parse-names":false,"suffix":""},{"dropping-particle":"","family":"König","given":"Jörg","non-dropping-particle":"","parse-names":false,"suffix":""},{"dropping-particle":"","family":"Leier","given":"Inka","non-dropping-particle":"","parse-names":false,"suffix":""},{"dropping-particle":"","family":"Buchholz","given":"Ulrike","non-dropping-particle":"","parse-names":false,"suffix":""},{"dropping-particle":"","family":"Keppler","given":"Dietrich","non-dropping-particle":"","parse-names":false,"suffix":""}],"container-title":"Journal of Biological Chemistry","id":"ITEM-1","issue":"13","issued":{"date-parts":[["2001","3","30"]]},"page":"9626-9630","publisher":"American Society for Biochemistry and Molecular Biology","title":"Hepatic Uptake of Bilirubin and its Conjugates by the Human Organic Anion Transporter SLC21A6","type":"article-journal","volume":"276"},"uris":["http://www.mendeley.com/documents/?uuid=82c5eeb5-fd3e-3b1a-b853-ca182c6d60d2"]}],"mendeley":{"formattedCitation":"[27]","plainTextFormattedCitation":"[27]","previouslyFormattedCitation":"[27]"},"properties":{"noteIndex":0},"schema":"https://github.com/citation-style-language/schema/raw/master/csl-citation.json"}</w:instrText>
            </w:r>
            <w:r w:rsidRPr="00F82985">
              <w:rPr>
                <w:color w:val="000000"/>
                <w:sz w:val="20"/>
                <w:szCs w:val="20"/>
              </w:rPr>
              <w:fldChar w:fldCharType="separate"/>
            </w:r>
            <w:r w:rsidRPr="00035536">
              <w:rPr>
                <w:noProof/>
                <w:color w:val="000000"/>
                <w:sz w:val="20"/>
                <w:szCs w:val="20"/>
                <w:lang w:val="en-US"/>
              </w:rPr>
              <w:t>[27]</w:t>
            </w:r>
            <w:r w:rsidRPr="00F82985">
              <w:rPr>
                <w:color w:val="000000"/>
                <w:sz w:val="20"/>
                <w:szCs w:val="20"/>
              </w:rPr>
              <w:fldChar w:fldCharType="end"/>
            </w:r>
          </w:p>
          <w:p w14:paraId="06098F9A" w14:textId="12851141" w:rsidR="00B3136C" w:rsidRPr="00463272" w:rsidRDefault="00B3136C" w:rsidP="003B76E2">
            <w:pPr>
              <w:jc w:val="both"/>
              <w:rPr>
                <w:color w:val="000000"/>
                <w:sz w:val="20"/>
                <w:szCs w:val="20"/>
                <w:lang w:val="en-US"/>
              </w:rPr>
            </w:pPr>
            <w:r w:rsidRPr="00463272">
              <w:rPr>
                <w:color w:val="000000"/>
                <w:sz w:val="20"/>
                <w:szCs w:val="20"/>
                <w:lang w:val="en-US"/>
              </w:rPr>
              <w:t xml:space="preserve">EFFLUX: </w:t>
            </w:r>
            <w:r w:rsidRPr="00F82985">
              <w:rPr>
                <w:color w:val="000000"/>
                <w:sz w:val="20"/>
                <w:szCs w:val="20"/>
                <w:lang w:val="en-US"/>
              </w:rPr>
              <w:t>Mrp3 (human; K</w:t>
            </w:r>
            <w:r w:rsidRPr="00F82985">
              <w:rPr>
                <w:color w:val="000000"/>
                <w:sz w:val="20"/>
                <w:szCs w:val="20"/>
                <w:vertAlign w:val="subscript"/>
                <w:lang w:val="en-US"/>
              </w:rPr>
              <w:t>i</w:t>
            </w:r>
            <w:r w:rsidRPr="00F82985">
              <w:rPr>
                <w:color w:val="000000"/>
                <w:sz w:val="20"/>
                <w:szCs w:val="20"/>
                <w:lang w:val="en-US"/>
              </w:rPr>
              <w:t xml:space="preserve"> or K</w:t>
            </w:r>
            <w:r w:rsidRPr="00F82985">
              <w:rPr>
                <w:color w:val="000000"/>
                <w:sz w:val="20"/>
                <w:szCs w:val="20"/>
                <w:vertAlign w:val="subscript"/>
                <w:lang w:val="en-US"/>
              </w:rPr>
              <w:t>m</w:t>
            </w:r>
            <w:r w:rsidRPr="00F82985">
              <w:rPr>
                <w:color w:val="000000"/>
                <w:sz w:val="20"/>
                <w:szCs w:val="20"/>
                <w:lang w:val="en-US"/>
              </w:rPr>
              <w:t xml:space="preserve"> not determined) </w:t>
            </w:r>
            <w:r w:rsidRPr="00F82985">
              <w:rPr>
                <w:color w:val="000000"/>
                <w:sz w:val="20"/>
                <w:szCs w:val="20"/>
                <w:lang w:val="en-US"/>
              </w:rPr>
              <w:fldChar w:fldCharType="begin" w:fldLock="1"/>
            </w:r>
            <w:r w:rsidR="008C0DA1">
              <w:rPr>
                <w:color w:val="000000"/>
                <w:sz w:val="20"/>
                <w:szCs w:val="20"/>
                <w:lang w:val="en-US"/>
              </w:rPr>
              <w:instrText>ADDIN CSL_CITATION {"citationItems":[{"id":"ITEM-1","itemData":{"DOI":"10.1097/00008571-200404000-00001","abstract":"The human multidrug resistance protein 3 (MRP3, symbol ABCC3) is an ATP-binding cassette transporter that mediates the efflux of organic anions, including lipophilic substances conjugated with glucuronate, sulphate or glutathione, across the basolateral membrane of polarized cells (e.g. hepatocytes) into blood. Genetic variants of MRP3 may affect the transport of these substances out of cells. The aims of this study were: (i) to identify MRP3 polymorphisms; (ii) to functionally characterize one relatively frequent MRP3 polymorphism; and (iii) to establish whether MRP3 transports bilirubin glucuronosides. Exonic nucleotide variants in the ABCC3 gene were identified by single-strand conformation polymorphism analysis. The 3890G&gt;A mutation, resulting in MRP3-Arg1297His, was introduced into the ABCC3 cDNA which was stably transfected into MDCKII cells. For the functional characterization of MRP3-Arg1297His in comparison with MRP3, ATP-dependent transport was analysed in isolated membrane vesicles. Two non-synonymous MRP3 variants were identified with an allele frequency of 0.003 for 1643T&gt;A (MRP3-Leu548Gln) and 0.08 for 3890G&gt;A (MRP3-Arg1297His). Because of the high frequency of the 3890G&gt;A mutation, and because of the close proximity of Arg1297 to the second nucleotide-binding domain, we pursued the functional characterization of the MRP3-Arg1297His polymorphic variant. MRP3-Arg1297His was correctly localized to the basolateral membrane of polarized MDCKII cells. We identified monoglucuronosyl bilirubin, bisglucuronosyl bilirubin and leukotriene C4 as substrates for both MRP3 and MRP3-Arg1297His. Dehydroepiandrosterone-3-sulphate and 17β-glucuronosyl oestradiol were transported with similar kinetics by MRP3 and MRP3-Arg1297His. This experimental setup provides a useful tool to analyse the functional consequences of polymorphic variants of MRP3. © 2004 Lippincott Williams &amp; Wilkins.","author":[{"dropping-particle":"","family":"Lee","given":"Y.-M.A.","non-dropping-particle":"","parse-names":false,"suffix":""},{"dropping-particle":"","family":"Cui","given":"Y.","non-dropping-particle":"","parse-names":false,"suffix":""},{"dropping-particle":"","family":"König","given":"J.","non-dropping-particle":"","parse-names":false,"suffix":""},{"dropping-particle":"","family":"Risch","given":"A.","non-dropping-particle":"","parse-names":false,"suffix":""},{"dropping-particle":"","family":"Jäger","given":"B.","non-dropping-particle":"","parse-names":false,"suffix":""},{"dropping-particle":"","family":"Drings","given":"P.","non-dropping-particle":"","parse-names":false,"suffix":""},{"dropping-particle":"","family":"Bartsch","given":"H.","non-dropping-particle":"","parse-names":false,"suffix":""},{"dropping-particle":"","family":"Keppler","given":"D.","non-dropping-particle":"","parse-names":false,"suffix":""},{"dropping-particle":"","family":"Nies","given":"A.T.","non-dropping-particle":"","parse-names":false,"suffix":""}],"container-title":"Pharmacogenetics","id":"ITEM-1","issue":"4","issued":{"date-parts":[["2004"]]},"title":"Identification and functional characterization of the natural variant MRP3-Arg1297His of human multidrug resistance protein 3 (MRP3/ABCC3)","type":"article-journal","volume":"14"},"uris":["http://www.mendeley.com/documents/?uuid=ee50c719-665d-4840-88b6-649f6490ae2b"]}],"mendeley":{"formattedCitation":"[29]","plainTextFormattedCitation":"[29]","previouslyFormattedCitation":"[29]"},"properties":{"noteIndex":0},"schema":"https://github.com/citation-style-language/schema/raw/master/csl-citation.json"}</w:instrText>
            </w:r>
            <w:r w:rsidRPr="00F82985">
              <w:rPr>
                <w:color w:val="000000"/>
                <w:sz w:val="20"/>
                <w:szCs w:val="20"/>
                <w:lang w:val="en-US"/>
              </w:rPr>
              <w:fldChar w:fldCharType="separate"/>
            </w:r>
            <w:r w:rsidRPr="00035536">
              <w:rPr>
                <w:noProof/>
                <w:color w:val="000000"/>
                <w:sz w:val="20"/>
                <w:szCs w:val="20"/>
                <w:lang w:val="en-US"/>
              </w:rPr>
              <w:t>[29]</w:t>
            </w:r>
            <w:r w:rsidRPr="00F82985">
              <w:rPr>
                <w:color w:val="000000"/>
                <w:sz w:val="20"/>
                <w:szCs w:val="20"/>
                <w:lang w:val="en-US"/>
              </w:rPr>
              <w:fldChar w:fldCharType="end"/>
            </w:r>
          </w:p>
          <w:p w14:paraId="37D6B121" w14:textId="77777777" w:rsidR="00B3136C" w:rsidRPr="00463272" w:rsidRDefault="00B3136C" w:rsidP="003B76E2">
            <w:pPr>
              <w:jc w:val="both"/>
              <w:rPr>
                <w:color w:val="000000"/>
                <w:sz w:val="20"/>
                <w:szCs w:val="20"/>
                <w:lang w:val="en-US"/>
              </w:rPr>
            </w:pPr>
          </w:p>
        </w:tc>
        <w:tc>
          <w:tcPr>
            <w:tcW w:w="1984" w:type="dxa"/>
            <w:shd w:val="clear" w:color="auto" w:fill="auto"/>
            <w:noWrap/>
            <w:vAlign w:val="bottom"/>
            <w:hideMark/>
          </w:tcPr>
          <w:p w14:paraId="425622F1" w14:textId="0F2F130E" w:rsidR="00B3136C" w:rsidRPr="00F82985" w:rsidRDefault="00B3136C" w:rsidP="003B76E2">
            <w:pPr>
              <w:jc w:val="both"/>
              <w:rPr>
                <w:color w:val="000000"/>
                <w:sz w:val="20"/>
                <w:szCs w:val="20"/>
              </w:rPr>
            </w:pPr>
            <w:r w:rsidRPr="00F82985">
              <w:rPr>
                <w:color w:val="000000"/>
                <w:sz w:val="20"/>
                <w:szCs w:val="20"/>
                <w:lang w:val="en-US"/>
              </w:rPr>
              <w:t>Mrp2 (K</w:t>
            </w:r>
            <w:r w:rsidRPr="00F82985">
              <w:rPr>
                <w:color w:val="000000"/>
                <w:sz w:val="20"/>
                <w:szCs w:val="20"/>
                <w:vertAlign w:val="subscript"/>
                <w:lang w:val="en-US"/>
              </w:rPr>
              <w:t>m</w:t>
            </w:r>
            <w:r w:rsidRPr="00F82985">
              <w:rPr>
                <w:color w:val="000000"/>
                <w:sz w:val="20"/>
                <w:szCs w:val="20"/>
                <w:lang w:val="en-US"/>
              </w:rPr>
              <w:t xml:space="preserve">=0.5-0.8 µM) </w:t>
            </w:r>
            <w:r w:rsidRPr="00F82985">
              <w:rPr>
                <w:color w:val="000000"/>
                <w:sz w:val="20"/>
                <w:szCs w:val="20"/>
                <w:lang w:val="en-US"/>
              </w:rPr>
              <w:fldChar w:fldCharType="begin" w:fldLock="1"/>
            </w:r>
            <w:r w:rsidR="00E26B06">
              <w:rPr>
                <w:color w:val="000000"/>
                <w:sz w:val="20"/>
                <w:szCs w:val="20"/>
                <w:lang w:val="en-US"/>
              </w:rPr>
              <w:instrText>ADDIN CSL_CITATION {"citationItems":[{"id":"ITEM-1","itemData":{"DOI":"10.1002/hep.510300220","ISSN":"0270-9139 (Print)","PMID":"10421658","abstract":"The secretion of bilirubin conjugates from hepatocytes into bile represents a decisive step in the prevention of hyperbilirubinemia. The bilirubin conjugates, monoglucuronosyl bilirubin (MGB) and bisglucuronosyl bilirubin (BGB), were previously suggested to be endogenous substrates for the apical multidrug resistance protein (MRP2), a member of the adenosine triphosphate (ATP)-binding cassette family of transporters (symbol ABCC2), also termed canalicular multispecific organic anion transporter. We have characterized this ATP-dependent transport using membrane vesicles from human embryonic kidney (HEK) cells expressing recombinant rat as well as human MRP2. MGB and BGB, (3)H-labeled in the glucuronosyl moiety, were synthesized enzymatically with recombinant UDP-glucuronosyltransferase 1A1, and stabilized with ascorbate. Rates for ATP-dependent transport of MGB and BGB (0.5 micromol/L each) by human MRP2 were 183 and 104 pmol x mg protein(-1) x min(-1), respectively. K(m) values were 0.7 and 0.9 micromol/L for human MRP2, and 0.8 and 0.5 micromol/L for rat MRP2, with MGB and BGB as substrates, respectively. Leukotriene C(4) and 17beta-glucuronosyl estradiol, which are both known high-affinity substrates for human MRP2, inhibited [(3)H]MGB transport with IC(50) values of 2.3 and 30 micromol/L, respectively. Cyclosporin A competitively inhibited human and rat MRP2-mediated transport of [(3)H]MGB, with K(i) values of 21 and 10 micromol/L, respectively. Our results provide direct evidence that recombinant MRP2, cloned from rat as well as human liver, mediates the primary-active ATP-dependent transport of the bilirubin conjugates MGB and BGB.","author":[{"dropping-particle":"","family":"Kamisako","given":"T","non-dropping-particle":"","parse-names":false,"suffix":""},{"dropping-particle":"","family":"Leier","given":"I","non-dropping-particle":"","parse-names":false,"suffix":""},{"dropping-particle":"","family":"Cui","given":"Y","non-dropping-particle":"","parse-names":false,"suffix":""},{"dropping-particle":"","family":"Konig","given":"J","non-dropping-particle":"","parse-names":false,"suffix":""},{"dropping-particle":"","family":"Buchholz","given":"U","non-dropping-particle":"","parse-names":false,"suffix":""},{"dropping-particle":"","family":"Hummel-Eisenbeiss","given":"J","non-dropping-particle":"","parse-names":false,"suffix":""},{"dropping-particle":"","family":"Keppler","given":"D","non-dropping-particle":"","parse-names":false,"suffix":""}],"container-title":"Hepatology (Baltimore, Md.)","id":"ITEM-1","issue":"2","issued":{"date-parts":[["1999","8"]]},"language":"eng","page":"485-490","publisher-place":"United States","title":"Transport of monoglucuronosyl and bisglucuronosyl bilirubin by recombinant human  and rat multidrug resistance protein 2.","type":"article-journal","volume":"30"},"uris":["http://www.mendeley.com/documents/?uuid=106667b2-fd3d-45e1-83cd-81d21edb6d57"]}],"mendeley":{"formattedCitation":"[60]","plainTextFormattedCitation":"[60]","previouslyFormattedCitation":"[60]"},"properties":{"noteIndex":0},"schema":"https://github.com/citation-style-language/schema/raw/master/csl-citation.json"}</w:instrText>
            </w:r>
            <w:r w:rsidRPr="00F82985">
              <w:rPr>
                <w:color w:val="000000"/>
                <w:sz w:val="20"/>
                <w:szCs w:val="20"/>
                <w:lang w:val="en-US"/>
              </w:rPr>
              <w:fldChar w:fldCharType="separate"/>
            </w:r>
            <w:r w:rsidR="00D82436" w:rsidRPr="00D82436">
              <w:rPr>
                <w:noProof/>
                <w:color w:val="000000"/>
                <w:sz w:val="20"/>
                <w:szCs w:val="20"/>
                <w:lang w:val="en-US"/>
              </w:rPr>
              <w:t>[60]</w:t>
            </w:r>
            <w:r w:rsidRPr="00F82985">
              <w:rPr>
                <w:color w:val="000000"/>
                <w:sz w:val="20"/>
                <w:szCs w:val="20"/>
                <w:lang w:val="en-US"/>
              </w:rPr>
              <w:fldChar w:fldCharType="end"/>
            </w:r>
            <w:r w:rsidRPr="00F82985">
              <w:rPr>
                <w:color w:val="000000"/>
                <w:sz w:val="20"/>
                <w:szCs w:val="20"/>
                <w:lang w:val="en-US"/>
              </w:rPr>
              <w:t>; Bcrp1  (K</w:t>
            </w:r>
            <w:r w:rsidRPr="00F82985">
              <w:rPr>
                <w:color w:val="000000"/>
                <w:sz w:val="20"/>
                <w:szCs w:val="20"/>
                <w:vertAlign w:val="subscript"/>
                <w:lang w:val="en-US"/>
              </w:rPr>
              <w:t>i</w:t>
            </w:r>
            <w:r w:rsidRPr="00F82985">
              <w:rPr>
                <w:color w:val="000000"/>
                <w:sz w:val="20"/>
                <w:szCs w:val="20"/>
                <w:lang w:val="en-US"/>
              </w:rPr>
              <w:t xml:space="preserve"> or K</w:t>
            </w:r>
            <w:r w:rsidRPr="00F82985">
              <w:rPr>
                <w:color w:val="000000"/>
                <w:sz w:val="20"/>
                <w:szCs w:val="20"/>
                <w:vertAlign w:val="subscript"/>
                <w:lang w:val="en-US"/>
              </w:rPr>
              <w:t>m</w:t>
            </w:r>
            <w:r w:rsidRPr="00F82985">
              <w:rPr>
                <w:color w:val="000000"/>
                <w:sz w:val="20"/>
                <w:szCs w:val="20"/>
                <w:lang w:val="en-US"/>
              </w:rPr>
              <w:t xml:space="preserve"> not determined) </w:t>
            </w:r>
            <w:r w:rsidRPr="00F82985">
              <w:rPr>
                <w:color w:val="000000"/>
                <w:sz w:val="20"/>
                <w:szCs w:val="20"/>
                <w:lang w:val="en-US"/>
              </w:rPr>
              <w:fldChar w:fldCharType="begin" w:fldLock="1"/>
            </w:r>
            <w:r w:rsidR="008C0DA1">
              <w:rPr>
                <w:color w:val="000000"/>
                <w:sz w:val="20"/>
                <w:szCs w:val="20"/>
                <w:lang w:val="en-US"/>
              </w:rPr>
              <w:instrText>ADDIN CSL_CITATION {"citationItems":[{"id":"ITEM-1","itemData":{"abstract":"Purpose: ABCC2 (MRP2) and ABCG2 (BCRP) transport various endogenous and exogenous compounds, including many anticancer drugs, into bile, feces, and urine. We investigated the possibly overlapping roles of Abcg2 and Abcc2 in the elimination of the anticancer drug methotrexate (MTX) and its toxic metabolite 7-hydroxymethotrexate (7OH-MTX). Experimental Design: We generated and characterized Abcc2;Abcg2-/- mice, and used these to determine the overlapping roles of Abcc2 and Abcg2 in the elimination of MTX and 7OH-MTX after i.v. administration of 50 mg/kg MTX. Results: Compared with wild-type, the plasma areas under the curve (AUC) for MTX were 1.6-fold and 2.0-fold higher in Abcg2-/- and Abcc2-/- mice, respectively, and 3.3-fold increased in Abcc2;Abcg2-/- mice. The biliary excretion of MTX was 23-fold reduced in Abcc2;Abcg2-/- mice, and the MTX levels in the small intestine were dramatically decreased. Plasma levels of 7OH-MTX were not significantly altered in Abcg2-/- mice, but the areas under the curve were 6.2-fold and even 12.4-fold increased in Abcc2-/- and Abcc2;Abcg2-/- mice, respectively. This indicates that Abcc2 compensates for Abcg2 deficiency but that Abcg2 can only partly compensate for Abcc2 absence. Furthermore, 21-fold decreased biliary 7OH-MTX excretion in Abcc2;Abcg2-/- mice and substantial 7OH-MTX accumulation in the liver and kidney were seen. We additionally found that in the absence of Abcc2, Abcg2 mediated substantial urinary excretion of MTX and 7OH-MTX. Conclusions: Abcc2 and Abcg2 together are major determinants of MTX and 7OH-MTX pharmacokinetics. Variations in ABCC2 and/or ABCG2 activity due to polymorphisms or coadministered inhibitors may therefore substantially affect the therapeutic efficacy and toxicity in patients treated with MTX.","author":[{"dropping-particle":"","family":"Vlaming","given":"Maria L H","non-dropping-particle":"","parse-names":false,"suffix":""},{"dropping-particle":"","family":"Pala","given":"Zeliha","non-dropping-particle":"","parse-names":false,"suffix":""},{"dropping-particle":"","family":"Esch","given":"Anita","non-dropping-particle":"van","parse-names":false,"suffix":""},{"dropping-particle":"","family":"Wagenaar","given":"Els","non-dropping-particle":"","parse-names":false,"suffix":""},{"dropping-particle":"","family":"Waart","given":"Dirk R","non-dropping-particle":"de","parse-names":false,"suffix":""},{"dropping-particle":"","family":"Wetering","given":"Koen","non-dropping-particle":"van de","parse-names":false,"suffix":""},{"dropping-particle":"","family":"Kruijssen","given":"Cornelia M M","non-dropping-particle":"van der","parse-names":false,"suffix":""},{"dropping-particle":"","family":"Oude Elferink","given":"Ronald P J","non-dropping-particle":"","parse-names":false,"suffix":""},{"dropping-particle":"","family":"Tellingen","given":"Olaf","non-dropping-particle":"van","parse-names":false,"suffix":""},{"dropping-particle":"","family":"Schinkel","given":"Alfred H","non-dropping-particle":"","parse-names":false,"suffix":""}],"container-title":"Clinical Cancer Research","id":"ITEM-1","issue":"9","issued":{"date-parts":[["2009","4","30"]]},"page":"3084 LP - 3093","title":"Functionally Overlapping Roles of Abcg2 (Bcrp1) and Abcc2 (Mrp2) in the Elimination of Methotrexate and Its Main Toxic Metabolite 7-Hydroxymethotrexate","type":"article-journal","volume":"15"},"uris":["http://www.mendeley.com/documents/?uuid=4f82df16-b263-4655-9337-e96e2b30b0ab"]}],"mendeley":{"formattedCitation":"[32]","plainTextFormattedCitation":"[32]","previouslyFormattedCitation":"[32]"},"properties":{"noteIndex":0},"schema":"https://github.com/citation-style-language/schema/raw/master/csl-citation.json"}</w:instrText>
            </w:r>
            <w:r w:rsidRPr="00F82985">
              <w:rPr>
                <w:color w:val="000000"/>
                <w:sz w:val="20"/>
                <w:szCs w:val="20"/>
                <w:lang w:val="en-US"/>
              </w:rPr>
              <w:fldChar w:fldCharType="separate"/>
            </w:r>
            <w:r w:rsidRPr="00035536">
              <w:rPr>
                <w:noProof/>
                <w:color w:val="000000"/>
                <w:sz w:val="20"/>
                <w:szCs w:val="20"/>
                <w:lang w:val="en-US"/>
              </w:rPr>
              <w:t>[32]</w:t>
            </w:r>
            <w:r w:rsidRPr="00F82985">
              <w:rPr>
                <w:color w:val="000000"/>
                <w:sz w:val="20"/>
                <w:szCs w:val="20"/>
                <w:lang w:val="en-US"/>
              </w:rPr>
              <w:fldChar w:fldCharType="end"/>
            </w:r>
            <w:r w:rsidRPr="00F82985">
              <w:rPr>
                <w:color w:val="000000"/>
                <w:sz w:val="20"/>
                <w:szCs w:val="20"/>
                <w:lang w:val="en-US"/>
              </w:rPr>
              <w:t xml:space="preserve">; other unknown transporter </w:t>
            </w:r>
            <w:r w:rsidRPr="00F82985">
              <w:rPr>
                <w:color w:val="000000"/>
                <w:sz w:val="20"/>
                <w:szCs w:val="20"/>
              </w:rPr>
              <w:t xml:space="preserve"> </w:t>
            </w:r>
            <w:r w:rsidRPr="00F82985">
              <w:rPr>
                <w:color w:val="000000"/>
                <w:sz w:val="20"/>
                <w:szCs w:val="20"/>
              </w:rPr>
              <w:fldChar w:fldCharType="begin" w:fldLock="1"/>
            </w:r>
            <w:r w:rsidR="008C0DA1">
              <w:rPr>
                <w:color w:val="000000"/>
                <w:sz w:val="20"/>
                <w:szCs w:val="20"/>
              </w:rPr>
              <w:instrText>ADDIN CSL_CITATION {"citationItems":[{"id":"ITEM-1","itemData":{"abstract":"Purpose: ABCC2 (MRP2) and ABCG2 (BCRP) transport various endogenous and exogenous compounds, including many anticancer drugs, into bile, feces, and urine. We investigated the possibly overlapping roles of Abcg2 and Abcc2 in the elimination of the anticancer drug methotrexate (MTX) and its toxic metabolite 7-hydroxymethotrexate (7OH-MTX). Experimental Design: We generated and characterized Abcc2;Abcg2-/- mice, and used these to determine the overlapping roles of Abcc2 and Abcg2 in the elimination of MTX and 7OH-MTX after i.v. administration of 50 mg/kg MTX. Results: Compared with wild-type, the plasma areas under the curve (AUC) for MTX were 1.6-fold and 2.0-fold higher in Abcg2-/- and Abcc2-/- mice, respectively, and 3.3-fold increased in Abcc2;Abcg2-/- mice. The biliary excretion of MTX was 23-fold reduced in Abcc2;Abcg2-/- mice, and the MTX levels in the small intestine were dramatically decreased. Plasma levels of 7OH-MTX were not significantly altered in Abcg2-/- mice, but the areas under the curve were 6.2-fold and even 12.4-fold increased in Abcc2-/- and Abcc2;Abcg2-/- mice, respectively. This indicates that Abcc2 compensates for Abcg2 deficiency but that Abcg2 can only partly compensate for Abcc2 absence. Furthermore, 21-fold decreased biliary 7OH-MTX excretion in Abcc2;Abcg2-/- mice and substantial 7OH-MTX accumulation in the liver and kidney were seen. We additionally found that in the absence of Abcc2, Abcg2 mediated substantial urinary excretion of MTX and 7OH-MTX. Conclusions: Abcc2 and Abcg2 together are major determinants of MTX and 7OH-MTX pharmacokinetics. Variations in ABCC2 and/or ABCG2 activity due to polymorphisms or coadministered inhibitors may therefore substantially affect the therapeutic efficacy and toxicity in patients treated with MTX.","author":[{"dropping-particle":"","family":"Vlaming","given":"Maria L H","non-dropping-particle":"","parse-names":false,"suffix":""},{"dropping-particle":"","family":"Pala","given":"Zeliha","non-dropping-particle":"","parse-names":false,"suffix":""},{"dropping-particle":"","family":"Esch","given":"Anita","non-dropping-particle":"van","parse-names":false,"suffix":""},{"dropping-particle":"","family":"Wagenaar","given":"Els","non-dropping-particle":"","parse-names":false,"suffix":""},{"dropping-particle":"","family":"Waart","given":"Dirk R","non-dropping-particle":"de","parse-names":false,"suffix":""},{"dropping-particle":"","family":"Wetering","given":"Koen","non-dropping-particle":"van de","parse-names":false,"suffix":""},{"dropping-particle":"","family":"Kruijssen","given":"Cornelia M M","non-dropping-particle":"van der","parse-names":false,"suffix":""},{"dropping-particle":"","family":"Oude Elferink","given":"Ronald P J","non-dropping-particle":"","parse-names":false,"suffix":""},{"dropping-particle":"","family":"Tellingen","given":"Olaf","non-dropping-particle":"van","parse-names":false,"suffix":""},{"dropping-particle":"","family":"Schinkel","given":"Alfred H","non-dropping-particle":"","parse-names":false,"suffix":""}],"container-title":"Clinical Cancer Research","id":"ITEM-1","issue":"9","issued":{"date-parts":[["2009","4","30"]]},"page":"3084 LP - 3093","title":"Functionally Overlapping Roles of Abcg2 (Bcrp1) and Abcc2 (Mrp2) in the Elimination of Methotrexate and Its Main Toxic Metabolite 7-Hydroxymethotrexate","type":"article-journal","volume":"15"},"uris":["http://www.mendeley.com/documents/?uuid=4f82df16-b263-4655-9337-e96e2b30b0ab"]}],"mendeley":{"formattedCitation":"[32]","plainTextFormattedCitation":"[32]","previouslyFormattedCitation":"[32]"},"properties":{"noteIndex":0},"schema":"https://github.com/citation-style-language/schema/raw/master/csl-citation.json"}</w:instrText>
            </w:r>
            <w:r w:rsidRPr="00F82985">
              <w:rPr>
                <w:color w:val="000000"/>
                <w:sz w:val="20"/>
                <w:szCs w:val="20"/>
              </w:rPr>
              <w:fldChar w:fldCharType="separate"/>
            </w:r>
            <w:r w:rsidRPr="00035536">
              <w:rPr>
                <w:noProof/>
                <w:color w:val="000000"/>
                <w:sz w:val="20"/>
                <w:szCs w:val="20"/>
              </w:rPr>
              <w:t>[32]</w:t>
            </w:r>
            <w:r w:rsidRPr="00F82985">
              <w:rPr>
                <w:color w:val="000000"/>
                <w:sz w:val="20"/>
                <w:szCs w:val="20"/>
              </w:rPr>
              <w:fldChar w:fldCharType="end"/>
            </w:r>
            <w:r w:rsidRPr="00F82985">
              <w:rPr>
                <w:color w:val="000000"/>
                <w:sz w:val="20"/>
                <w:szCs w:val="20"/>
              </w:rPr>
              <w:t>.</w:t>
            </w:r>
          </w:p>
        </w:tc>
      </w:tr>
    </w:tbl>
    <w:p w14:paraId="0658782D" w14:textId="77777777" w:rsidR="007928F9" w:rsidRDefault="007928F9" w:rsidP="003B76E2">
      <w:pPr>
        <w:jc w:val="both"/>
        <w:rPr>
          <w:b/>
          <w:bCs/>
          <w:lang w:val="en-US"/>
        </w:rPr>
      </w:pPr>
    </w:p>
    <w:p w14:paraId="0E599076" w14:textId="77777777" w:rsidR="007928F9" w:rsidRDefault="007928F9" w:rsidP="003B76E2">
      <w:pPr>
        <w:jc w:val="both"/>
        <w:rPr>
          <w:b/>
          <w:bCs/>
          <w:lang w:val="en-US"/>
        </w:rPr>
      </w:pPr>
      <w:r>
        <w:rPr>
          <w:b/>
          <w:bCs/>
          <w:lang w:val="en-US"/>
        </w:rPr>
        <w:br w:type="page"/>
      </w:r>
    </w:p>
    <w:p w14:paraId="5BD2DCC3" w14:textId="5E5282CB" w:rsidR="007928F9" w:rsidRPr="00EC6355" w:rsidRDefault="007928F9" w:rsidP="003B76E2">
      <w:pPr>
        <w:pStyle w:val="Titolo2"/>
        <w:jc w:val="both"/>
        <w:rPr>
          <w:lang w:val="en-US"/>
        </w:rPr>
      </w:pPr>
      <w:bookmarkStart w:id="15" w:name="_Toc89853422"/>
      <w:r w:rsidRPr="00EC6355">
        <w:rPr>
          <w:lang w:val="en-US"/>
        </w:rPr>
        <w:lastRenderedPageBreak/>
        <w:t xml:space="preserve">Table </w:t>
      </w:r>
      <w:r w:rsidR="00E65251">
        <w:rPr>
          <w:lang w:val="en-US"/>
        </w:rPr>
        <w:t>S</w:t>
      </w:r>
      <w:r>
        <w:rPr>
          <w:lang w:val="en-US"/>
        </w:rPr>
        <w:t xml:space="preserve">2. </w:t>
      </w:r>
      <w:r w:rsidRPr="007928F9">
        <w:rPr>
          <w:lang w:val="en-US"/>
        </w:rPr>
        <w:t>Analysis of anthocyanins and taurocholate by UHPLC-ESI-MS/MS</w:t>
      </w:r>
      <w:bookmarkEnd w:id="15"/>
    </w:p>
    <w:p w14:paraId="436C1036" w14:textId="77777777" w:rsidR="007928F9" w:rsidRPr="00EC6355" w:rsidRDefault="007928F9" w:rsidP="003B76E2">
      <w:pPr>
        <w:jc w:val="both"/>
        <w:rPr>
          <w:lang w:val="en-US"/>
        </w:rPr>
      </w:pPr>
    </w:p>
    <w:p w14:paraId="23B6CC9F" w14:textId="0BAC8ADA" w:rsidR="007928F9" w:rsidRPr="00D03D3C" w:rsidRDefault="007928F9" w:rsidP="003B76E2">
      <w:pPr>
        <w:jc w:val="both"/>
        <w:rPr>
          <w:lang w:val="en-US"/>
        </w:rPr>
      </w:pPr>
      <w:r w:rsidRPr="007928F9">
        <w:rPr>
          <w:b/>
          <w:bCs/>
          <w:lang w:val="en-US"/>
        </w:rPr>
        <w:t>Table S</w:t>
      </w:r>
      <w:r>
        <w:rPr>
          <w:b/>
          <w:bCs/>
          <w:lang w:val="en-US"/>
        </w:rPr>
        <w:t>2.</w:t>
      </w:r>
      <w:r w:rsidRPr="007928F9">
        <w:rPr>
          <w:b/>
          <w:bCs/>
          <w:lang w:val="en-US"/>
        </w:rPr>
        <w:t xml:space="preserve"> Analysis of anthocyanins and taurocholate by UHPLC-ESI-MS/MS</w:t>
      </w:r>
      <w:r>
        <w:rPr>
          <w:lang w:val="en-US"/>
        </w:rPr>
        <w:t xml:space="preserve">. Q1: parent </w:t>
      </w:r>
      <w:r>
        <w:rPr>
          <w:i/>
          <w:lang w:val="en-US"/>
        </w:rPr>
        <w:t>m/z</w:t>
      </w:r>
      <w:r>
        <w:rPr>
          <w:lang w:val="en-US"/>
        </w:rPr>
        <w:t xml:space="preserve"> in Dalton (Da); Q3: daughter </w:t>
      </w:r>
      <w:r>
        <w:rPr>
          <w:i/>
          <w:lang w:val="en-US"/>
        </w:rPr>
        <w:t>m/z</w:t>
      </w:r>
      <w:r>
        <w:rPr>
          <w:lang w:val="en-US"/>
        </w:rPr>
        <w:t>; RT: retention time (min); LOD: Limit of Detection; LOQ: Limit of Quantitation.</w:t>
      </w:r>
    </w:p>
    <w:tbl>
      <w:tblPr>
        <w:tblStyle w:val="Grigliatabella"/>
        <w:tblW w:w="0" w:type="auto"/>
        <w:tblLook w:val="04A0" w:firstRow="1" w:lastRow="0" w:firstColumn="1" w:lastColumn="0" w:noHBand="0" w:noVBand="1"/>
      </w:tblPr>
      <w:tblGrid>
        <w:gridCol w:w="871"/>
        <w:gridCol w:w="992"/>
        <w:gridCol w:w="750"/>
        <w:gridCol w:w="2534"/>
        <w:gridCol w:w="1649"/>
        <w:gridCol w:w="1132"/>
        <w:gridCol w:w="1088"/>
      </w:tblGrid>
      <w:tr w:rsidR="007928F9" w:rsidRPr="00D03D3C" w14:paraId="6E2DF2B3" w14:textId="77777777" w:rsidTr="008D43B5">
        <w:tc>
          <w:tcPr>
            <w:tcW w:w="871" w:type="dxa"/>
          </w:tcPr>
          <w:p w14:paraId="2F6347C9" w14:textId="77777777" w:rsidR="007928F9" w:rsidRPr="00D03D3C" w:rsidRDefault="007928F9" w:rsidP="003B76E2">
            <w:pPr>
              <w:jc w:val="both"/>
              <w:rPr>
                <w:lang w:val="en-US"/>
              </w:rPr>
            </w:pPr>
            <w:r w:rsidRPr="00D03D3C">
              <w:rPr>
                <w:lang w:val="en-US"/>
              </w:rPr>
              <w:t>Q1 (Da)</w:t>
            </w:r>
          </w:p>
        </w:tc>
        <w:tc>
          <w:tcPr>
            <w:tcW w:w="992" w:type="dxa"/>
          </w:tcPr>
          <w:p w14:paraId="0EC5A78A" w14:textId="77777777" w:rsidR="007928F9" w:rsidRDefault="007928F9" w:rsidP="003B76E2">
            <w:pPr>
              <w:jc w:val="both"/>
              <w:rPr>
                <w:lang w:val="en-US"/>
              </w:rPr>
            </w:pPr>
            <w:r w:rsidRPr="00D03D3C">
              <w:rPr>
                <w:lang w:val="en-US"/>
              </w:rPr>
              <w:t>Q3</w:t>
            </w:r>
          </w:p>
          <w:p w14:paraId="4FB9117A" w14:textId="77777777" w:rsidR="007928F9" w:rsidRPr="00D03D3C" w:rsidRDefault="007928F9" w:rsidP="003B76E2">
            <w:pPr>
              <w:jc w:val="both"/>
              <w:rPr>
                <w:lang w:val="en-US"/>
              </w:rPr>
            </w:pPr>
            <w:r w:rsidRPr="00D03D3C">
              <w:rPr>
                <w:lang w:val="en-US"/>
              </w:rPr>
              <w:t xml:space="preserve"> (D</w:t>
            </w:r>
            <w:r>
              <w:rPr>
                <w:lang w:val="en-US"/>
              </w:rPr>
              <w:t>a</w:t>
            </w:r>
            <w:r w:rsidRPr="00D03D3C">
              <w:rPr>
                <w:lang w:val="en-US"/>
              </w:rPr>
              <w:t>)</w:t>
            </w:r>
          </w:p>
        </w:tc>
        <w:tc>
          <w:tcPr>
            <w:tcW w:w="750" w:type="dxa"/>
          </w:tcPr>
          <w:p w14:paraId="09E065F1" w14:textId="77777777" w:rsidR="007928F9" w:rsidRPr="00D03D3C" w:rsidRDefault="007928F9" w:rsidP="003B76E2">
            <w:pPr>
              <w:jc w:val="both"/>
              <w:rPr>
                <w:lang w:val="en-US"/>
              </w:rPr>
            </w:pPr>
            <w:r w:rsidRPr="00D03D3C">
              <w:rPr>
                <w:lang w:val="en-US"/>
              </w:rPr>
              <w:t>RT</w:t>
            </w:r>
            <w:r>
              <w:rPr>
                <w:lang w:val="en-US"/>
              </w:rPr>
              <w:t xml:space="preserve"> (min)</w:t>
            </w:r>
          </w:p>
        </w:tc>
        <w:tc>
          <w:tcPr>
            <w:tcW w:w="2534" w:type="dxa"/>
          </w:tcPr>
          <w:p w14:paraId="00B38241" w14:textId="77777777" w:rsidR="007928F9" w:rsidRPr="00D03D3C" w:rsidRDefault="007928F9" w:rsidP="003B76E2">
            <w:pPr>
              <w:jc w:val="both"/>
              <w:rPr>
                <w:lang w:val="en-US"/>
              </w:rPr>
            </w:pPr>
            <w:r w:rsidRPr="00D03D3C">
              <w:rPr>
                <w:lang w:val="en-US"/>
              </w:rPr>
              <w:t>ID</w:t>
            </w:r>
          </w:p>
        </w:tc>
        <w:tc>
          <w:tcPr>
            <w:tcW w:w="1649" w:type="dxa"/>
          </w:tcPr>
          <w:p w14:paraId="0198B7D5" w14:textId="77777777" w:rsidR="007928F9" w:rsidRPr="00D03D3C" w:rsidRDefault="007928F9" w:rsidP="003B76E2">
            <w:pPr>
              <w:jc w:val="both"/>
              <w:rPr>
                <w:lang w:val="en-US"/>
              </w:rPr>
            </w:pPr>
            <w:r w:rsidRPr="00D03D3C">
              <w:rPr>
                <w:lang w:val="en-US"/>
              </w:rPr>
              <w:t>Type</w:t>
            </w:r>
          </w:p>
        </w:tc>
        <w:tc>
          <w:tcPr>
            <w:tcW w:w="1132" w:type="dxa"/>
          </w:tcPr>
          <w:p w14:paraId="5AD10D0B" w14:textId="77777777" w:rsidR="007928F9" w:rsidRPr="00D03D3C" w:rsidRDefault="007928F9" w:rsidP="003B76E2">
            <w:pPr>
              <w:jc w:val="both"/>
              <w:rPr>
                <w:lang w:val="en-US"/>
              </w:rPr>
            </w:pPr>
            <w:r>
              <w:rPr>
                <w:lang w:val="en-US"/>
              </w:rPr>
              <w:t>LOD (mg/L)</w:t>
            </w:r>
          </w:p>
        </w:tc>
        <w:tc>
          <w:tcPr>
            <w:tcW w:w="1088" w:type="dxa"/>
          </w:tcPr>
          <w:p w14:paraId="20EE39D9" w14:textId="77777777" w:rsidR="007928F9" w:rsidRPr="00D03D3C" w:rsidRDefault="007928F9" w:rsidP="003B76E2">
            <w:pPr>
              <w:jc w:val="both"/>
              <w:rPr>
                <w:lang w:val="en-US"/>
              </w:rPr>
            </w:pPr>
            <w:r>
              <w:rPr>
                <w:lang w:val="en-US"/>
              </w:rPr>
              <w:t>LOQ (mg/L)</w:t>
            </w:r>
          </w:p>
        </w:tc>
      </w:tr>
      <w:tr w:rsidR="007928F9" w:rsidRPr="00D03D3C" w14:paraId="2506DBFB" w14:textId="77777777" w:rsidTr="008D43B5">
        <w:tc>
          <w:tcPr>
            <w:tcW w:w="871" w:type="dxa"/>
          </w:tcPr>
          <w:p w14:paraId="73C4B80F" w14:textId="77777777" w:rsidR="007928F9" w:rsidRPr="00D03D3C" w:rsidRDefault="007928F9" w:rsidP="003B76E2">
            <w:pPr>
              <w:jc w:val="both"/>
              <w:rPr>
                <w:lang w:val="en-US"/>
              </w:rPr>
            </w:pPr>
            <w:r w:rsidRPr="00D03D3C">
              <w:rPr>
                <w:lang w:val="en-US"/>
              </w:rPr>
              <w:t>449.3</w:t>
            </w:r>
          </w:p>
        </w:tc>
        <w:tc>
          <w:tcPr>
            <w:tcW w:w="992" w:type="dxa"/>
          </w:tcPr>
          <w:p w14:paraId="5CD5FB2D" w14:textId="77777777" w:rsidR="007928F9" w:rsidRPr="00D03D3C" w:rsidRDefault="007928F9" w:rsidP="003B76E2">
            <w:pPr>
              <w:jc w:val="both"/>
              <w:rPr>
                <w:lang w:val="en-US"/>
              </w:rPr>
            </w:pPr>
            <w:r w:rsidRPr="00D03D3C">
              <w:rPr>
                <w:lang w:val="en-US"/>
              </w:rPr>
              <w:t>287.1</w:t>
            </w:r>
          </w:p>
        </w:tc>
        <w:tc>
          <w:tcPr>
            <w:tcW w:w="750" w:type="dxa"/>
          </w:tcPr>
          <w:p w14:paraId="1811E490" w14:textId="77777777" w:rsidR="007928F9" w:rsidRPr="00D03D3C" w:rsidRDefault="007928F9" w:rsidP="003B76E2">
            <w:pPr>
              <w:jc w:val="both"/>
              <w:rPr>
                <w:lang w:val="en-US"/>
              </w:rPr>
            </w:pPr>
            <w:r w:rsidRPr="00D03D3C">
              <w:rPr>
                <w:lang w:val="en-US"/>
              </w:rPr>
              <w:t>1.10</w:t>
            </w:r>
          </w:p>
        </w:tc>
        <w:tc>
          <w:tcPr>
            <w:tcW w:w="2534" w:type="dxa"/>
          </w:tcPr>
          <w:p w14:paraId="017A1B6B" w14:textId="77777777" w:rsidR="007928F9" w:rsidRPr="00D03D3C" w:rsidRDefault="007928F9" w:rsidP="003B76E2">
            <w:pPr>
              <w:jc w:val="both"/>
              <w:rPr>
                <w:lang w:val="en-US"/>
              </w:rPr>
            </w:pPr>
            <w:r w:rsidRPr="00D03D3C">
              <w:rPr>
                <w:lang w:val="en-US"/>
              </w:rPr>
              <w:t xml:space="preserve">Cyanidin-3-O-glucoside </w:t>
            </w:r>
          </w:p>
        </w:tc>
        <w:tc>
          <w:tcPr>
            <w:tcW w:w="1649" w:type="dxa"/>
          </w:tcPr>
          <w:p w14:paraId="447A86B4" w14:textId="77777777" w:rsidR="007928F9" w:rsidRPr="00D03D3C" w:rsidRDefault="007928F9" w:rsidP="003B76E2">
            <w:pPr>
              <w:jc w:val="both"/>
              <w:rPr>
                <w:lang w:val="en-US"/>
              </w:rPr>
            </w:pPr>
            <w:r w:rsidRPr="00D03D3C">
              <w:rPr>
                <w:lang w:val="en-US"/>
              </w:rPr>
              <w:t>Quantifier ion</w:t>
            </w:r>
          </w:p>
        </w:tc>
        <w:tc>
          <w:tcPr>
            <w:tcW w:w="1132" w:type="dxa"/>
          </w:tcPr>
          <w:p w14:paraId="2B8E6F06" w14:textId="77777777" w:rsidR="007928F9" w:rsidRPr="00D03D3C" w:rsidRDefault="007928F9" w:rsidP="003B76E2">
            <w:pPr>
              <w:jc w:val="both"/>
              <w:rPr>
                <w:lang w:val="en-US"/>
              </w:rPr>
            </w:pPr>
            <w:r>
              <w:rPr>
                <w:lang w:val="en-US"/>
              </w:rPr>
              <w:t>&lt;0.00061</w:t>
            </w:r>
          </w:p>
        </w:tc>
        <w:tc>
          <w:tcPr>
            <w:tcW w:w="1088" w:type="dxa"/>
          </w:tcPr>
          <w:p w14:paraId="12461100" w14:textId="77777777" w:rsidR="007928F9" w:rsidRPr="00D03D3C" w:rsidRDefault="007928F9" w:rsidP="003B76E2">
            <w:pPr>
              <w:jc w:val="both"/>
              <w:rPr>
                <w:lang w:val="en-US"/>
              </w:rPr>
            </w:pPr>
            <w:r>
              <w:rPr>
                <w:lang w:val="en-US"/>
              </w:rPr>
              <w:t>0.00061</w:t>
            </w:r>
          </w:p>
        </w:tc>
      </w:tr>
      <w:tr w:rsidR="007928F9" w:rsidRPr="00D03D3C" w14:paraId="1804F44F" w14:textId="77777777" w:rsidTr="008D43B5">
        <w:tc>
          <w:tcPr>
            <w:tcW w:w="871" w:type="dxa"/>
          </w:tcPr>
          <w:p w14:paraId="133201C1" w14:textId="77777777" w:rsidR="007928F9" w:rsidRPr="00D03D3C" w:rsidRDefault="007928F9" w:rsidP="003B76E2">
            <w:pPr>
              <w:jc w:val="both"/>
              <w:rPr>
                <w:lang w:val="en-US"/>
              </w:rPr>
            </w:pPr>
            <w:r w:rsidRPr="00D03D3C">
              <w:rPr>
                <w:lang w:val="en-US"/>
              </w:rPr>
              <w:t>449.3</w:t>
            </w:r>
          </w:p>
        </w:tc>
        <w:tc>
          <w:tcPr>
            <w:tcW w:w="992" w:type="dxa"/>
          </w:tcPr>
          <w:p w14:paraId="007A0D3A" w14:textId="77777777" w:rsidR="007928F9" w:rsidRPr="00D03D3C" w:rsidRDefault="007928F9" w:rsidP="003B76E2">
            <w:pPr>
              <w:jc w:val="both"/>
              <w:rPr>
                <w:lang w:val="en-US"/>
              </w:rPr>
            </w:pPr>
            <w:r w:rsidRPr="00D03D3C">
              <w:rPr>
                <w:lang w:val="en-US"/>
              </w:rPr>
              <w:t>212.9</w:t>
            </w:r>
          </w:p>
        </w:tc>
        <w:tc>
          <w:tcPr>
            <w:tcW w:w="750" w:type="dxa"/>
          </w:tcPr>
          <w:p w14:paraId="655A21D1" w14:textId="77777777" w:rsidR="007928F9" w:rsidRPr="00D03D3C" w:rsidRDefault="007928F9" w:rsidP="003B76E2">
            <w:pPr>
              <w:jc w:val="both"/>
              <w:rPr>
                <w:lang w:val="en-US"/>
              </w:rPr>
            </w:pPr>
            <w:r w:rsidRPr="00D03D3C">
              <w:rPr>
                <w:lang w:val="en-US"/>
              </w:rPr>
              <w:t>1.10</w:t>
            </w:r>
          </w:p>
        </w:tc>
        <w:tc>
          <w:tcPr>
            <w:tcW w:w="2534" w:type="dxa"/>
          </w:tcPr>
          <w:p w14:paraId="4DD02E29" w14:textId="77777777" w:rsidR="007928F9" w:rsidRPr="00D03D3C" w:rsidRDefault="007928F9" w:rsidP="003B76E2">
            <w:pPr>
              <w:jc w:val="both"/>
              <w:rPr>
                <w:lang w:val="en-US"/>
              </w:rPr>
            </w:pPr>
            <w:r w:rsidRPr="00D03D3C">
              <w:rPr>
                <w:lang w:val="en-US"/>
              </w:rPr>
              <w:t>Cyanidin-3-O-glucoside</w:t>
            </w:r>
          </w:p>
        </w:tc>
        <w:tc>
          <w:tcPr>
            <w:tcW w:w="1649" w:type="dxa"/>
          </w:tcPr>
          <w:p w14:paraId="4687BB07" w14:textId="77777777" w:rsidR="007928F9" w:rsidRPr="00D03D3C" w:rsidRDefault="007928F9" w:rsidP="003B76E2">
            <w:pPr>
              <w:jc w:val="both"/>
              <w:rPr>
                <w:lang w:val="en-US"/>
              </w:rPr>
            </w:pPr>
            <w:r w:rsidRPr="00D03D3C">
              <w:rPr>
                <w:lang w:val="en-US"/>
              </w:rPr>
              <w:t>Qualifier ion</w:t>
            </w:r>
          </w:p>
        </w:tc>
        <w:tc>
          <w:tcPr>
            <w:tcW w:w="1132" w:type="dxa"/>
          </w:tcPr>
          <w:p w14:paraId="601ED71B" w14:textId="77777777" w:rsidR="007928F9" w:rsidRPr="00D03D3C" w:rsidRDefault="007928F9" w:rsidP="003B76E2">
            <w:pPr>
              <w:jc w:val="both"/>
              <w:rPr>
                <w:lang w:val="en-US"/>
              </w:rPr>
            </w:pPr>
            <w:r>
              <w:rPr>
                <w:lang w:val="en-US"/>
              </w:rPr>
              <w:t>0.00061</w:t>
            </w:r>
          </w:p>
        </w:tc>
        <w:tc>
          <w:tcPr>
            <w:tcW w:w="1088" w:type="dxa"/>
          </w:tcPr>
          <w:p w14:paraId="1A2EFF4D" w14:textId="77777777" w:rsidR="007928F9" w:rsidRPr="00D03D3C" w:rsidRDefault="007928F9" w:rsidP="003B76E2">
            <w:pPr>
              <w:jc w:val="both"/>
              <w:rPr>
                <w:lang w:val="en-US"/>
              </w:rPr>
            </w:pPr>
            <w:r>
              <w:rPr>
                <w:lang w:val="en-US"/>
              </w:rPr>
              <w:t>0.0012</w:t>
            </w:r>
          </w:p>
        </w:tc>
      </w:tr>
      <w:tr w:rsidR="007928F9" w:rsidRPr="00D03D3C" w14:paraId="53A1D52C" w14:textId="77777777" w:rsidTr="008D43B5">
        <w:tc>
          <w:tcPr>
            <w:tcW w:w="871" w:type="dxa"/>
          </w:tcPr>
          <w:p w14:paraId="111D2B2E" w14:textId="77777777" w:rsidR="007928F9" w:rsidRPr="00D03D3C" w:rsidRDefault="007928F9" w:rsidP="003B76E2">
            <w:pPr>
              <w:jc w:val="both"/>
              <w:rPr>
                <w:lang w:val="en-US"/>
              </w:rPr>
            </w:pPr>
            <w:r w:rsidRPr="00D03D3C">
              <w:rPr>
                <w:lang w:val="en-US"/>
              </w:rPr>
              <w:t>287.1</w:t>
            </w:r>
          </w:p>
        </w:tc>
        <w:tc>
          <w:tcPr>
            <w:tcW w:w="992" w:type="dxa"/>
          </w:tcPr>
          <w:p w14:paraId="270E4B32" w14:textId="77777777" w:rsidR="007928F9" w:rsidRPr="00D03D3C" w:rsidRDefault="007928F9" w:rsidP="003B76E2">
            <w:pPr>
              <w:jc w:val="both"/>
              <w:rPr>
                <w:lang w:val="en-US"/>
              </w:rPr>
            </w:pPr>
            <w:r w:rsidRPr="00D03D3C">
              <w:rPr>
                <w:lang w:val="en-US"/>
              </w:rPr>
              <w:t>137.2</w:t>
            </w:r>
          </w:p>
        </w:tc>
        <w:tc>
          <w:tcPr>
            <w:tcW w:w="750" w:type="dxa"/>
          </w:tcPr>
          <w:p w14:paraId="6A677B94" w14:textId="77777777" w:rsidR="007928F9" w:rsidRPr="00D03D3C" w:rsidRDefault="007928F9" w:rsidP="003B76E2">
            <w:pPr>
              <w:jc w:val="both"/>
              <w:rPr>
                <w:lang w:val="en-US"/>
              </w:rPr>
            </w:pPr>
            <w:r w:rsidRPr="00D03D3C">
              <w:rPr>
                <w:lang w:val="en-US"/>
              </w:rPr>
              <w:t>1.60</w:t>
            </w:r>
          </w:p>
        </w:tc>
        <w:tc>
          <w:tcPr>
            <w:tcW w:w="2534" w:type="dxa"/>
          </w:tcPr>
          <w:p w14:paraId="1EFCC25F" w14:textId="77777777" w:rsidR="007928F9" w:rsidRPr="00D03D3C" w:rsidRDefault="007928F9" w:rsidP="003B76E2">
            <w:pPr>
              <w:jc w:val="both"/>
              <w:rPr>
                <w:lang w:val="en-US"/>
              </w:rPr>
            </w:pPr>
            <w:r w:rsidRPr="00D03D3C">
              <w:rPr>
                <w:lang w:val="en-US"/>
              </w:rPr>
              <w:t>Cyanidin</w:t>
            </w:r>
          </w:p>
        </w:tc>
        <w:tc>
          <w:tcPr>
            <w:tcW w:w="1649" w:type="dxa"/>
          </w:tcPr>
          <w:p w14:paraId="61B975AD" w14:textId="77777777" w:rsidR="007928F9" w:rsidRPr="00D03D3C" w:rsidRDefault="007928F9" w:rsidP="003B76E2">
            <w:pPr>
              <w:jc w:val="both"/>
              <w:rPr>
                <w:lang w:val="en-US"/>
              </w:rPr>
            </w:pPr>
            <w:r w:rsidRPr="00D03D3C">
              <w:rPr>
                <w:lang w:val="en-US"/>
              </w:rPr>
              <w:t>Quantifier ion</w:t>
            </w:r>
          </w:p>
        </w:tc>
        <w:tc>
          <w:tcPr>
            <w:tcW w:w="1132" w:type="dxa"/>
          </w:tcPr>
          <w:p w14:paraId="22E44C69" w14:textId="77777777" w:rsidR="007928F9" w:rsidRPr="00D03D3C" w:rsidRDefault="007928F9" w:rsidP="003B76E2">
            <w:pPr>
              <w:jc w:val="both"/>
              <w:rPr>
                <w:lang w:val="en-US"/>
              </w:rPr>
            </w:pPr>
            <w:r>
              <w:rPr>
                <w:lang w:val="en-US"/>
              </w:rPr>
              <w:t>0.0048</w:t>
            </w:r>
          </w:p>
        </w:tc>
        <w:tc>
          <w:tcPr>
            <w:tcW w:w="1088" w:type="dxa"/>
          </w:tcPr>
          <w:p w14:paraId="2B541477" w14:textId="77777777" w:rsidR="007928F9" w:rsidRPr="00D03D3C" w:rsidRDefault="007928F9" w:rsidP="003B76E2">
            <w:pPr>
              <w:jc w:val="both"/>
              <w:rPr>
                <w:lang w:val="en-US"/>
              </w:rPr>
            </w:pPr>
            <w:r>
              <w:rPr>
                <w:lang w:val="en-US"/>
              </w:rPr>
              <w:t>0.0097</w:t>
            </w:r>
          </w:p>
        </w:tc>
      </w:tr>
      <w:tr w:rsidR="007928F9" w:rsidRPr="00D03D3C" w14:paraId="5555EFB1" w14:textId="77777777" w:rsidTr="008D43B5">
        <w:tc>
          <w:tcPr>
            <w:tcW w:w="871" w:type="dxa"/>
          </w:tcPr>
          <w:p w14:paraId="027BDED1" w14:textId="77777777" w:rsidR="007928F9" w:rsidRPr="00D03D3C" w:rsidRDefault="007928F9" w:rsidP="003B76E2">
            <w:pPr>
              <w:jc w:val="both"/>
              <w:rPr>
                <w:lang w:val="en-US"/>
              </w:rPr>
            </w:pPr>
            <w:r w:rsidRPr="00D03D3C">
              <w:rPr>
                <w:lang w:val="en-US"/>
              </w:rPr>
              <w:t>287.1</w:t>
            </w:r>
          </w:p>
        </w:tc>
        <w:tc>
          <w:tcPr>
            <w:tcW w:w="992" w:type="dxa"/>
          </w:tcPr>
          <w:p w14:paraId="651FA5A1" w14:textId="77777777" w:rsidR="007928F9" w:rsidRPr="00D03D3C" w:rsidRDefault="007928F9" w:rsidP="003B76E2">
            <w:pPr>
              <w:jc w:val="both"/>
              <w:rPr>
                <w:lang w:val="en-US"/>
              </w:rPr>
            </w:pPr>
            <w:r w:rsidRPr="00D03D3C">
              <w:rPr>
                <w:lang w:val="en-US"/>
              </w:rPr>
              <w:t>213.0</w:t>
            </w:r>
          </w:p>
        </w:tc>
        <w:tc>
          <w:tcPr>
            <w:tcW w:w="750" w:type="dxa"/>
          </w:tcPr>
          <w:p w14:paraId="0A220A0E" w14:textId="77777777" w:rsidR="007928F9" w:rsidRPr="00D03D3C" w:rsidRDefault="007928F9" w:rsidP="003B76E2">
            <w:pPr>
              <w:jc w:val="both"/>
              <w:rPr>
                <w:lang w:val="en-US"/>
              </w:rPr>
            </w:pPr>
            <w:r w:rsidRPr="00D03D3C">
              <w:rPr>
                <w:lang w:val="en-US"/>
              </w:rPr>
              <w:t>1.60</w:t>
            </w:r>
          </w:p>
        </w:tc>
        <w:tc>
          <w:tcPr>
            <w:tcW w:w="2534" w:type="dxa"/>
          </w:tcPr>
          <w:p w14:paraId="56E8692A" w14:textId="77777777" w:rsidR="007928F9" w:rsidRPr="00D03D3C" w:rsidRDefault="007928F9" w:rsidP="003B76E2">
            <w:pPr>
              <w:jc w:val="both"/>
              <w:rPr>
                <w:lang w:val="en-US"/>
              </w:rPr>
            </w:pPr>
            <w:r w:rsidRPr="00D03D3C">
              <w:rPr>
                <w:lang w:val="en-US"/>
              </w:rPr>
              <w:t>Cyanidin</w:t>
            </w:r>
          </w:p>
        </w:tc>
        <w:tc>
          <w:tcPr>
            <w:tcW w:w="1649" w:type="dxa"/>
          </w:tcPr>
          <w:p w14:paraId="2D17654C" w14:textId="77777777" w:rsidR="007928F9" w:rsidRPr="00D03D3C" w:rsidRDefault="007928F9" w:rsidP="003B76E2">
            <w:pPr>
              <w:jc w:val="both"/>
              <w:rPr>
                <w:lang w:val="en-US"/>
              </w:rPr>
            </w:pPr>
            <w:r w:rsidRPr="00D03D3C">
              <w:rPr>
                <w:lang w:val="en-US"/>
              </w:rPr>
              <w:t>Qualifier ion</w:t>
            </w:r>
          </w:p>
        </w:tc>
        <w:tc>
          <w:tcPr>
            <w:tcW w:w="1132" w:type="dxa"/>
          </w:tcPr>
          <w:p w14:paraId="7595E3CE" w14:textId="77777777" w:rsidR="007928F9" w:rsidRPr="00D03D3C" w:rsidRDefault="007928F9" w:rsidP="003B76E2">
            <w:pPr>
              <w:jc w:val="both"/>
              <w:rPr>
                <w:lang w:val="en-US"/>
              </w:rPr>
            </w:pPr>
            <w:r>
              <w:rPr>
                <w:lang w:val="en-US"/>
              </w:rPr>
              <w:t>0.0195</w:t>
            </w:r>
          </w:p>
        </w:tc>
        <w:tc>
          <w:tcPr>
            <w:tcW w:w="1088" w:type="dxa"/>
          </w:tcPr>
          <w:p w14:paraId="125155D1" w14:textId="77777777" w:rsidR="007928F9" w:rsidRPr="00D03D3C" w:rsidRDefault="007928F9" w:rsidP="003B76E2">
            <w:pPr>
              <w:jc w:val="both"/>
              <w:rPr>
                <w:lang w:val="en-US"/>
              </w:rPr>
            </w:pPr>
            <w:r>
              <w:rPr>
                <w:lang w:val="en-US"/>
              </w:rPr>
              <w:t>0.0390</w:t>
            </w:r>
          </w:p>
        </w:tc>
      </w:tr>
      <w:tr w:rsidR="007928F9" w:rsidRPr="00D03D3C" w14:paraId="76923255" w14:textId="77777777" w:rsidTr="008D43B5">
        <w:tc>
          <w:tcPr>
            <w:tcW w:w="871" w:type="dxa"/>
          </w:tcPr>
          <w:p w14:paraId="5CD93F0D" w14:textId="77777777" w:rsidR="007928F9" w:rsidRPr="00D03D3C" w:rsidRDefault="007928F9" w:rsidP="003B76E2">
            <w:pPr>
              <w:jc w:val="both"/>
              <w:rPr>
                <w:lang w:val="en-US"/>
              </w:rPr>
            </w:pPr>
            <w:r w:rsidRPr="00D03D3C">
              <w:rPr>
                <w:lang w:val="en-US"/>
              </w:rPr>
              <w:t>463.3</w:t>
            </w:r>
          </w:p>
        </w:tc>
        <w:tc>
          <w:tcPr>
            <w:tcW w:w="992" w:type="dxa"/>
          </w:tcPr>
          <w:p w14:paraId="1554C931" w14:textId="77777777" w:rsidR="007928F9" w:rsidRPr="00D03D3C" w:rsidRDefault="007928F9" w:rsidP="003B76E2">
            <w:pPr>
              <w:jc w:val="both"/>
              <w:rPr>
                <w:lang w:val="en-US"/>
              </w:rPr>
            </w:pPr>
            <w:r w:rsidRPr="00D03D3C">
              <w:rPr>
                <w:lang w:val="en-US"/>
              </w:rPr>
              <w:t>301.1</w:t>
            </w:r>
          </w:p>
        </w:tc>
        <w:tc>
          <w:tcPr>
            <w:tcW w:w="750" w:type="dxa"/>
          </w:tcPr>
          <w:p w14:paraId="70B70CC1" w14:textId="77777777" w:rsidR="007928F9" w:rsidRPr="00D03D3C" w:rsidRDefault="007928F9" w:rsidP="003B76E2">
            <w:pPr>
              <w:jc w:val="both"/>
              <w:rPr>
                <w:lang w:val="en-US"/>
              </w:rPr>
            </w:pPr>
            <w:r w:rsidRPr="00D03D3C">
              <w:rPr>
                <w:lang w:val="en-US"/>
              </w:rPr>
              <w:t>1.30</w:t>
            </w:r>
          </w:p>
        </w:tc>
        <w:tc>
          <w:tcPr>
            <w:tcW w:w="2534" w:type="dxa"/>
          </w:tcPr>
          <w:p w14:paraId="39712B8B" w14:textId="77777777" w:rsidR="007928F9" w:rsidRPr="00D03D3C" w:rsidRDefault="007928F9" w:rsidP="003B76E2">
            <w:pPr>
              <w:jc w:val="both"/>
              <w:rPr>
                <w:lang w:val="en-US"/>
              </w:rPr>
            </w:pPr>
            <w:r w:rsidRPr="00D03D3C">
              <w:rPr>
                <w:lang w:val="en-US"/>
              </w:rPr>
              <w:t>Peondin-3-O-glucoside</w:t>
            </w:r>
          </w:p>
        </w:tc>
        <w:tc>
          <w:tcPr>
            <w:tcW w:w="1649" w:type="dxa"/>
          </w:tcPr>
          <w:p w14:paraId="45A04ED5" w14:textId="77777777" w:rsidR="007928F9" w:rsidRPr="00D03D3C" w:rsidRDefault="007928F9" w:rsidP="003B76E2">
            <w:pPr>
              <w:jc w:val="both"/>
              <w:rPr>
                <w:lang w:val="en-US"/>
              </w:rPr>
            </w:pPr>
            <w:r w:rsidRPr="00D03D3C">
              <w:rPr>
                <w:lang w:val="en-US"/>
              </w:rPr>
              <w:t>Quantifier ion</w:t>
            </w:r>
          </w:p>
        </w:tc>
        <w:tc>
          <w:tcPr>
            <w:tcW w:w="1132" w:type="dxa"/>
          </w:tcPr>
          <w:p w14:paraId="31FD2B54" w14:textId="77777777" w:rsidR="007928F9" w:rsidRPr="00D03D3C" w:rsidRDefault="007928F9" w:rsidP="003B76E2">
            <w:pPr>
              <w:jc w:val="both"/>
              <w:rPr>
                <w:lang w:val="en-US"/>
              </w:rPr>
            </w:pPr>
            <w:r>
              <w:rPr>
                <w:lang w:val="en-US"/>
              </w:rPr>
              <w:t>&lt;0.00061</w:t>
            </w:r>
          </w:p>
        </w:tc>
        <w:tc>
          <w:tcPr>
            <w:tcW w:w="1088" w:type="dxa"/>
          </w:tcPr>
          <w:p w14:paraId="58740936" w14:textId="77777777" w:rsidR="007928F9" w:rsidRPr="00D03D3C" w:rsidRDefault="007928F9" w:rsidP="003B76E2">
            <w:pPr>
              <w:jc w:val="both"/>
              <w:rPr>
                <w:lang w:val="en-US"/>
              </w:rPr>
            </w:pPr>
            <w:r>
              <w:rPr>
                <w:lang w:val="en-US"/>
              </w:rPr>
              <w:t>0.00061</w:t>
            </w:r>
          </w:p>
        </w:tc>
      </w:tr>
      <w:tr w:rsidR="007928F9" w:rsidRPr="00D03D3C" w14:paraId="36BE1D48" w14:textId="77777777" w:rsidTr="008D43B5">
        <w:tc>
          <w:tcPr>
            <w:tcW w:w="871" w:type="dxa"/>
          </w:tcPr>
          <w:p w14:paraId="61A1DF49" w14:textId="77777777" w:rsidR="007928F9" w:rsidRPr="00D03D3C" w:rsidRDefault="007928F9" w:rsidP="003B76E2">
            <w:pPr>
              <w:jc w:val="both"/>
              <w:rPr>
                <w:lang w:val="en-US"/>
              </w:rPr>
            </w:pPr>
            <w:r w:rsidRPr="00D03D3C">
              <w:rPr>
                <w:lang w:val="en-US"/>
              </w:rPr>
              <w:t>463.3</w:t>
            </w:r>
          </w:p>
        </w:tc>
        <w:tc>
          <w:tcPr>
            <w:tcW w:w="992" w:type="dxa"/>
          </w:tcPr>
          <w:p w14:paraId="19FFEFD4" w14:textId="77777777" w:rsidR="007928F9" w:rsidRPr="00D03D3C" w:rsidRDefault="007928F9" w:rsidP="003B76E2">
            <w:pPr>
              <w:jc w:val="both"/>
              <w:rPr>
                <w:lang w:val="en-US"/>
              </w:rPr>
            </w:pPr>
            <w:r w:rsidRPr="00D03D3C">
              <w:rPr>
                <w:lang w:val="en-US"/>
              </w:rPr>
              <w:t>286.0</w:t>
            </w:r>
          </w:p>
        </w:tc>
        <w:tc>
          <w:tcPr>
            <w:tcW w:w="750" w:type="dxa"/>
          </w:tcPr>
          <w:p w14:paraId="0AA0589B" w14:textId="77777777" w:rsidR="007928F9" w:rsidRPr="00D03D3C" w:rsidRDefault="007928F9" w:rsidP="003B76E2">
            <w:pPr>
              <w:jc w:val="both"/>
              <w:rPr>
                <w:lang w:val="en-US"/>
              </w:rPr>
            </w:pPr>
            <w:r w:rsidRPr="00D03D3C">
              <w:rPr>
                <w:lang w:val="en-US"/>
              </w:rPr>
              <w:t>1.30</w:t>
            </w:r>
          </w:p>
        </w:tc>
        <w:tc>
          <w:tcPr>
            <w:tcW w:w="2534" w:type="dxa"/>
          </w:tcPr>
          <w:p w14:paraId="4473FBD0" w14:textId="77777777" w:rsidR="007928F9" w:rsidRPr="00D03D3C" w:rsidRDefault="007928F9" w:rsidP="003B76E2">
            <w:pPr>
              <w:jc w:val="both"/>
              <w:rPr>
                <w:lang w:val="en-US"/>
              </w:rPr>
            </w:pPr>
            <w:r w:rsidRPr="00D03D3C">
              <w:rPr>
                <w:lang w:val="en-US"/>
              </w:rPr>
              <w:t>Peondin-3-O-glucoside</w:t>
            </w:r>
          </w:p>
        </w:tc>
        <w:tc>
          <w:tcPr>
            <w:tcW w:w="1649" w:type="dxa"/>
          </w:tcPr>
          <w:p w14:paraId="30903BAC" w14:textId="77777777" w:rsidR="007928F9" w:rsidRPr="00D03D3C" w:rsidRDefault="007928F9" w:rsidP="003B76E2">
            <w:pPr>
              <w:jc w:val="both"/>
              <w:rPr>
                <w:lang w:val="en-US"/>
              </w:rPr>
            </w:pPr>
            <w:r w:rsidRPr="00D03D3C">
              <w:rPr>
                <w:lang w:val="en-US"/>
              </w:rPr>
              <w:t>Qualifier ion</w:t>
            </w:r>
          </w:p>
        </w:tc>
        <w:tc>
          <w:tcPr>
            <w:tcW w:w="1132" w:type="dxa"/>
          </w:tcPr>
          <w:p w14:paraId="284DF88C" w14:textId="77777777" w:rsidR="007928F9" w:rsidRPr="00D03D3C" w:rsidRDefault="007928F9" w:rsidP="003B76E2">
            <w:pPr>
              <w:jc w:val="both"/>
              <w:rPr>
                <w:lang w:val="en-US"/>
              </w:rPr>
            </w:pPr>
            <w:r>
              <w:rPr>
                <w:lang w:val="en-US"/>
              </w:rPr>
              <w:t>0.00061</w:t>
            </w:r>
          </w:p>
        </w:tc>
        <w:tc>
          <w:tcPr>
            <w:tcW w:w="1088" w:type="dxa"/>
          </w:tcPr>
          <w:p w14:paraId="5244DC23" w14:textId="77777777" w:rsidR="007928F9" w:rsidRPr="00D03D3C" w:rsidRDefault="007928F9" w:rsidP="003B76E2">
            <w:pPr>
              <w:jc w:val="both"/>
              <w:rPr>
                <w:lang w:val="en-US"/>
              </w:rPr>
            </w:pPr>
            <w:r>
              <w:rPr>
                <w:lang w:val="en-US"/>
              </w:rPr>
              <w:t>0.0012</w:t>
            </w:r>
          </w:p>
        </w:tc>
      </w:tr>
      <w:tr w:rsidR="007928F9" w:rsidRPr="00D03D3C" w14:paraId="48502DAE" w14:textId="77777777" w:rsidTr="008D43B5">
        <w:tc>
          <w:tcPr>
            <w:tcW w:w="871" w:type="dxa"/>
          </w:tcPr>
          <w:p w14:paraId="36762295" w14:textId="77777777" w:rsidR="007928F9" w:rsidRPr="00D03D3C" w:rsidRDefault="007928F9" w:rsidP="003B76E2">
            <w:pPr>
              <w:jc w:val="both"/>
              <w:rPr>
                <w:lang w:val="en-US"/>
              </w:rPr>
            </w:pPr>
            <w:r w:rsidRPr="00D03D3C">
              <w:rPr>
                <w:lang w:val="en-US"/>
              </w:rPr>
              <w:t>301.1</w:t>
            </w:r>
          </w:p>
        </w:tc>
        <w:tc>
          <w:tcPr>
            <w:tcW w:w="992" w:type="dxa"/>
          </w:tcPr>
          <w:p w14:paraId="6D197648" w14:textId="77777777" w:rsidR="007928F9" w:rsidRPr="00D03D3C" w:rsidRDefault="007928F9" w:rsidP="003B76E2">
            <w:pPr>
              <w:jc w:val="both"/>
              <w:rPr>
                <w:lang w:val="en-US"/>
              </w:rPr>
            </w:pPr>
            <w:r w:rsidRPr="00D03D3C">
              <w:rPr>
                <w:lang w:val="en-US"/>
              </w:rPr>
              <w:t>201.1</w:t>
            </w:r>
          </w:p>
        </w:tc>
        <w:tc>
          <w:tcPr>
            <w:tcW w:w="750" w:type="dxa"/>
          </w:tcPr>
          <w:p w14:paraId="04DBA54A" w14:textId="77777777" w:rsidR="007928F9" w:rsidRPr="00D03D3C" w:rsidRDefault="007928F9" w:rsidP="003B76E2">
            <w:pPr>
              <w:jc w:val="both"/>
              <w:rPr>
                <w:lang w:val="en-US"/>
              </w:rPr>
            </w:pPr>
            <w:r w:rsidRPr="00D03D3C">
              <w:rPr>
                <w:lang w:val="en-US"/>
              </w:rPr>
              <w:t>1.78</w:t>
            </w:r>
          </w:p>
        </w:tc>
        <w:tc>
          <w:tcPr>
            <w:tcW w:w="2534" w:type="dxa"/>
          </w:tcPr>
          <w:p w14:paraId="7960C88B" w14:textId="77777777" w:rsidR="007928F9" w:rsidRPr="00D03D3C" w:rsidRDefault="007928F9" w:rsidP="003B76E2">
            <w:pPr>
              <w:jc w:val="both"/>
              <w:rPr>
                <w:lang w:val="en-US"/>
              </w:rPr>
            </w:pPr>
            <w:r w:rsidRPr="00D03D3C">
              <w:rPr>
                <w:lang w:val="en-US"/>
              </w:rPr>
              <w:t>Peonidin</w:t>
            </w:r>
          </w:p>
        </w:tc>
        <w:tc>
          <w:tcPr>
            <w:tcW w:w="1649" w:type="dxa"/>
          </w:tcPr>
          <w:p w14:paraId="10FA7356" w14:textId="77777777" w:rsidR="007928F9" w:rsidRPr="00D03D3C" w:rsidRDefault="007928F9" w:rsidP="003B76E2">
            <w:pPr>
              <w:jc w:val="both"/>
              <w:rPr>
                <w:lang w:val="en-US"/>
              </w:rPr>
            </w:pPr>
            <w:r w:rsidRPr="00D03D3C">
              <w:rPr>
                <w:lang w:val="en-US"/>
              </w:rPr>
              <w:t>Quantifier ion</w:t>
            </w:r>
          </w:p>
        </w:tc>
        <w:tc>
          <w:tcPr>
            <w:tcW w:w="1132" w:type="dxa"/>
          </w:tcPr>
          <w:p w14:paraId="73276103" w14:textId="77777777" w:rsidR="007928F9" w:rsidRPr="00D03D3C" w:rsidRDefault="007928F9" w:rsidP="003B76E2">
            <w:pPr>
              <w:jc w:val="both"/>
              <w:rPr>
                <w:lang w:val="en-US"/>
              </w:rPr>
            </w:pPr>
            <w:r>
              <w:rPr>
                <w:lang w:val="en-US"/>
              </w:rPr>
              <w:t>0.0024</w:t>
            </w:r>
          </w:p>
        </w:tc>
        <w:tc>
          <w:tcPr>
            <w:tcW w:w="1088" w:type="dxa"/>
          </w:tcPr>
          <w:p w14:paraId="48C1A7D3" w14:textId="77777777" w:rsidR="007928F9" w:rsidRPr="00D03D3C" w:rsidRDefault="007928F9" w:rsidP="003B76E2">
            <w:pPr>
              <w:jc w:val="both"/>
              <w:rPr>
                <w:lang w:val="en-US"/>
              </w:rPr>
            </w:pPr>
            <w:r>
              <w:rPr>
                <w:lang w:val="en-US"/>
              </w:rPr>
              <w:t>0.0048</w:t>
            </w:r>
          </w:p>
        </w:tc>
      </w:tr>
      <w:tr w:rsidR="007928F9" w:rsidRPr="00D03D3C" w14:paraId="6D184EF3" w14:textId="77777777" w:rsidTr="008D43B5">
        <w:tc>
          <w:tcPr>
            <w:tcW w:w="871" w:type="dxa"/>
          </w:tcPr>
          <w:p w14:paraId="46F558DB" w14:textId="77777777" w:rsidR="007928F9" w:rsidRPr="00D03D3C" w:rsidRDefault="007928F9" w:rsidP="003B76E2">
            <w:pPr>
              <w:jc w:val="both"/>
              <w:rPr>
                <w:lang w:val="en-US"/>
              </w:rPr>
            </w:pPr>
            <w:r w:rsidRPr="00D03D3C">
              <w:rPr>
                <w:lang w:val="en-US"/>
              </w:rPr>
              <w:t>301.1</w:t>
            </w:r>
          </w:p>
        </w:tc>
        <w:tc>
          <w:tcPr>
            <w:tcW w:w="992" w:type="dxa"/>
          </w:tcPr>
          <w:p w14:paraId="4D5EB1EF" w14:textId="77777777" w:rsidR="007928F9" w:rsidRPr="00D03D3C" w:rsidRDefault="007928F9" w:rsidP="003B76E2">
            <w:pPr>
              <w:jc w:val="both"/>
              <w:rPr>
                <w:lang w:val="en-US"/>
              </w:rPr>
            </w:pPr>
            <w:r w:rsidRPr="00D03D3C">
              <w:rPr>
                <w:lang w:val="en-US"/>
              </w:rPr>
              <w:t>286.2</w:t>
            </w:r>
          </w:p>
        </w:tc>
        <w:tc>
          <w:tcPr>
            <w:tcW w:w="750" w:type="dxa"/>
          </w:tcPr>
          <w:p w14:paraId="44DCF8A3" w14:textId="77777777" w:rsidR="007928F9" w:rsidRPr="00D03D3C" w:rsidRDefault="007928F9" w:rsidP="003B76E2">
            <w:pPr>
              <w:jc w:val="both"/>
              <w:rPr>
                <w:lang w:val="en-US"/>
              </w:rPr>
            </w:pPr>
            <w:r w:rsidRPr="00D03D3C">
              <w:rPr>
                <w:lang w:val="en-US"/>
              </w:rPr>
              <w:t>1.78</w:t>
            </w:r>
          </w:p>
        </w:tc>
        <w:tc>
          <w:tcPr>
            <w:tcW w:w="2534" w:type="dxa"/>
          </w:tcPr>
          <w:p w14:paraId="6C3B64BF" w14:textId="77777777" w:rsidR="007928F9" w:rsidRPr="00D03D3C" w:rsidRDefault="007928F9" w:rsidP="003B76E2">
            <w:pPr>
              <w:jc w:val="both"/>
              <w:rPr>
                <w:lang w:val="en-US"/>
              </w:rPr>
            </w:pPr>
            <w:r w:rsidRPr="00D03D3C">
              <w:rPr>
                <w:lang w:val="en-US"/>
              </w:rPr>
              <w:t>Peonidin</w:t>
            </w:r>
          </w:p>
        </w:tc>
        <w:tc>
          <w:tcPr>
            <w:tcW w:w="1649" w:type="dxa"/>
          </w:tcPr>
          <w:p w14:paraId="3D94E3EE" w14:textId="77777777" w:rsidR="007928F9" w:rsidRPr="00D03D3C" w:rsidRDefault="007928F9" w:rsidP="003B76E2">
            <w:pPr>
              <w:jc w:val="both"/>
              <w:rPr>
                <w:lang w:val="en-US"/>
              </w:rPr>
            </w:pPr>
            <w:r w:rsidRPr="00D03D3C">
              <w:rPr>
                <w:lang w:val="en-US"/>
              </w:rPr>
              <w:t>Qualifier ion</w:t>
            </w:r>
          </w:p>
        </w:tc>
        <w:tc>
          <w:tcPr>
            <w:tcW w:w="1132" w:type="dxa"/>
          </w:tcPr>
          <w:p w14:paraId="13F8F4B6" w14:textId="77777777" w:rsidR="007928F9" w:rsidRPr="00D03D3C" w:rsidRDefault="007928F9" w:rsidP="003B76E2">
            <w:pPr>
              <w:jc w:val="both"/>
              <w:rPr>
                <w:lang w:val="en-US"/>
              </w:rPr>
            </w:pPr>
            <w:r>
              <w:rPr>
                <w:lang w:val="en-US"/>
              </w:rPr>
              <w:t>0.0390</w:t>
            </w:r>
          </w:p>
        </w:tc>
        <w:tc>
          <w:tcPr>
            <w:tcW w:w="1088" w:type="dxa"/>
          </w:tcPr>
          <w:p w14:paraId="50D09606" w14:textId="77777777" w:rsidR="007928F9" w:rsidRPr="00D03D3C" w:rsidRDefault="007928F9" w:rsidP="003B76E2">
            <w:pPr>
              <w:jc w:val="both"/>
              <w:rPr>
                <w:lang w:val="en-US"/>
              </w:rPr>
            </w:pPr>
            <w:r>
              <w:rPr>
                <w:lang w:val="en-US"/>
              </w:rPr>
              <w:t>0.0781</w:t>
            </w:r>
          </w:p>
        </w:tc>
      </w:tr>
      <w:tr w:rsidR="007928F9" w:rsidRPr="00D03D3C" w14:paraId="2B5DE758" w14:textId="77777777" w:rsidTr="008D43B5">
        <w:tc>
          <w:tcPr>
            <w:tcW w:w="871" w:type="dxa"/>
          </w:tcPr>
          <w:p w14:paraId="5899BA42" w14:textId="77777777" w:rsidR="007928F9" w:rsidRPr="00D03D3C" w:rsidRDefault="007928F9" w:rsidP="003B76E2">
            <w:pPr>
              <w:jc w:val="both"/>
              <w:rPr>
                <w:lang w:val="en-US"/>
              </w:rPr>
            </w:pPr>
            <w:r w:rsidRPr="00D03D3C">
              <w:rPr>
                <w:lang w:val="en-US"/>
              </w:rPr>
              <w:t>514.3</w:t>
            </w:r>
          </w:p>
        </w:tc>
        <w:tc>
          <w:tcPr>
            <w:tcW w:w="992" w:type="dxa"/>
          </w:tcPr>
          <w:p w14:paraId="1C8B6B18" w14:textId="77777777" w:rsidR="007928F9" w:rsidRPr="00D03D3C" w:rsidRDefault="007928F9" w:rsidP="003B76E2">
            <w:pPr>
              <w:jc w:val="both"/>
              <w:rPr>
                <w:lang w:val="en-US"/>
              </w:rPr>
            </w:pPr>
            <w:r w:rsidRPr="00D03D3C">
              <w:rPr>
                <w:lang w:val="en-US"/>
              </w:rPr>
              <w:t>514.3</w:t>
            </w:r>
          </w:p>
        </w:tc>
        <w:tc>
          <w:tcPr>
            <w:tcW w:w="750" w:type="dxa"/>
          </w:tcPr>
          <w:p w14:paraId="2B982786" w14:textId="77777777" w:rsidR="007928F9" w:rsidRPr="00D03D3C" w:rsidRDefault="007928F9" w:rsidP="003B76E2">
            <w:pPr>
              <w:jc w:val="both"/>
              <w:rPr>
                <w:lang w:val="en-US"/>
              </w:rPr>
            </w:pPr>
            <w:r w:rsidRPr="00D03D3C">
              <w:rPr>
                <w:lang w:val="en-US"/>
              </w:rPr>
              <w:t>2.60</w:t>
            </w:r>
          </w:p>
        </w:tc>
        <w:tc>
          <w:tcPr>
            <w:tcW w:w="2534" w:type="dxa"/>
          </w:tcPr>
          <w:p w14:paraId="0731152D" w14:textId="77777777" w:rsidR="007928F9" w:rsidRPr="00D03D3C" w:rsidRDefault="007928F9" w:rsidP="003B76E2">
            <w:pPr>
              <w:jc w:val="both"/>
              <w:rPr>
                <w:lang w:val="en-US"/>
              </w:rPr>
            </w:pPr>
            <w:r w:rsidRPr="00D03D3C">
              <w:rPr>
                <w:lang w:val="en-US"/>
              </w:rPr>
              <w:t>Taurocholic acid</w:t>
            </w:r>
          </w:p>
        </w:tc>
        <w:tc>
          <w:tcPr>
            <w:tcW w:w="1649" w:type="dxa"/>
          </w:tcPr>
          <w:p w14:paraId="01061C7E" w14:textId="77777777" w:rsidR="007928F9" w:rsidRPr="00D03D3C" w:rsidRDefault="007928F9" w:rsidP="003B76E2">
            <w:pPr>
              <w:jc w:val="both"/>
              <w:rPr>
                <w:lang w:val="en-US"/>
              </w:rPr>
            </w:pPr>
            <w:r w:rsidRPr="00D03D3C">
              <w:rPr>
                <w:lang w:val="en-US"/>
              </w:rPr>
              <w:t>Quantifier ion</w:t>
            </w:r>
          </w:p>
        </w:tc>
        <w:tc>
          <w:tcPr>
            <w:tcW w:w="1132" w:type="dxa"/>
          </w:tcPr>
          <w:p w14:paraId="627FC9A4" w14:textId="77777777" w:rsidR="007928F9" w:rsidRPr="00D03D3C" w:rsidRDefault="007928F9" w:rsidP="003B76E2">
            <w:pPr>
              <w:jc w:val="both"/>
              <w:rPr>
                <w:lang w:val="en-US"/>
              </w:rPr>
            </w:pPr>
            <w:r>
              <w:rPr>
                <w:lang w:val="en-US"/>
              </w:rPr>
              <w:t>&lt;0.0012</w:t>
            </w:r>
          </w:p>
        </w:tc>
        <w:tc>
          <w:tcPr>
            <w:tcW w:w="1088" w:type="dxa"/>
          </w:tcPr>
          <w:p w14:paraId="5B677770" w14:textId="77777777" w:rsidR="007928F9" w:rsidRPr="00D03D3C" w:rsidRDefault="007928F9" w:rsidP="003B76E2">
            <w:pPr>
              <w:jc w:val="both"/>
              <w:rPr>
                <w:lang w:val="en-US"/>
              </w:rPr>
            </w:pPr>
            <w:r>
              <w:rPr>
                <w:lang w:val="en-US"/>
              </w:rPr>
              <w:t>0.0012</w:t>
            </w:r>
          </w:p>
        </w:tc>
      </w:tr>
      <w:tr w:rsidR="007928F9" w:rsidRPr="00D03D3C" w14:paraId="3B7595D8" w14:textId="77777777" w:rsidTr="008D43B5">
        <w:tc>
          <w:tcPr>
            <w:tcW w:w="871" w:type="dxa"/>
          </w:tcPr>
          <w:p w14:paraId="4C80E4C6" w14:textId="77777777" w:rsidR="007928F9" w:rsidRPr="00D03D3C" w:rsidRDefault="007928F9" w:rsidP="003B76E2">
            <w:pPr>
              <w:jc w:val="both"/>
              <w:rPr>
                <w:lang w:val="en-US"/>
              </w:rPr>
            </w:pPr>
            <w:r w:rsidRPr="00D03D3C">
              <w:rPr>
                <w:lang w:val="en-US"/>
              </w:rPr>
              <w:t>514.3</w:t>
            </w:r>
          </w:p>
        </w:tc>
        <w:tc>
          <w:tcPr>
            <w:tcW w:w="992" w:type="dxa"/>
          </w:tcPr>
          <w:p w14:paraId="07D5568D" w14:textId="77777777" w:rsidR="007928F9" w:rsidRPr="00D03D3C" w:rsidRDefault="007928F9" w:rsidP="003B76E2">
            <w:pPr>
              <w:jc w:val="both"/>
              <w:rPr>
                <w:lang w:val="en-US"/>
              </w:rPr>
            </w:pPr>
            <w:r w:rsidRPr="00D03D3C">
              <w:rPr>
                <w:lang w:val="en-US"/>
              </w:rPr>
              <w:t>80.0</w:t>
            </w:r>
          </w:p>
        </w:tc>
        <w:tc>
          <w:tcPr>
            <w:tcW w:w="750" w:type="dxa"/>
          </w:tcPr>
          <w:p w14:paraId="1E6611CD" w14:textId="77777777" w:rsidR="007928F9" w:rsidRPr="00D03D3C" w:rsidRDefault="007928F9" w:rsidP="003B76E2">
            <w:pPr>
              <w:jc w:val="both"/>
              <w:rPr>
                <w:lang w:val="en-US"/>
              </w:rPr>
            </w:pPr>
            <w:r w:rsidRPr="00D03D3C">
              <w:rPr>
                <w:lang w:val="en-US"/>
              </w:rPr>
              <w:t>2.60</w:t>
            </w:r>
          </w:p>
        </w:tc>
        <w:tc>
          <w:tcPr>
            <w:tcW w:w="2534" w:type="dxa"/>
          </w:tcPr>
          <w:p w14:paraId="4CC5B040" w14:textId="77777777" w:rsidR="007928F9" w:rsidRPr="00D03D3C" w:rsidRDefault="007928F9" w:rsidP="003B76E2">
            <w:pPr>
              <w:jc w:val="both"/>
              <w:rPr>
                <w:lang w:val="en-US"/>
              </w:rPr>
            </w:pPr>
            <w:r w:rsidRPr="00D03D3C">
              <w:rPr>
                <w:lang w:val="en-US"/>
              </w:rPr>
              <w:t>Taurocholic acid</w:t>
            </w:r>
          </w:p>
        </w:tc>
        <w:tc>
          <w:tcPr>
            <w:tcW w:w="1649" w:type="dxa"/>
          </w:tcPr>
          <w:p w14:paraId="57076BBA" w14:textId="77777777" w:rsidR="007928F9" w:rsidRPr="00D03D3C" w:rsidRDefault="007928F9" w:rsidP="003B76E2">
            <w:pPr>
              <w:jc w:val="both"/>
              <w:rPr>
                <w:lang w:val="en-US"/>
              </w:rPr>
            </w:pPr>
            <w:r w:rsidRPr="00D03D3C">
              <w:rPr>
                <w:lang w:val="en-US"/>
              </w:rPr>
              <w:t>Qualifier ion</w:t>
            </w:r>
          </w:p>
        </w:tc>
        <w:tc>
          <w:tcPr>
            <w:tcW w:w="1132" w:type="dxa"/>
          </w:tcPr>
          <w:p w14:paraId="52BCAEAA" w14:textId="77777777" w:rsidR="007928F9" w:rsidRPr="00D03D3C" w:rsidRDefault="007928F9" w:rsidP="003B76E2">
            <w:pPr>
              <w:jc w:val="both"/>
              <w:rPr>
                <w:lang w:val="en-US"/>
              </w:rPr>
            </w:pPr>
            <w:r>
              <w:rPr>
                <w:lang w:val="en-US"/>
              </w:rPr>
              <w:t>&lt;0.0012</w:t>
            </w:r>
          </w:p>
        </w:tc>
        <w:tc>
          <w:tcPr>
            <w:tcW w:w="1088" w:type="dxa"/>
          </w:tcPr>
          <w:p w14:paraId="2B857F68" w14:textId="77777777" w:rsidR="007928F9" w:rsidRPr="00D03D3C" w:rsidRDefault="007928F9" w:rsidP="003B76E2">
            <w:pPr>
              <w:jc w:val="both"/>
              <w:rPr>
                <w:lang w:val="en-US"/>
              </w:rPr>
            </w:pPr>
            <w:r>
              <w:rPr>
                <w:lang w:val="en-US"/>
              </w:rPr>
              <w:t>0.0012</w:t>
            </w:r>
          </w:p>
        </w:tc>
      </w:tr>
      <w:tr w:rsidR="007928F9" w:rsidRPr="00D03D3C" w14:paraId="5893BBBA" w14:textId="77777777" w:rsidTr="008D43B5">
        <w:tc>
          <w:tcPr>
            <w:tcW w:w="871" w:type="dxa"/>
          </w:tcPr>
          <w:p w14:paraId="290249E0" w14:textId="77777777" w:rsidR="007928F9" w:rsidRPr="00D03D3C" w:rsidRDefault="007928F9" w:rsidP="003B76E2">
            <w:pPr>
              <w:jc w:val="both"/>
              <w:rPr>
                <w:lang w:val="en-US"/>
              </w:rPr>
            </w:pPr>
            <w:r w:rsidRPr="00D03D3C">
              <w:rPr>
                <w:lang w:val="en-US"/>
              </w:rPr>
              <w:t>519.3</w:t>
            </w:r>
          </w:p>
        </w:tc>
        <w:tc>
          <w:tcPr>
            <w:tcW w:w="992" w:type="dxa"/>
          </w:tcPr>
          <w:p w14:paraId="57D8D803" w14:textId="77777777" w:rsidR="007928F9" w:rsidRPr="00D03D3C" w:rsidRDefault="007928F9" w:rsidP="003B76E2">
            <w:pPr>
              <w:jc w:val="both"/>
              <w:rPr>
                <w:lang w:val="en-US"/>
              </w:rPr>
            </w:pPr>
            <w:r w:rsidRPr="00D03D3C">
              <w:rPr>
                <w:lang w:val="en-US"/>
              </w:rPr>
              <w:t>80.0</w:t>
            </w:r>
          </w:p>
        </w:tc>
        <w:tc>
          <w:tcPr>
            <w:tcW w:w="750" w:type="dxa"/>
          </w:tcPr>
          <w:p w14:paraId="34E3C96D" w14:textId="77777777" w:rsidR="007928F9" w:rsidRPr="00D03D3C" w:rsidRDefault="007928F9" w:rsidP="003B76E2">
            <w:pPr>
              <w:jc w:val="both"/>
              <w:rPr>
                <w:lang w:val="en-US"/>
              </w:rPr>
            </w:pPr>
            <w:r w:rsidRPr="00D03D3C">
              <w:rPr>
                <w:lang w:val="en-US"/>
              </w:rPr>
              <w:t>2.55</w:t>
            </w:r>
          </w:p>
        </w:tc>
        <w:tc>
          <w:tcPr>
            <w:tcW w:w="2534" w:type="dxa"/>
          </w:tcPr>
          <w:p w14:paraId="21B32860" w14:textId="77777777" w:rsidR="007928F9" w:rsidRPr="00D03D3C" w:rsidRDefault="007928F9" w:rsidP="003B76E2">
            <w:pPr>
              <w:jc w:val="both"/>
              <w:rPr>
                <w:lang w:val="en-US"/>
              </w:rPr>
            </w:pPr>
            <w:r w:rsidRPr="00D03D3C">
              <w:rPr>
                <w:lang w:val="en-US"/>
              </w:rPr>
              <w:t>Taurocholic acid-d</w:t>
            </w:r>
            <w:r w:rsidRPr="00D03D3C">
              <w:rPr>
                <w:vertAlign w:val="subscript"/>
                <w:lang w:val="en-US"/>
              </w:rPr>
              <w:t>5</w:t>
            </w:r>
          </w:p>
        </w:tc>
        <w:tc>
          <w:tcPr>
            <w:tcW w:w="1649" w:type="dxa"/>
          </w:tcPr>
          <w:p w14:paraId="7120B32E" w14:textId="77777777" w:rsidR="007928F9" w:rsidRPr="00D03D3C" w:rsidRDefault="007928F9" w:rsidP="003B76E2">
            <w:pPr>
              <w:jc w:val="both"/>
              <w:rPr>
                <w:lang w:val="en-US"/>
              </w:rPr>
            </w:pPr>
            <w:r w:rsidRPr="00D03D3C">
              <w:rPr>
                <w:lang w:val="en-US"/>
              </w:rPr>
              <w:t>Quantifier ion</w:t>
            </w:r>
          </w:p>
        </w:tc>
        <w:tc>
          <w:tcPr>
            <w:tcW w:w="1132" w:type="dxa"/>
          </w:tcPr>
          <w:p w14:paraId="0E86D06B" w14:textId="77777777" w:rsidR="007928F9" w:rsidRPr="00D03D3C" w:rsidRDefault="007928F9" w:rsidP="003B76E2">
            <w:pPr>
              <w:jc w:val="both"/>
              <w:rPr>
                <w:lang w:val="en-US"/>
              </w:rPr>
            </w:pPr>
            <w:r>
              <w:rPr>
                <w:lang w:val="en-US"/>
              </w:rPr>
              <w:t>0.0006</w:t>
            </w:r>
          </w:p>
        </w:tc>
        <w:tc>
          <w:tcPr>
            <w:tcW w:w="1088" w:type="dxa"/>
          </w:tcPr>
          <w:p w14:paraId="64F65124" w14:textId="77777777" w:rsidR="007928F9" w:rsidRPr="00D03D3C" w:rsidRDefault="007928F9" w:rsidP="003B76E2">
            <w:pPr>
              <w:jc w:val="both"/>
              <w:rPr>
                <w:lang w:val="en-US"/>
              </w:rPr>
            </w:pPr>
            <w:r>
              <w:rPr>
                <w:lang w:val="en-US"/>
              </w:rPr>
              <w:t>0.00244</w:t>
            </w:r>
          </w:p>
        </w:tc>
      </w:tr>
      <w:tr w:rsidR="007928F9" w:rsidRPr="00D03D3C" w14:paraId="0A3C9E07" w14:textId="77777777" w:rsidTr="008D43B5">
        <w:tc>
          <w:tcPr>
            <w:tcW w:w="871" w:type="dxa"/>
          </w:tcPr>
          <w:p w14:paraId="3695ACC2" w14:textId="77777777" w:rsidR="007928F9" w:rsidRPr="00D03D3C" w:rsidRDefault="007928F9" w:rsidP="003B76E2">
            <w:pPr>
              <w:jc w:val="both"/>
              <w:rPr>
                <w:lang w:val="en-US"/>
              </w:rPr>
            </w:pPr>
            <w:r w:rsidRPr="00D03D3C">
              <w:rPr>
                <w:lang w:val="en-US"/>
              </w:rPr>
              <w:t>519.3</w:t>
            </w:r>
          </w:p>
        </w:tc>
        <w:tc>
          <w:tcPr>
            <w:tcW w:w="992" w:type="dxa"/>
          </w:tcPr>
          <w:p w14:paraId="27114E51" w14:textId="77777777" w:rsidR="007928F9" w:rsidRPr="00D03D3C" w:rsidRDefault="007928F9" w:rsidP="003B76E2">
            <w:pPr>
              <w:jc w:val="both"/>
              <w:rPr>
                <w:lang w:val="en-US"/>
              </w:rPr>
            </w:pPr>
            <w:r w:rsidRPr="00D03D3C">
              <w:rPr>
                <w:lang w:val="en-US"/>
              </w:rPr>
              <w:t>124.1</w:t>
            </w:r>
          </w:p>
        </w:tc>
        <w:tc>
          <w:tcPr>
            <w:tcW w:w="750" w:type="dxa"/>
          </w:tcPr>
          <w:p w14:paraId="5DF649F9" w14:textId="77777777" w:rsidR="007928F9" w:rsidRPr="00D03D3C" w:rsidRDefault="007928F9" w:rsidP="003B76E2">
            <w:pPr>
              <w:jc w:val="both"/>
              <w:rPr>
                <w:lang w:val="en-US"/>
              </w:rPr>
            </w:pPr>
            <w:r w:rsidRPr="00D03D3C">
              <w:rPr>
                <w:lang w:val="en-US"/>
              </w:rPr>
              <w:t>2.55</w:t>
            </w:r>
          </w:p>
        </w:tc>
        <w:tc>
          <w:tcPr>
            <w:tcW w:w="2534" w:type="dxa"/>
          </w:tcPr>
          <w:p w14:paraId="4C80B969" w14:textId="77777777" w:rsidR="007928F9" w:rsidRPr="00D03D3C" w:rsidRDefault="007928F9" w:rsidP="003B76E2">
            <w:pPr>
              <w:jc w:val="both"/>
              <w:rPr>
                <w:lang w:val="en-US"/>
              </w:rPr>
            </w:pPr>
            <w:r w:rsidRPr="00D03D3C">
              <w:rPr>
                <w:lang w:val="en-US"/>
              </w:rPr>
              <w:t>Taurocholic acid-d</w:t>
            </w:r>
            <w:r w:rsidRPr="00D03D3C">
              <w:rPr>
                <w:vertAlign w:val="subscript"/>
                <w:lang w:val="en-US"/>
              </w:rPr>
              <w:t>5</w:t>
            </w:r>
          </w:p>
        </w:tc>
        <w:tc>
          <w:tcPr>
            <w:tcW w:w="1649" w:type="dxa"/>
          </w:tcPr>
          <w:p w14:paraId="0155D6D4" w14:textId="77777777" w:rsidR="007928F9" w:rsidRPr="00D03D3C" w:rsidRDefault="007928F9" w:rsidP="003B76E2">
            <w:pPr>
              <w:jc w:val="both"/>
              <w:rPr>
                <w:lang w:val="en-US"/>
              </w:rPr>
            </w:pPr>
            <w:r w:rsidRPr="00D03D3C">
              <w:rPr>
                <w:lang w:val="en-US"/>
              </w:rPr>
              <w:t>Qualifier ion</w:t>
            </w:r>
          </w:p>
        </w:tc>
        <w:tc>
          <w:tcPr>
            <w:tcW w:w="1132" w:type="dxa"/>
          </w:tcPr>
          <w:p w14:paraId="551F22C9" w14:textId="77777777" w:rsidR="007928F9" w:rsidRPr="00D03D3C" w:rsidRDefault="007928F9" w:rsidP="003B76E2">
            <w:pPr>
              <w:jc w:val="both"/>
              <w:rPr>
                <w:lang w:val="en-US"/>
              </w:rPr>
            </w:pPr>
            <w:r>
              <w:rPr>
                <w:lang w:val="en-US"/>
              </w:rPr>
              <w:t>0.0006</w:t>
            </w:r>
          </w:p>
        </w:tc>
        <w:tc>
          <w:tcPr>
            <w:tcW w:w="1088" w:type="dxa"/>
          </w:tcPr>
          <w:p w14:paraId="26865376" w14:textId="77777777" w:rsidR="007928F9" w:rsidRPr="00D03D3C" w:rsidRDefault="007928F9" w:rsidP="003B76E2">
            <w:pPr>
              <w:jc w:val="both"/>
              <w:rPr>
                <w:lang w:val="en-US"/>
              </w:rPr>
            </w:pPr>
            <w:r>
              <w:rPr>
                <w:lang w:val="en-US"/>
              </w:rPr>
              <w:t>0.00244</w:t>
            </w:r>
          </w:p>
        </w:tc>
      </w:tr>
    </w:tbl>
    <w:p w14:paraId="78E4EA03" w14:textId="77777777" w:rsidR="004C5432" w:rsidRDefault="004C5432" w:rsidP="003B76E2">
      <w:pPr>
        <w:jc w:val="both"/>
        <w:rPr>
          <w:b/>
          <w:bCs/>
          <w:lang w:val="en-US"/>
        </w:rPr>
      </w:pPr>
    </w:p>
    <w:p w14:paraId="38DDBBC4" w14:textId="77777777" w:rsidR="004C5432" w:rsidRDefault="004C5432" w:rsidP="003B76E2">
      <w:pPr>
        <w:pStyle w:val="Titolo2"/>
        <w:jc w:val="both"/>
        <w:rPr>
          <w:lang w:val="en-US"/>
        </w:rPr>
      </w:pPr>
    </w:p>
    <w:p w14:paraId="7A89A8B4" w14:textId="066A58CF" w:rsidR="004C5432" w:rsidRPr="00CA1F6E" w:rsidRDefault="004C5432" w:rsidP="003B76E2">
      <w:pPr>
        <w:pStyle w:val="Titolo2"/>
        <w:jc w:val="both"/>
        <w:rPr>
          <w:lang w:val="en-US"/>
        </w:rPr>
      </w:pPr>
      <w:bookmarkStart w:id="16" w:name="_Toc89853423"/>
      <w:r>
        <w:rPr>
          <w:lang w:val="en-US"/>
        </w:rPr>
        <w:t>Scheme S1</w:t>
      </w:r>
      <w:r w:rsidRPr="00CA1F6E">
        <w:rPr>
          <w:lang w:val="en-US"/>
        </w:rPr>
        <w:t>. Chemical structures of three anthocyanins</w:t>
      </w:r>
      <w:bookmarkEnd w:id="16"/>
    </w:p>
    <w:p w14:paraId="0E19ED4A" w14:textId="77777777" w:rsidR="004C5432" w:rsidRPr="00BC74D9" w:rsidRDefault="004C5432" w:rsidP="003B76E2">
      <w:pPr>
        <w:widowControl w:val="0"/>
        <w:autoSpaceDE w:val="0"/>
        <w:autoSpaceDN w:val="0"/>
        <w:adjustRightInd w:val="0"/>
        <w:ind w:left="480" w:hanging="480"/>
        <w:jc w:val="both"/>
        <w:rPr>
          <w:sz w:val="28"/>
          <w:szCs w:val="28"/>
          <w:lang w:val="en-US"/>
        </w:rPr>
      </w:pPr>
    </w:p>
    <w:p w14:paraId="13B0F8F1" w14:textId="77777777" w:rsidR="004C5432" w:rsidRPr="00760B34" w:rsidRDefault="004C5432" w:rsidP="003B76E2">
      <w:pPr>
        <w:widowControl w:val="0"/>
        <w:autoSpaceDE w:val="0"/>
        <w:autoSpaceDN w:val="0"/>
        <w:adjustRightInd w:val="0"/>
        <w:ind w:left="480" w:hanging="480"/>
        <w:jc w:val="both"/>
        <w:rPr>
          <w:sz w:val="28"/>
          <w:szCs w:val="28"/>
          <w:lang w:val="en-US"/>
        </w:rPr>
      </w:pPr>
      <w:r w:rsidRPr="00B11C25">
        <w:rPr>
          <w:noProof/>
          <w:sz w:val="28"/>
          <w:szCs w:val="28"/>
        </w:rPr>
        <w:drawing>
          <wp:inline distT="0" distB="0" distL="0" distR="0" wp14:anchorId="36F828B7" wp14:editId="693EC1CE">
            <wp:extent cx="5731510" cy="1132840"/>
            <wp:effectExtent l="0" t="0" r="0" b="0"/>
            <wp:docPr id="45" name="Immagine 4" descr="Cyanidin 3-glucoside ">
              <a:extLst xmlns:a="http://schemas.openxmlformats.org/drawingml/2006/main">
                <a:ext uri="{FF2B5EF4-FFF2-40B4-BE49-F238E27FC236}">
                  <a16:creationId xmlns:a16="http://schemas.microsoft.com/office/drawing/2014/main" id="{247B032B-7E5C-2745-A0E8-C3D582EA211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4" descr="Cyanidin 3-glucoside ">
                      <a:extLst>
                        <a:ext uri="{FF2B5EF4-FFF2-40B4-BE49-F238E27FC236}">
                          <a16:creationId xmlns:a16="http://schemas.microsoft.com/office/drawing/2014/main" id="{247B032B-7E5C-2745-A0E8-C3D582EA211A}"/>
                        </a:ext>
                      </a:extLst>
                    </pic:cNvPr>
                    <pic:cNvPicPr>
                      <a:picLocks noChangeAspect="1"/>
                    </pic:cNvPicPr>
                  </pic:nvPicPr>
                  <pic:blipFill rotWithShape="1">
                    <a:blip r:embed="rId8"/>
                    <a:srcRect t="13032" b="18945"/>
                    <a:stretch/>
                  </pic:blipFill>
                  <pic:spPr>
                    <a:xfrm>
                      <a:off x="0" y="0"/>
                      <a:ext cx="5731510" cy="1132840"/>
                    </a:xfrm>
                    <a:prstGeom prst="rect">
                      <a:avLst/>
                    </a:prstGeom>
                    <a:ln>
                      <a:noFill/>
                    </a:ln>
                  </pic:spPr>
                </pic:pic>
              </a:graphicData>
            </a:graphic>
          </wp:inline>
        </w:drawing>
      </w:r>
    </w:p>
    <w:p w14:paraId="074AECDA" w14:textId="77777777" w:rsidR="004C5432" w:rsidRPr="00760B34" w:rsidRDefault="004C5432" w:rsidP="003B76E2">
      <w:pPr>
        <w:widowControl w:val="0"/>
        <w:autoSpaceDE w:val="0"/>
        <w:autoSpaceDN w:val="0"/>
        <w:adjustRightInd w:val="0"/>
        <w:ind w:left="480" w:hanging="480"/>
        <w:jc w:val="both"/>
        <w:rPr>
          <w:sz w:val="28"/>
          <w:szCs w:val="28"/>
          <w:lang w:val="en-US"/>
        </w:rPr>
      </w:pPr>
      <w:r w:rsidRPr="00B11C25">
        <w:rPr>
          <w:noProof/>
          <w:sz w:val="28"/>
          <w:szCs w:val="28"/>
        </w:rPr>
        <mc:AlternateContent>
          <mc:Choice Requires="wps">
            <w:drawing>
              <wp:anchor distT="0" distB="0" distL="114300" distR="114300" simplePos="0" relativeHeight="251661312" behindDoc="0" locked="0" layoutInCell="1" allowOverlap="1" wp14:anchorId="279DE70F" wp14:editId="6FB60183">
                <wp:simplePos x="0" y="0"/>
                <wp:positionH relativeFrom="column">
                  <wp:posOffset>4243705</wp:posOffset>
                </wp:positionH>
                <wp:positionV relativeFrom="paragraph">
                  <wp:posOffset>85725</wp:posOffset>
                </wp:positionV>
                <wp:extent cx="1507465" cy="461665"/>
                <wp:effectExtent l="0" t="0" r="0" b="0"/>
                <wp:wrapNone/>
                <wp:docPr id="41" name="CasellaDiTesto 8"/>
                <wp:cNvGraphicFramePr/>
                <a:graphic xmlns:a="http://schemas.openxmlformats.org/drawingml/2006/main">
                  <a:graphicData uri="http://schemas.microsoft.com/office/word/2010/wordprocessingShape">
                    <wps:wsp>
                      <wps:cNvSpPr txBox="1"/>
                      <wps:spPr>
                        <a:xfrm>
                          <a:off x="0" y="0"/>
                          <a:ext cx="1507465" cy="461665"/>
                        </a:xfrm>
                        <a:prstGeom prst="rect">
                          <a:avLst/>
                        </a:prstGeom>
                        <a:noFill/>
                        <a:ln>
                          <a:noFill/>
                        </a:ln>
                      </wps:spPr>
                      <wps:txbx>
                        <w:txbxContent>
                          <w:p w14:paraId="51B976F7" w14:textId="77777777" w:rsidR="004C5432" w:rsidRDefault="004C5432" w:rsidP="004C5432">
                            <w:pPr>
                              <w:jc w:val="center"/>
                              <w:rPr>
                                <w:color w:val="000000" w:themeColor="text1"/>
                                <w:kern w:val="24"/>
                              </w:rPr>
                            </w:pPr>
                            <w:r>
                              <w:rPr>
                                <w:color w:val="000000" w:themeColor="text1"/>
                                <w:kern w:val="24"/>
                              </w:rPr>
                              <w:t>Malvidin 3-glucoside</w:t>
                            </w:r>
                          </w:p>
                          <w:p w14:paraId="5315B75F" w14:textId="77777777" w:rsidR="004C5432" w:rsidRDefault="004C5432" w:rsidP="004C5432">
                            <w:pPr>
                              <w:jc w:val="center"/>
                              <w:rPr>
                                <w:color w:val="000000" w:themeColor="text1"/>
                                <w:kern w:val="24"/>
                              </w:rPr>
                            </w:pPr>
                            <w:r>
                              <w:rPr>
                                <w:color w:val="000000" w:themeColor="text1"/>
                                <w:kern w:val="24"/>
                              </w:rPr>
                              <w:t xml:space="preserve">M3G           </w:t>
                            </w:r>
                          </w:p>
                        </w:txbxContent>
                      </wps:txbx>
                      <wps:bodyPr wrap="none" rtlCol="0">
                        <a:spAutoFit/>
                      </wps:bodyPr>
                    </wps:wsp>
                  </a:graphicData>
                </a:graphic>
              </wp:anchor>
            </w:drawing>
          </mc:Choice>
          <mc:Fallback>
            <w:pict>
              <v:shapetype w14:anchorId="279DE70F" id="_x0000_t202" coordsize="21600,21600" o:spt="202" path="m,l,21600r21600,l21600,xe">
                <v:stroke joinstyle="miter"/>
                <v:path gradientshapeok="t" o:connecttype="rect"/>
              </v:shapetype>
              <v:shape id="CasellaDiTesto 8" o:spid="_x0000_s1026" type="#_x0000_t202" style="position:absolute;left:0;text-align:left;margin-left:334.15pt;margin-top:6.75pt;width:118.7pt;height:36.35pt;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" filled="f" stroked="f">
                <v:textbox style="mso-fit-shape-to-text:t">
                  <w:txbxContent>
                    <w:p w14:paraId="51B976F7" w14:textId="77777777" w:rsidR="004C5432" w:rsidRDefault="004C5432" w:rsidP="004C5432">
                      <w:pPr>
                        <w:jc w:val="center"/>
                        <w:rPr>
                          <w:color w:val="000000" w:themeColor="text1"/>
                          <w:kern w:val="24"/>
                        </w:rPr>
                      </w:pPr>
                      <w:r>
                        <w:rPr>
                          <w:color w:val="000000" w:themeColor="text1"/>
                          <w:kern w:val="24"/>
                        </w:rPr>
                        <w:t>Malvidin 3-glucoside</w:t>
                      </w:r>
                    </w:p>
                    <w:p w14:paraId="5315B75F" w14:textId="77777777" w:rsidR="004C5432" w:rsidRDefault="004C5432" w:rsidP="004C5432">
                      <w:pPr>
                        <w:jc w:val="center"/>
                        <w:rPr>
                          <w:color w:val="000000" w:themeColor="text1"/>
                          <w:kern w:val="24"/>
                        </w:rPr>
                      </w:pPr>
                      <w:r>
                        <w:rPr>
                          <w:color w:val="000000" w:themeColor="text1"/>
                          <w:kern w:val="24"/>
                        </w:rPr>
                        <w:t xml:space="preserve">M3G           </w:t>
                      </w:r>
                    </w:p>
                  </w:txbxContent>
                </v:textbox>
              </v:shape>
            </w:pict>
          </mc:Fallback>
        </mc:AlternateContent>
      </w:r>
      <w:r w:rsidRPr="00B11C25">
        <w:rPr>
          <w:noProof/>
          <w:sz w:val="28"/>
          <w:szCs w:val="28"/>
        </w:rPr>
        <mc:AlternateContent>
          <mc:Choice Requires="wps">
            <w:drawing>
              <wp:anchor distT="0" distB="0" distL="114300" distR="114300" simplePos="0" relativeHeight="251660288" behindDoc="0" locked="0" layoutInCell="1" allowOverlap="1" wp14:anchorId="34650157" wp14:editId="21F13F19">
                <wp:simplePos x="0" y="0"/>
                <wp:positionH relativeFrom="column">
                  <wp:posOffset>2312035</wp:posOffset>
                </wp:positionH>
                <wp:positionV relativeFrom="paragraph">
                  <wp:posOffset>85725</wp:posOffset>
                </wp:positionV>
                <wp:extent cx="1478280" cy="461645"/>
                <wp:effectExtent l="0" t="0" r="0" b="0"/>
                <wp:wrapNone/>
                <wp:docPr id="43" name="CasellaDiTesto 7"/>
                <wp:cNvGraphicFramePr/>
                <a:graphic xmlns:a="http://schemas.openxmlformats.org/drawingml/2006/main">
                  <a:graphicData uri="http://schemas.microsoft.com/office/word/2010/wordprocessingShape">
                    <wps:wsp>
                      <wps:cNvSpPr txBox="1"/>
                      <wps:spPr>
                        <a:xfrm>
                          <a:off x="0" y="0"/>
                          <a:ext cx="1478280" cy="461645"/>
                        </a:xfrm>
                        <a:prstGeom prst="rect">
                          <a:avLst/>
                        </a:prstGeom>
                        <a:noFill/>
                        <a:ln>
                          <a:noFill/>
                        </a:ln>
                      </wps:spPr>
                      <wps:txbx>
                        <w:txbxContent>
                          <w:p w14:paraId="0328A8F5" w14:textId="77777777" w:rsidR="004C5432" w:rsidRDefault="004C5432" w:rsidP="004C5432">
                            <w:pPr>
                              <w:jc w:val="center"/>
                              <w:rPr>
                                <w:color w:val="000000" w:themeColor="text1"/>
                                <w:kern w:val="24"/>
                              </w:rPr>
                            </w:pPr>
                            <w:r>
                              <w:rPr>
                                <w:color w:val="000000" w:themeColor="text1"/>
                                <w:kern w:val="24"/>
                              </w:rPr>
                              <w:t>Peonidin 3-glucoside</w:t>
                            </w:r>
                          </w:p>
                          <w:p w14:paraId="49E672A1" w14:textId="77777777" w:rsidR="004C5432" w:rsidRDefault="004C5432" w:rsidP="004C5432">
                            <w:pPr>
                              <w:jc w:val="center"/>
                              <w:rPr>
                                <w:color w:val="000000" w:themeColor="text1"/>
                                <w:kern w:val="24"/>
                              </w:rPr>
                            </w:pPr>
                            <w:r>
                              <w:rPr>
                                <w:color w:val="000000" w:themeColor="text1"/>
                                <w:kern w:val="24"/>
                              </w:rPr>
                              <w:t>P3G</w:t>
                            </w:r>
                          </w:p>
                        </w:txbxContent>
                      </wps:txbx>
                      <wps:bodyPr wrap="none" rtlCol="0">
                        <a:spAutoFit/>
                      </wps:bodyPr>
                    </wps:wsp>
                  </a:graphicData>
                </a:graphic>
              </wp:anchor>
            </w:drawing>
          </mc:Choice>
          <mc:Fallback>
            <w:pict>
              <v:shape w14:anchorId="34650157" id="CasellaDiTesto 7" o:spid="_x0000_s1027" type="#_x0000_t202" style="position:absolute;left:0;text-align:left;margin-left:182.05pt;margin-top:6.75pt;width:116.4pt;height:36.35pt;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" filled="f" stroked="f">
                <v:textbox style="mso-fit-shape-to-text:t">
                  <w:txbxContent>
                    <w:p w14:paraId="0328A8F5" w14:textId="77777777" w:rsidR="004C5432" w:rsidRDefault="004C5432" w:rsidP="004C5432">
                      <w:pPr>
                        <w:jc w:val="center"/>
                        <w:rPr>
                          <w:color w:val="000000" w:themeColor="text1"/>
                          <w:kern w:val="24"/>
                        </w:rPr>
                      </w:pPr>
                      <w:r>
                        <w:rPr>
                          <w:color w:val="000000" w:themeColor="text1"/>
                          <w:kern w:val="24"/>
                        </w:rPr>
                        <w:t>Peonidin 3-glucoside</w:t>
                      </w:r>
                    </w:p>
                    <w:p w14:paraId="49E672A1" w14:textId="77777777" w:rsidR="004C5432" w:rsidRDefault="004C5432" w:rsidP="004C5432">
                      <w:pPr>
                        <w:jc w:val="center"/>
                        <w:rPr>
                          <w:color w:val="000000" w:themeColor="text1"/>
                          <w:kern w:val="24"/>
                        </w:rPr>
                      </w:pPr>
                      <w:r>
                        <w:rPr>
                          <w:color w:val="000000" w:themeColor="text1"/>
                          <w:kern w:val="24"/>
                        </w:rPr>
                        <w:t>P3G</w:t>
                      </w:r>
                    </w:p>
                  </w:txbxContent>
                </v:textbox>
              </v:shape>
            </w:pict>
          </mc:Fallback>
        </mc:AlternateContent>
      </w:r>
      <w:r w:rsidRPr="00B11C25">
        <w:rPr>
          <w:noProof/>
          <w:sz w:val="28"/>
          <w:szCs w:val="28"/>
        </w:rPr>
        <mc:AlternateContent>
          <mc:Choice Requires="wps">
            <w:drawing>
              <wp:anchor distT="0" distB="0" distL="114300" distR="114300" simplePos="0" relativeHeight="251659264" behindDoc="0" locked="0" layoutInCell="1" allowOverlap="1" wp14:anchorId="3F0E696A" wp14:editId="26EEDE5A">
                <wp:simplePos x="0" y="0"/>
                <wp:positionH relativeFrom="column">
                  <wp:posOffset>161925</wp:posOffset>
                </wp:positionH>
                <wp:positionV relativeFrom="paragraph">
                  <wp:posOffset>85725</wp:posOffset>
                </wp:positionV>
                <wp:extent cx="1508125" cy="461645"/>
                <wp:effectExtent l="0" t="0" r="0" b="0"/>
                <wp:wrapNone/>
                <wp:docPr id="44" name="CasellaDiTesto 5"/>
                <wp:cNvGraphicFramePr/>
                <a:graphic xmlns:a="http://schemas.openxmlformats.org/drawingml/2006/main">
                  <a:graphicData uri="http://schemas.microsoft.com/office/word/2010/wordprocessingShape">
                    <wps:wsp>
                      <wps:cNvSpPr txBox="1"/>
                      <wps:spPr>
                        <a:xfrm>
                          <a:off x="0" y="0"/>
                          <a:ext cx="1508125" cy="461645"/>
                        </a:xfrm>
                        <a:prstGeom prst="rect">
                          <a:avLst/>
                        </a:prstGeom>
                        <a:noFill/>
                        <a:ln>
                          <a:noFill/>
                        </a:ln>
                      </wps:spPr>
                      <wps:txbx>
                        <w:txbxContent>
                          <w:p w14:paraId="28C86A1A" w14:textId="77777777" w:rsidR="004C5432" w:rsidRDefault="004C5432" w:rsidP="004C5432">
                            <w:pPr>
                              <w:jc w:val="center"/>
                              <w:rPr>
                                <w:color w:val="000000" w:themeColor="text1"/>
                                <w:kern w:val="24"/>
                              </w:rPr>
                            </w:pPr>
                            <w:r>
                              <w:rPr>
                                <w:color w:val="000000" w:themeColor="text1"/>
                                <w:kern w:val="24"/>
                              </w:rPr>
                              <w:t>Cyanidin 3-glucoside</w:t>
                            </w:r>
                          </w:p>
                          <w:p w14:paraId="2B9B293C" w14:textId="77777777" w:rsidR="004C5432" w:rsidRDefault="004C5432" w:rsidP="004C5432">
                            <w:pPr>
                              <w:jc w:val="center"/>
                              <w:rPr>
                                <w:color w:val="000000" w:themeColor="text1"/>
                                <w:kern w:val="24"/>
                              </w:rPr>
                            </w:pPr>
                            <w:r>
                              <w:rPr>
                                <w:color w:val="000000" w:themeColor="text1"/>
                                <w:kern w:val="24"/>
                              </w:rPr>
                              <w:t>C3G</w:t>
                            </w:r>
                          </w:p>
                        </w:txbxContent>
                      </wps:txbx>
                      <wps:bodyPr wrap="none" rtlCol="0">
                        <a:spAutoFit/>
                      </wps:bodyPr>
                    </wps:wsp>
                  </a:graphicData>
                </a:graphic>
              </wp:anchor>
            </w:drawing>
          </mc:Choice>
          <mc:Fallback>
            <w:pict>
              <v:shape w14:anchorId="3F0E696A" id="CasellaDiTesto 5" o:spid="_x0000_s1028" type="#_x0000_t202" style="position:absolute;left:0;text-align:left;margin-left:12.75pt;margin-top:6.75pt;width:118.75pt;height:36.3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" filled="f" stroked="f">
                <v:textbox style="mso-fit-shape-to-text:t">
                  <w:txbxContent>
                    <w:p w14:paraId="28C86A1A" w14:textId="77777777" w:rsidR="004C5432" w:rsidRDefault="004C5432" w:rsidP="004C5432">
                      <w:pPr>
                        <w:jc w:val="center"/>
                        <w:rPr>
                          <w:color w:val="000000" w:themeColor="text1"/>
                          <w:kern w:val="24"/>
                        </w:rPr>
                      </w:pPr>
                      <w:r>
                        <w:rPr>
                          <w:color w:val="000000" w:themeColor="text1"/>
                          <w:kern w:val="24"/>
                        </w:rPr>
                        <w:t>Cyanidin 3-glucoside</w:t>
                      </w:r>
                    </w:p>
                    <w:p w14:paraId="2B9B293C" w14:textId="77777777" w:rsidR="004C5432" w:rsidRDefault="004C5432" w:rsidP="004C5432">
                      <w:pPr>
                        <w:jc w:val="center"/>
                        <w:rPr>
                          <w:color w:val="000000" w:themeColor="text1"/>
                          <w:kern w:val="24"/>
                        </w:rPr>
                      </w:pPr>
                      <w:r>
                        <w:rPr>
                          <w:color w:val="000000" w:themeColor="text1"/>
                          <w:kern w:val="24"/>
                        </w:rPr>
                        <w:t>C3G</w:t>
                      </w:r>
                    </w:p>
                  </w:txbxContent>
                </v:textbox>
              </v:shape>
            </w:pict>
          </mc:Fallback>
        </mc:AlternateContent>
      </w:r>
    </w:p>
    <w:p w14:paraId="606D1C9E" w14:textId="77777777" w:rsidR="004C5432" w:rsidRPr="00760B34" w:rsidRDefault="004C5432" w:rsidP="003B76E2">
      <w:pPr>
        <w:widowControl w:val="0"/>
        <w:autoSpaceDE w:val="0"/>
        <w:autoSpaceDN w:val="0"/>
        <w:adjustRightInd w:val="0"/>
        <w:ind w:left="480" w:hanging="480"/>
        <w:jc w:val="both"/>
        <w:rPr>
          <w:sz w:val="28"/>
          <w:szCs w:val="28"/>
          <w:lang w:val="en-US"/>
        </w:rPr>
      </w:pPr>
    </w:p>
    <w:p w14:paraId="54EFC6CB" w14:textId="77777777" w:rsidR="004C5432" w:rsidRPr="00760B34" w:rsidRDefault="004C5432" w:rsidP="003B76E2">
      <w:pPr>
        <w:widowControl w:val="0"/>
        <w:autoSpaceDE w:val="0"/>
        <w:autoSpaceDN w:val="0"/>
        <w:adjustRightInd w:val="0"/>
        <w:ind w:left="480" w:hanging="480"/>
        <w:jc w:val="both"/>
        <w:rPr>
          <w:sz w:val="28"/>
          <w:szCs w:val="28"/>
          <w:lang w:val="en-US"/>
        </w:rPr>
      </w:pPr>
    </w:p>
    <w:p w14:paraId="0DAA3B15" w14:textId="77777777" w:rsidR="004C5432" w:rsidRDefault="004C5432" w:rsidP="003B76E2">
      <w:pPr>
        <w:widowControl w:val="0"/>
        <w:autoSpaceDE w:val="0"/>
        <w:autoSpaceDN w:val="0"/>
        <w:adjustRightInd w:val="0"/>
        <w:jc w:val="both"/>
        <w:rPr>
          <w:b/>
          <w:bCs/>
          <w:lang w:val="en-US"/>
        </w:rPr>
      </w:pPr>
    </w:p>
    <w:p w14:paraId="56A9463B" w14:textId="51BC9779" w:rsidR="004C5432" w:rsidRPr="00031B4F" w:rsidRDefault="004C5432" w:rsidP="003B76E2">
      <w:pPr>
        <w:widowControl w:val="0"/>
        <w:autoSpaceDE w:val="0"/>
        <w:autoSpaceDN w:val="0"/>
        <w:adjustRightInd w:val="0"/>
        <w:jc w:val="both"/>
        <w:rPr>
          <w:sz w:val="28"/>
          <w:szCs w:val="28"/>
          <w:lang w:val="en-US"/>
        </w:rPr>
      </w:pPr>
      <w:r>
        <w:rPr>
          <w:b/>
          <w:bCs/>
          <w:lang w:val="en-US"/>
        </w:rPr>
        <w:t>Scheme</w:t>
      </w:r>
      <w:r w:rsidRPr="00396643">
        <w:rPr>
          <w:b/>
          <w:bCs/>
          <w:lang w:val="en-US"/>
        </w:rPr>
        <w:t xml:space="preserve"> S</w:t>
      </w:r>
      <w:r>
        <w:rPr>
          <w:b/>
          <w:bCs/>
          <w:lang w:val="en-US"/>
        </w:rPr>
        <w:t xml:space="preserve">1. Chemical structure of three anthocyanins. </w:t>
      </w:r>
      <w:r>
        <w:rPr>
          <w:lang w:val="en-US"/>
        </w:rPr>
        <w:t>Structures were drawn by the free</w:t>
      </w:r>
      <w:r w:rsidRPr="00B432BE">
        <w:rPr>
          <w:lang w:val="en-US"/>
        </w:rPr>
        <w:t xml:space="preserve"> version of </w:t>
      </w:r>
      <w:proofErr w:type="spellStart"/>
      <w:r w:rsidRPr="00B432BE">
        <w:rPr>
          <w:lang w:val="en-US"/>
        </w:rPr>
        <w:t>ChemDraw</w:t>
      </w:r>
      <w:proofErr w:type="spellEnd"/>
      <w:r>
        <w:rPr>
          <w:lang w:val="en-US"/>
        </w:rPr>
        <w:t xml:space="preserve"> (</w:t>
      </w:r>
      <w:hyperlink r:id="rId9" w:history="1">
        <w:r w:rsidR="00A003A9" w:rsidRPr="00C40B99">
          <w:rPr>
            <w:rStyle w:val="Collegamentoipertestuale"/>
            <w:lang w:val="en-US"/>
          </w:rPr>
          <w:t>https://chemdrawdirect.perkinelmer.cloud/js/sample/index.html</w:t>
        </w:r>
      </w:hyperlink>
      <w:r>
        <w:rPr>
          <w:lang w:val="en-US"/>
        </w:rPr>
        <w:t>).</w:t>
      </w:r>
      <w:r w:rsidR="00A003A9">
        <w:rPr>
          <w:lang w:val="en-US"/>
        </w:rPr>
        <w:t xml:space="preserve"> The chemical analogies with bromosulfophthalein are discussed in </w:t>
      </w:r>
      <w:r w:rsidR="00A003A9">
        <w:rPr>
          <w:lang w:val="en-US"/>
        </w:rPr>
        <w:fldChar w:fldCharType="begin" w:fldLock="1"/>
      </w:r>
      <w:r w:rsidR="008C4117">
        <w:rPr>
          <w:lang w:val="en-US"/>
        </w:rPr>
        <w:instrText>ADDIN CSL_CITATION {"citationItems":[{"id":"ITEM-1","itemData":{"DOI":"10.1016/S0006-291X(02)00927-0","ISBN":"0006-291X (Print) 0006-291X (Linking)","ISSN":"0006-291X (Print) 0006-291X (Linking)","PMID":"12176028","abstract":"Bilitranslocase (TC 2.A.65.1.1) is an organic anion membrane carrier expressed at the sinusoidal domain of the liver plasma membrane and in epithelial cells of the gastric mucosa. Its substrates are sulfobromophthalein, bilirubin, and nicotinic acid. This work reports on the identification of a new class of bilitranslocase substrates, i.e., anthocyanins. Seventeen out thes 20 compounds tested behaved as competitive inhibitors of bilitranslocase transport activity (K(I)=1.4-22 microM). Their structure-activity relationship reveals that mono- and di-glucosyl anthocyanins, the anthocyanin species occurring in food, are better ligands than the corresponding aglycones. Moreover, the first interaction of anthocyanins with the carrier occurs through hydrophilic moieties, such as the 3-glucosyl moiety and the B ring for the monoglucosides, through the 5-glucosyl moiety and the A ring for the diglucosides, and through either the B or the A ring for the aglycones. These findings suggest that bilitranslocase could play a role in the bioavailability of anthocyanins.","author":[{"dropping-particle":"","family":"Passamonti","given":"S","non-dropping-particle":"","parse-names":false,"suffix":""},{"dropping-particle":"","family":"Vrhovsek","given":"U","non-dropping-particle":"","parse-names":false,"suffix":""},{"dropping-particle":"","family":"Mattivi","given":"F","non-dropping-particle":"","parse-names":false,"suffix":""}],"container-title":"Biochem Biophys Res Commun","id":"ITEM-1","issue":"3","issued":{"date-parts":[["2002"]]},"page":"631-636","title":"The interaction of anthocyanins with bilitranslocase","type":"article-journal","volume":"296"},"uris":["http://www.mendeley.com/documents/?uuid=ae536015-d39c-4ff8-9cab-878284107c03"]}],"mendeley":{"formattedCitation":"[33]","plainTextFormattedCitation":"[33]","previouslyFormattedCitation":"[33]"},"properties":{"noteIndex":0},"schema":"https://github.com/citation-style-language/schema/raw/master/csl-citation.json"}</w:instrText>
      </w:r>
      <w:r w:rsidR="00A003A9">
        <w:rPr>
          <w:lang w:val="en-US"/>
        </w:rPr>
        <w:fldChar w:fldCharType="separate"/>
      </w:r>
      <w:r w:rsidR="00A003A9" w:rsidRPr="00A003A9">
        <w:rPr>
          <w:noProof/>
          <w:lang w:val="en-US"/>
        </w:rPr>
        <w:t>[33]</w:t>
      </w:r>
      <w:r w:rsidR="00A003A9">
        <w:rPr>
          <w:lang w:val="en-US"/>
        </w:rPr>
        <w:fldChar w:fldCharType="end"/>
      </w:r>
      <w:r w:rsidR="00A003A9">
        <w:rPr>
          <w:lang w:val="en-US"/>
        </w:rPr>
        <w:t>.</w:t>
      </w:r>
    </w:p>
    <w:p w14:paraId="47EE651A" w14:textId="1A598F8E" w:rsidR="00B3136C" w:rsidRDefault="00B3136C" w:rsidP="003B76E2">
      <w:pPr>
        <w:jc w:val="both"/>
        <w:rPr>
          <w:b/>
          <w:bCs/>
          <w:lang w:val="en-US"/>
        </w:rPr>
      </w:pPr>
      <w:r>
        <w:rPr>
          <w:b/>
          <w:bCs/>
          <w:lang w:val="en-US"/>
        </w:rPr>
        <w:br w:type="page"/>
      </w:r>
    </w:p>
    <w:p w14:paraId="157DF414" w14:textId="03A352D1" w:rsidR="00DA42DE" w:rsidRDefault="00DA42DE" w:rsidP="003B76E2">
      <w:pPr>
        <w:pStyle w:val="Titolo1"/>
        <w:jc w:val="both"/>
        <w:rPr>
          <w:lang w:val="en-US"/>
        </w:rPr>
      </w:pPr>
      <w:bookmarkStart w:id="17" w:name="_Toc89853424"/>
      <w:r>
        <w:rPr>
          <w:lang w:val="en-US"/>
        </w:rPr>
        <w:lastRenderedPageBreak/>
        <w:t>Supplementary results</w:t>
      </w:r>
      <w:bookmarkEnd w:id="17"/>
    </w:p>
    <w:p w14:paraId="2BACD2B3" w14:textId="77777777" w:rsidR="00DA42DE" w:rsidRPr="00DA42DE" w:rsidRDefault="00DA42DE" w:rsidP="003B76E2">
      <w:pPr>
        <w:jc w:val="both"/>
        <w:rPr>
          <w:lang w:val="en-US"/>
        </w:rPr>
      </w:pPr>
    </w:p>
    <w:p w14:paraId="22D20CD4" w14:textId="52D0208F" w:rsidR="00B3136C" w:rsidRPr="000B7AD9" w:rsidRDefault="000B7AD9" w:rsidP="003B76E2">
      <w:pPr>
        <w:pStyle w:val="Titolo2"/>
        <w:jc w:val="both"/>
        <w:rPr>
          <w:lang w:val="en-US"/>
        </w:rPr>
      </w:pPr>
      <w:bookmarkStart w:id="18" w:name="_Toc89853425"/>
      <w:r w:rsidRPr="000B7AD9">
        <w:rPr>
          <w:lang w:val="en-US"/>
        </w:rPr>
        <w:t>Fig.</w:t>
      </w:r>
      <w:r w:rsidR="00E65251">
        <w:rPr>
          <w:lang w:val="en-US"/>
        </w:rPr>
        <w:t xml:space="preserve"> S</w:t>
      </w:r>
      <w:r w:rsidRPr="000B7AD9">
        <w:rPr>
          <w:lang w:val="en-US"/>
        </w:rPr>
        <w:t>1. Determination of biomarkers of liver viability in the hepatic perfusion effluent.</w:t>
      </w:r>
      <w:bookmarkEnd w:id="18"/>
    </w:p>
    <w:p w14:paraId="6EF4E4A5" w14:textId="77777777" w:rsidR="000B7AD9" w:rsidRPr="00B3136C" w:rsidRDefault="000B7AD9" w:rsidP="003B76E2">
      <w:pPr>
        <w:jc w:val="both"/>
        <w:rPr>
          <w:b/>
          <w:bCs/>
          <w:lang w:val="en-US"/>
        </w:rPr>
      </w:pPr>
    </w:p>
    <w:p w14:paraId="46211A17" w14:textId="1F5C8A94" w:rsidR="00BB7045" w:rsidRPr="00760B34" w:rsidRDefault="00760B34" w:rsidP="003B76E2">
      <w:pPr>
        <w:widowControl w:val="0"/>
        <w:autoSpaceDE w:val="0"/>
        <w:autoSpaceDN w:val="0"/>
        <w:adjustRightInd w:val="0"/>
        <w:jc w:val="both"/>
        <w:rPr>
          <w:b/>
          <w:bCs/>
          <w:lang w:val="en-US"/>
        </w:rPr>
      </w:pPr>
      <w:r w:rsidRPr="00760B34">
        <w:rPr>
          <w:b/>
          <w:bCs/>
          <w:lang w:val="en-US"/>
        </w:rPr>
        <w:t>A</w:t>
      </w:r>
    </w:p>
    <w:p w14:paraId="7ACD057F" w14:textId="20A633CA" w:rsidR="00BB7045" w:rsidRDefault="00BB7045" w:rsidP="003B76E2">
      <w:pPr>
        <w:widowControl w:val="0"/>
        <w:autoSpaceDE w:val="0"/>
        <w:autoSpaceDN w:val="0"/>
        <w:adjustRightInd w:val="0"/>
        <w:jc w:val="both"/>
        <w:rPr>
          <w:lang w:val="en-US"/>
        </w:rPr>
      </w:pPr>
      <w:r w:rsidRPr="00A26866">
        <w:rPr>
          <w:noProof/>
        </w:rPr>
        <w:drawing>
          <wp:inline distT="0" distB="0" distL="0" distR="0" wp14:anchorId="231D88C7" wp14:editId="3F14FD34">
            <wp:extent cx="5116150" cy="2208179"/>
            <wp:effectExtent l="0" t="0" r="2540" b="1905"/>
            <wp:docPr id="12" name="Immagine 4">
              <a:extLst xmlns:a="http://schemas.openxmlformats.org/drawingml/2006/main">
                <a:ext uri="{FF2B5EF4-FFF2-40B4-BE49-F238E27FC236}">
                  <a16:creationId xmlns:a16="http://schemas.microsoft.com/office/drawing/2014/main" id="{F8959174-0516-0C42-BD7E-05FA6EBF3D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4">
                      <a:extLst>
                        <a:ext uri="{FF2B5EF4-FFF2-40B4-BE49-F238E27FC236}">
                          <a16:creationId xmlns:a16="http://schemas.microsoft.com/office/drawing/2014/main" id="{F8959174-0516-0C42-BD7E-05FA6EBF3D95}"/>
                        </a:ext>
                      </a:extLst>
                    </pic:cNvPr>
                    <pic:cNvPicPr>
                      <a:picLocks noChangeAspect="1"/>
                    </pic:cNvPicPr>
                  </pic:nvPicPr>
                  <pic:blipFill rotWithShape="1">
                    <a:blip r:embed="rId10"/>
                    <a:srcRect t="11432" b="8155"/>
                    <a:stretch/>
                  </pic:blipFill>
                  <pic:spPr bwMode="auto">
                    <a:xfrm>
                      <a:off x="0" y="0"/>
                      <a:ext cx="5318129" cy="2295355"/>
                    </a:xfrm>
                    <a:prstGeom prst="rect">
                      <a:avLst/>
                    </a:prstGeom>
                    <a:ln>
                      <a:noFill/>
                    </a:ln>
                    <a:extLst>
                      <a:ext uri="{53640926-AAD7-44D8-BBD7-CCE9431645EC}">
                        <a14:shadowObscured xmlns:a14="http://schemas.microsoft.com/office/drawing/2010/main"/>
                      </a:ext>
                    </a:extLst>
                  </pic:spPr>
                </pic:pic>
              </a:graphicData>
            </a:graphic>
          </wp:inline>
        </w:drawing>
      </w:r>
    </w:p>
    <w:p w14:paraId="4F7CDFFD" w14:textId="77777777" w:rsidR="00BB7045" w:rsidRDefault="00BB7045" w:rsidP="003B76E2">
      <w:pPr>
        <w:jc w:val="both"/>
        <w:rPr>
          <w:b/>
          <w:bCs/>
          <w:lang w:val="en-US"/>
        </w:rPr>
      </w:pPr>
    </w:p>
    <w:p w14:paraId="34829349" w14:textId="77777777" w:rsidR="00BB7045" w:rsidRDefault="00BB7045" w:rsidP="003B76E2">
      <w:pPr>
        <w:jc w:val="both"/>
        <w:rPr>
          <w:sz w:val="22"/>
          <w:szCs w:val="22"/>
          <w:lang w:val="en-US"/>
        </w:rPr>
      </w:pPr>
    </w:p>
    <w:p w14:paraId="50327245" w14:textId="0CE54B06" w:rsidR="00FE617E" w:rsidRPr="00760B34" w:rsidRDefault="00760B34" w:rsidP="003B76E2">
      <w:pPr>
        <w:widowControl w:val="0"/>
        <w:autoSpaceDE w:val="0"/>
        <w:autoSpaceDN w:val="0"/>
        <w:adjustRightInd w:val="0"/>
        <w:jc w:val="both"/>
        <w:rPr>
          <w:b/>
          <w:bCs/>
          <w:lang w:val="en-US"/>
        </w:rPr>
      </w:pPr>
      <w:r w:rsidRPr="00760B34">
        <w:rPr>
          <w:b/>
          <w:bCs/>
          <w:lang w:val="en-US"/>
        </w:rPr>
        <w:t>B</w:t>
      </w:r>
    </w:p>
    <w:p w14:paraId="518D897B" w14:textId="77777777" w:rsidR="002F01D4" w:rsidRPr="00760B34" w:rsidRDefault="002F01D4" w:rsidP="003B76E2">
      <w:pPr>
        <w:widowControl w:val="0"/>
        <w:autoSpaceDE w:val="0"/>
        <w:autoSpaceDN w:val="0"/>
        <w:adjustRightInd w:val="0"/>
        <w:ind w:left="480" w:hanging="480"/>
        <w:jc w:val="both"/>
        <w:rPr>
          <w:sz w:val="28"/>
          <w:szCs w:val="28"/>
          <w:lang w:val="en-US"/>
        </w:rPr>
      </w:pPr>
      <w:r>
        <w:rPr>
          <w:noProof/>
          <w:lang w:val="en-US"/>
        </w:rPr>
        <w:drawing>
          <wp:inline distT="0" distB="0" distL="0" distR="0" wp14:anchorId="401CC35D" wp14:editId="2A7FAA85">
            <wp:extent cx="5731510" cy="1817932"/>
            <wp:effectExtent l="0" t="0" r="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rotWithShape="1">
                    <a:blip r:embed="rId11" cstate="print">
                      <a:extLst>
                        <a:ext uri="{28A0092B-C50C-407E-A947-70E740481C1C}">
                          <a14:useLocalDpi xmlns:a14="http://schemas.microsoft.com/office/drawing/2010/main" val="0"/>
                        </a:ext>
                      </a:extLst>
                    </a:blip>
                    <a:srcRect t="60169"/>
                    <a:stretch/>
                  </pic:blipFill>
                  <pic:spPr bwMode="auto">
                    <a:xfrm>
                      <a:off x="0" y="0"/>
                      <a:ext cx="5731510" cy="1817932"/>
                    </a:xfrm>
                    <a:prstGeom prst="rect">
                      <a:avLst/>
                    </a:prstGeom>
                    <a:ln>
                      <a:noFill/>
                    </a:ln>
                    <a:extLst>
                      <a:ext uri="{53640926-AAD7-44D8-BBD7-CCE9431645EC}">
                        <a14:shadowObscured xmlns:a14="http://schemas.microsoft.com/office/drawing/2010/main"/>
                      </a:ext>
                    </a:extLst>
                  </pic:spPr>
                </pic:pic>
              </a:graphicData>
            </a:graphic>
          </wp:inline>
        </w:drawing>
      </w:r>
    </w:p>
    <w:p w14:paraId="3DE023ED" w14:textId="77777777" w:rsidR="002F01D4" w:rsidRPr="00760B34" w:rsidRDefault="002F01D4" w:rsidP="003B76E2">
      <w:pPr>
        <w:widowControl w:val="0"/>
        <w:autoSpaceDE w:val="0"/>
        <w:autoSpaceDN w:val="0"/>
        <w:adjustRightInd w:val="0"/>
        <w:ind w:left="480" w:hanging="480"/>
        <w:jc w:val="both"/>
        <w:rPr>
          <w:sz w:val="28"/>
          <w:szCs w:val="28"/>
          <w:lang w:val="en-US"/>
        </w:rPr>
      </w:pPr>
    </w:p>
    <w:p w14:paraId="7467BF86" w14:textId="3B858F54" w:rsidR="005F5D9A" w:rsidRPr="00035536" w:rsidRDefault="005F5D9A" w:rsidP="003B76E2">
      <w:pPr>
        <w:widowControl w:val="0"/>
        <w:autoSpaceDE w:val="0"/>
        <w:autoSpaceDN w:val="0"/>
        <w:adjustRightInd w:val="0"/>
        <w:spacing w:before="40"/>
        <w:jc w:val="both"/>
        <w:rPr>
          <w:lang w:val="en-US"/>
        </w:rPr>
      </w:pPr>
    </w:p>
    <w:p w14:paraId="2F86E75D" w14:textId="66CEFF73" w:rsidR="002F01D4" w:rsidRPr="00760B34" w:rsidRDefault="00760B34" w:rsidP="003B76E2">
      <w:pPr>
        <w:jc w:val="both"/>
        <w:rPr>
          <w:b/>
          <w:bCs/>
          <w:lang w:val="en-US"/>
        </w:rPr>
      </w:pPr>
      <w:r w:rsidRPr="00760B34">
        <w:rPr>
          <w:b/>
          <w:bCs/>
          <w:lang w:val="en-US"/>
        </w:rPr>
        <w:t>C</w:t>
      </w:r>
    </w:p>
    <w:p w14:paraId="6566AC4E" w14:textId="77777777" w:rsidR="002F01D4" w:rsidRDefault="002F01D4" w:rsidP="003B76E2">
      <w:pPr>
        <w:ind w:left="708"/>
        <w:jc w:val="both"/>
        <w:rPr>
          <w:color w:val="000000" w:themeColor="text1"/>
          <w:lang w:val="en-US"/>
        </w:rPr>
      </w:pPr>
      <w:r>
        <w:rPr>
          <w:noProof/>
        </w:rPr>
        <w:drawing>
          <wp:inline distT="0" distB="0" distL="0" distR="0" wp14:anchorId="35932FD4" wp14:editId="6A9EAD6E">
            <wp:extent cx="4774381" cy="2651670"/>
            <wp:effectExtent l="0" t="0" r="1270" b="3175"/>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magine 1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779728" cy="2654640"/>
                    </a:xfrm>
                    <a:prstGeom prst="rect">
                      <a:avLst/>
                    </a:prstGeom>
                  </pic:spPr>
                </pic:pic>
              </a:graphicData>
            </a:graphic>
          </wp:inline>
        </w:drawing>
      </w:r>
    </w:p>
    <w:p w14:paraId="2EED1E27" w14:textId="77777777" w:rsidR="002F01D4" w:rsidRDefault="002F01D4" w:rsidP="003B76E2">
      <w:pPr>
        <w:ind w:left="708"/>
        <w:jc w:val="both"/>
        <w:rPr>
          <w:color w:val="000000" w:themeColor="text1"/>
          <w:lang w:val="en-US"/>
        </w:rPr>
      </w:pPr>
    </w:p>
    <w:p w14:paraId="59AA94A2" w14:textId="359DDC7E" w:rsidR="002F01D4" w:rsidRPr="00760B34" w:rsidRDefault="00760B34" w:rsidP="003B76E2">
      <w:pPr>
        <w:jc w:val="both"/>
        <w:rPr>
          <w:lang w:val="en-US"/>
        </w:rPr>
      </w:pPr>
      <w:r w:rsidRPr="00396643">
        <w:rPr>
          <w:b/>
          <w:bCs/>
          <w:lang w:val="en-US"/>
        </w:rPr>
        <w:t xml:space="preserve">Fig. </w:t>
      </w:r>
      <w:r>
        <w:rPr>
          <w:b/>
          <w:bCs/>
          <w:lang w:val="en-US"/>
        </w:rPr>
        <w:t>S1. Determination of biomarkers of liver viability</w:t>
      </w:r>
      <w:r w:rsidR="000B7AD9" w:rsidRPr="000B7AD9">
        <w:rPr>
          <w:b/>
          <w:bCs/>
          <w:lang w:val="en-US"/>
        </w:rPr>
        <w:t xml:space="preserve"> </w:t>
      </w:r>
      <w:r w:rsidR="000B7AD9">
        <w:rPr>
          <w:b/>
          <w:bCs/>
          <w:lang w:val="en-US"/>
        </w:rPr>
        <w:t xml:space="preserve">in </w:t>
      </w:r>
      <w:r w:rsidR="000B7AD9" w:rsidRPr="0010014F">
        <w:rPr>
          <w:b/>
          <w:bCs/>
          <w:lang w:val="en-US"/>
        </w:rPr>
        <w:t>the hepatic venous effluent of isolated perfused rat livers</w:t>
      </w:r>
      <w:r>
        <w:rPr>
          <w:b/>
          <w:bCs/>
          <w:lang w:val="en-US"/>
        </w:rPr>
        <w:t xml:space="preserve">. (A) </w:t>
      </w:r>
      <w:r w:rsidRPr="0010014F">
        <w:rPr>
          <w:b/>
          <w:bCs/>
          <w:lang w:val="en-US"/>
        </w:rPr>
        <w:t>Analysis of ATP and LDH</w:t>
      </w:r>
      <w:r w:rsidRPr="0010014F">
        <w:rPr>
          <w:lang w:val="en-US"/>
        </w:rPr>
        <w:t>.</w:t>
      </w:r>
      <w:r w:rsidRPr="0010014F">
        <w:rPr>
          <w:b/>
          <w:bCs/>
          <w:lang w:val="en-US"/>
        </w:rPr>
        <w:t xml:space="preserve"> </w:t>
      </w:r>
      <w:r w:rsidRPr="0010014F">
        <w:rPr>
          <w:lang w:val="en-US"/>
        </w:rPr>
        <w:t>Box plots of ATP concentrations</w:t>
      </w:r>
      <w:r>
        <w:rPr>
          <w:lang w:val="en-US"/>
        </w:rPr>
        <w:t xml:space="preserve"> (</w:t>
      </w:r>
      <w:r w:rsidRPr="0015385C">
        <w:rPr>
          <w:color w:val="000000" w:themeColor="text1"/>
          <w:lang w:val="en-US"/>
        </w:rPr>
        <w:t>liver n = 27</w:t>
      </w:r>
      <w:r>
        <w:rPr>
          <w:color w:val="000000" w:themeColor="text1"/>
          <w:lang w:val="en-US"/>
        </w:rPr>
        <w:t>)</w:t>
      </w:r>
      <w:r w:rsidRPr="0010014F">
        <w:rPr>
          <w:lang w:val="en-US"/>
        </w:rPr>
        <w:t xml:space="preserve"> (</w:t>
      </w:r>
      <w:r w:rsidRPr="0010014F">
        <w:rPr>
          <w:b/>
          <w:bCs/>
          <w:lang w:val="en-US"/>
        </w:rPr>
        <w:t>a</w:t>
      </w:r>
      <w:r w:rsidRPr="0010014F">
        <w:rPr>
          <w:lang w:val="en-US"/>
        </w:rPr>
        <w:t xml:space="preserve">) and LDH activity </w:t>
      </w:r>
      <w:r w:rsidRPr="0015385C">
        <w:rPr>
          <w:color w:val="000000" w:themeColor="text1"/>
          <w:lang w:val="en-US"/>
        </w:rPr>
        <w:t>(liver n = 32</w:t>
      </w:r>
      <w:r w:rsidRPr="0010014F">
        <w:rPr>
          <w:lang w:val="en-US"/>
        </w:rPr>
        <w:t xml:space="preserve"> (</w:t>
      </w:r>
      <w:r w:rsidRPr="0010014F">
        <w:rPr>
          <w:b/>
          <w:bCs/>
          <w:lang w:val="en-US"/>
        </w:rPr>
        <w:t>b</w:t>
      </w:r>
      <w:r w:rsidRPr="0010014F">
        <w:rPr>
          <w:lang w:val="en-US"/>
        </w:rPr>
        <w:t>)</w:t>
      </w:r>
      <w:r>
        <w:rPr>
          <w:lang w:val="en-US"/>
        </w:rPr>
        <w:t>,</w:t>
      </w:r>
      <w:r w:rsidRPr="0010014F">
        <w:rPr>
          <w:lang w:val="en-US"/>
        </w:rPr>
        <w:t xml:space="preserve"> detected in 4 inter-</w:t>
      </w:r>
      <w:proofErr w:type="spellStart"/>
      <w:r w:rsidRPr="0010014F">
        <w:rPr>
          <w:lang w:val="en-US"/>
        </w:rPr>
        <w:t>boli</w:t>
      </w:r>
      <w:proofErr w:type="spellEnd"/>
      <w:r w:rsidRPr="0010014F">
        <w:rPr>
          <w:lang w:val="en-US"/>
        </w:rPr>
        <w:t xml:space="preserve"> fractions collected </w:t>
      </w:r>
      <w:r>
        <w:rPr>
          <w:lang w:val="en-US"/>
        </w:rPr>
        <w:t>along</w:t>
      </w:r>
      <w:r w:rsidRPr="0010014F">
        <w:rPr>
          <w:lang w:val="en-US"/>
        </w:rPr>
        <w:t xml:space="preserve"> tests of hepatic uptake of </w:t>
      </w:r>
      <w:r w:rsidRPr="0015385C">
        <w:rPr>
          <w:color w:val="000000" w:themeColor="text1"/>
          <w:lang w:val="en-US"/>
        </w:rPr>
        <w:t>BR</w:t>
      </w:r>
      <w:r>
        <w:rPr>
          <w:color w:val="000000" w:themeColor="text1"/>
          <w:lang w:val="en-US"/>
        </w:rPr>
        <w:t>.</w:t>
      </w:r>
      <w:r w:rsidRPr="0015385C">
        <w:rPr>
          <w:color w:val="000000" w:themeColor="text1"/>
          <w:lang w:val="en-US"/>
        </w:rPr>
        <w:t xml:space="preserve"> </w:t>
      </w:r>
      <w:r>
        <w:rPr>
          <w:lang w:val="en-GB"/>
        </w:rPr>
        <w:t xml:space="preserve">Reference values ATP: 10-100 </w:t>
      </w:r>
      <w:proofErr w:type="spellStart"/>
      <w:r>
        <w:rPr>
          <w:lang w:val="en-GB"/>
        </w:rPr>
        <w:t>nM</w:t>
      </w:r>
      <w:proofErr w:type="spellEnd"/>
      <w:r>
        <w:rPr>
          <w:lang w:val="en-GB"/>
        </w:rPr>
        <w:t xml:space="preserve"> in rat hepatoma cells </w:t>
      </w:r>
      <w:r>
        <w:rPr>
          <w:lang w:val="en-GB"/>
        </w:rPr>
        <w:fldChar w:fldCharType="begin" w:fldLock="1"/>
      </w:r>
      <w:r w:rsidR="00E26B06">
        <w:rPr>
          <w:lang w:val="en-GB"/>
        </w:rPr>
        <w:instrText>ADDIN CSL_CITATION {"citationItems":[{"id":"ITEM-1","itemData":{"ISSN":"0026-895X","author":[{"dropping-particle":"","family":"Lazarowski","given":"Eduardo R","non-dropping-particle":"","parse-names":false,"suffix":""},{"dropping-particle":"","family":"Boucher","given":"Richard C","non-dropping-particle":"","parse-names":false,"suffix":""},{"dropping-particle":"","family":"Harden","given":"T Kendall","non-dropping-particle":"","parse-names":false,"suffix":""}],"container-title":"Molecular pharmacology","id":"ITEM-1","issue":"4","issued":{"date-parts":[["2003"]]},"page":"785-795","publisher":"ASPET","title":"Mechanisms of release of nucleotides and integration of their action as P2X-and P2Y-receptor activating molecules","type":"article-journal","volume":"64"},"uris":["http://www.mendeley.com/documents/?uuid=441294f6-45d2-4232-87db-845a52ee6838"]}],"mendeley":{"formattedCitation":"[61]","plainTextFormattedCitation":"[61]","previouslyFormattedCitation":"[61]"},"properties":{"noteIndex":0},"schema":"https://github.com/citation-style-language/schema/raw/master/csl-citation.json"}</w:instrText>
      </w:r>
      <w:r>
        <w:rPr>
          <w:lang w:val="en-GB"/>
        </w:rPr>
        <w:fldChar w:fldCharType="separate"/>
      </w:r>
      <w:r w:rsidR="00D82436" w:rsidRPr="00D82436">
        <w:rPr>
          <w:noProof/>
          <w:lang w:val="en-GB"/>
        </w:rPr>
        <w:t>[61]</w:t>
      </w:r>
      <w:r>
        <w:rPr>
          <w:lang w:val="en-GB"/>
        </w:rPr>
        <w:fldChar w:fldCharType="end"/>
      </w:r>
      <w:r>
        <w:rPr>
          <w:lang w:val="en-GB"/>
        </w:rPr>
        <w:t>; LDH: 30 IU L</w:t>
      </w:r>
      <w:r w:rsidRPr="008D3186">
        <w:rPr>
          <w:vertAlign w:val="superscript"/>
          <w:lang w:val="en-GB"/>
        </w:rPr>
        <w:t>-1</w:t>
      </w:r>
      <w:r>
        <w:rPr>
          <w:lang w:val="en-GB"/>
        </w:rPr>
        <w:t xml:space="preserve"> </w:t>
      </w:r>
      <w:r>
        <w:rPr>
          <w:lang w:val="en-GB"/>
        </w:rPr>
        <w:fldChar w:fldCharType="begin" w:fldLock="1"/>
      </w:r>
      <w:r w:rsidR="00E26B06">
        <w:rPr>
          <w:lang w:val="en-GB"/>
        </w:rPr>
        <w:instrText>ADDIN CSL_CITATION {"citationItems":[{"id":"ITEM-1","itemData":{"DOI":"10.1016/s1056-8719(00)00106-4","ISSN":"1056-8719 (Print)","PMID":"11257488","abstract":"Inclusion of albumin in the perfusate has been previously shown to be detrimental to  liver function, but its effect on hepatic vascular reactivity remains unknown. The aim of this study was to determine the effects of albumin on hepatic arterial vascular reactivity and liver viability in the isolated dual-perfused rat liver. A total of 12 rat livers were perfused with Krebs-Bülbring buffer without (Group 1) and with (Group 2) addition of 1% bovine serum albumin (BSA) through the hepatic artery and portal vein for up to 5 h. Hepatic arterial responses to acetylcholine and sodium nitroprusside were studied at 30-min intervals. Liver viability was assessed by bile volume production, release of aspartate serine aminotransferase (AST) and lactic acid dehydrogenase (LDH), and histological examination. Hepatic arterial responses to acetylcholine were significantly attenuated in Group 2. No significant differences in sodium nitroprusside responses were noted. However, bile volume production in Group 2 was significantly decreased compared to Group 1. Effluent AST and LDH release increased significantly in Group 1 but not in Group 2. Histological results showed that sinusoidal endothelial cells and hepatocytes were well preserved without significant deterioration in either group, although there was a marked decrease in vasodilatation to acetylcholine in Group 2. This data suggested that the presence of albumin in the perfusate did not improve retention of smooth muscle reactivity and reduced endothelium-dependent vasodilatation and bile volume production during perfusion. However, improved liver parenchymal cell function was observed.","author":[{"dropping-particle":"","family":"Yang","given":"W","non-dropping-particle":"","parse-names":false,"suffix":""},{"dropping-particle":"","family":"Benjamin","given":"I S","non-dropping-particle":"","parse-names":false,"suffix":""},{"dropping-particle":"","family":"Sherwood","given":"R","non-dropping-particle":"","parse-names":false,"suffix":""},{"dropping-particle":"","family":"Salisbury","given":"J","non-dropping-particle":"","parse-names":false,"suffix":""},{"dropping-particle":"","family":"Alexander","given":"B","non-dropping-particle":"","parse-names":false,"suffix":""}],"container-title":"Journal of pharmacological and toxicological methods","id":"ITEM-1","issue":"3","issued":{"date-parts":[["2000"]]},"language":"eng","page":"225-231","publisher-place":"United States","title":"Effect of perfusate albumin on organ viability and vascular responses in the in  vitro dual-perfused rat liver.","type":"article-journal","volume":"43"},"uris":["http://www.mendeley.com/documents/?uuid=b8866c17-ea94-4afe-a912-6f3b8eb065de"]}],"mendeley":{"formattedCitation":"[62]","plainTextFormattedCitation":"[62]","previouslyFormattedCitation":"[62]"},"properties":{"noteIndex":0},"schema":"https://github.com/citation-style-language/schema/raw/master/csl-citation.json"}</w:instrText>
      </w:r>
      <w:r>
        <w:rPr>
          <w:lang w:val="en-GB"/>
        </w:rPr>
        <w:fldChar w:fldCharType="separate"/>
      </w:r>
      <w:r w:rsidR="00D82436" w:rsidRPr="00D82436">
        <w:rPr>
          <w:noProof/>
          <w:lang w:val="en-US"/>
        </w:rPr>
        <w:t>[62]</w:t>
      </w:r>
      <w:r>
        <w:rPr>
          <w:lang w:val="en-GB"/>
        </w:rPr>
        <w:fldChar w:fldCharType="end"/>
      </w:r>
      <w:r>
        <w:rPr>
          <w:lang w:val="en-GB"/>
        </w:rPr>
        <w:t xml:space="preserve">. </w:t>
      </w:r>
      <w:r w:rsidRPr="00760B34">
        <w:rPr>
          <w:b/>
          <w:bCs/>
          <w:lang w:val="en-US"/>
        </w:rPr>
        <w:t>(B)</w:t>
      </w:r>
      <w:r w:rsidRPr="00E414AB">
        <w:rPr>
          <w:lang w:val="en-US"/>
        </w:rPr>
        <w:t xml:space="preserve">  </w:t>
      </w:r>
      <w:r w:rsidR="000B7AD9" w:rsidRPr="000B7AD9">
        <w:rPr>
          <w:b/>
          <w:bCs/>
          <w:lang w:val="en-US"/>
        </w:rPr>
        <w:t xml:space="preserve">Analysis of </w:t>
      </w:r>
      <w:r w:rsidR="000B7AD9">
        <w:rPr>
          <w:b/>
          <w:bCs/>
          <w:lang w:val="en-US"/>
        </w:rPr>
        <w:t>s</w:t>
      </w:r>
      <w:r w:rsidRPr="00E414AB">
        <w:rPr>
          <w:b/>
          <w:bCs/>
          <w:lang w:val="en-US"/>
        </w:rPr>
        <w:t>erum albumin peaks</w:t>
      </w:r>
      <w:r w:rsidRPr="00E414AB">
        <w:rPr>
          <w:lang w:val="en-US"/>
        </w:rPr>
        <w:t>.</w:t>
      </w:r>
      <w:r w:rsidRPr="00E414AB">
        <w:rPr>
          <w:b/>
          <w:bCs/>
          <w:lang w:val="en-US"/>
        </w:rPr>
        <w:t xml:space="preserve"> </w:t>
      </w:r>
      <w:r w:rsidRPr="00E414AB">
        <w:rPr>
          <w:lang w:val="en-US"/>
        </w:rPr>
        <w:t>Box plots of BSA-FITC peak descriptors</w:t>
      </w:r>
      <w:r>
        <w:rPr>
          <w:lang w:val="en-US"/>
        </w:rPr>
        <w:t>,</w:t>
      </w:r>
      <w:r w:rsidRPr="00E414AB">
        <w:rPr>
          <w:lang w:val="en-US"/>
        </w:rPr>
        <w:t xml:space="preserve"> resulting from</w:t>
      </w:r>
      <w:r>
        <w:rPr>
          <w:lang w:val="en-US"/>
        </w:rPr>
        <w:t xml:space="preserve"> the</w:t>
      </w:r>
      <w:r w:rsidRPr="00E414AB">
        <w:rPr>
          <w:lang w:val="en-US"/>
        </w:rPr>
        <w:t xml:space="preserve"> injection </w:t>
      </w:r>
      <w:r>
        <w:rPr>
          <w:lang w:val="en-US"/>
        </w:rPr>
        <w:t>of a 0.2 mL-</w:t>
      </w:r>
      <w:r w:rsidRPr="00E414AB">
        <w:rPr>
          <w:lang w:val="en-US"/>
        </w:rPr>
        <w:t xml:space="preserve">bolus of </w:t>
      </w:r>
      <w:r>
        <w:rPr>
          <w:lang w:val="en-US"/>
        </w:rPr>
        <w:t>5.15 mg L</w:t>
      </w:r>
      <w:r w:rsidRPr="002D2236">
        <w:rPr>
          <w:vertAlign w:val="superscript"/>
          <w:lang w:val="en-US"/>
        </w:rPr>
        <w:t>-1</w:t>
      </w:r>
      <w:r w:rsidRPr="00E414AB">
        <w:rPr>
          <w:lang w:val="en-US"/>
        </w:rPr>
        <w:t xml:space="preserve"> </w:t>
      </w:r>
      <w:r>
        <w:rPr>
          <w:lang w:val="en-US"/>
        </w:rPr>
        <w:t>BSA containing 3 % (</w:t>
      </w:r>
      <w:proofErr w:type="spellStart"/>
      <w:proofErr w:type="gramStart"/>
      <w:r>
        <w:rPr>
          <w:lang w:val="en-US"/>
        </w:rPr>
        <w:t>w:w</w:t>
      </w:r>
      <w:proofErr w:type="spellEnd"/>
      <w:proofErr w:type="gramEnd"/>
      <w:r>
        <w:rPr>
          <w:lang w:val="en-US"/>
        </w:rPr>
        <w:t>) BSA-FITC</w:t>
      </w:r>
      <w:r w:rsidRPr="00E414AB">
        <w:rPr>
          <w:lang w:val="en-US"/>
        </w:rPr>
        <w:t xml:space="preserve">. </w:t>
      </w:r>
      <w:r w:rsidR="000B7AD9" w:rsidRPr="000B7AD9">
        <w:rPr>
          <w:b/>
          <w:bCs/>
          <w:lang w:val="en-US"/>
        </w:rPr>
        <w:t>(</w:t>
      </w:r>
      <w:r w:rsidRPr="000B7AD9">
        <w:rPr>
          <w:b/>
          <w:bCs/>
          <w:lang w:val="en-US"/>
        </w:rPr>
        <w:t>a</w:t>
      </w:r>
      <w:r w:rsidR="000B7AD9" w:rsidRPr="000B7AD9">
        <w:rPr>
          <w:b/>
          <w:bCs/>
          <w:lang w:val="en-US"/>
        </w:rPr>
        <w:t>)</w:t>
      </w:r>
      <w:r w:rsidRPr="00E414AB">
        <w:rPr>
          <w:b/>
          <w:bCs/>
          <w:lang w:val="en-US"/>
        </w:rPr>
        <w:t xml:space="preserve"> </w:t>
      </w:r>
      <w:r>
        <w:rPr>
          <w:lang w:val="en-US"/>
        </w:rPr>
        <w:t>P</w:t>
      </w:r>
      <w:r w:rsidRPr="00445912">
        <w:rPr>
          <w:lang w:val="en-US"/>
        </w:rPr>
        <w:t xml:space="preserve">eak </w:t>
      </w:r>
      <w:r w:rsidRPr="00E414AB">
        <w:rPr>
          <w:lang w:val="en-US"/>
        </w:rPr>
        <w:t xml:space="preserve">size. </w:t>
      </w:r>
      <w:r w:rsidR="000B7AD9" w:rsidRPr="000B7AD9">
        <w:rPr>
          <w:b/>
          <w:bCs/>
          <w:lang w:val="en-US"/>
        </w:rPr>
        <w:t>(</w:t>
      </w:r>
      <w:r w:rsidRPr="000B7AD9">
        <w:rPr>
          <w:b/>
          <w:bCs/>
          <w:lang w:val="en-US"/>
        </w:rPr>
        <w:t>b</w:t>
      </w:r>
      <w:r w:rsidR="000B7AD9" w:rsidRPr="000B7AD9">
        <w:rPr>
          <w:b/>
          <w:bCs/>
          <w:lang w:val="en-US"/>
        </w:rPr>
        <w:t>)</w:t>
      </w:r>
      <w:r w:rsidRPr="00E414AB">
        <w:rPr>
          <w:lang w:val="en-US"/>
        </w:rPr>
        <w:t xml:space="preserve"> </w:t>
      </w:r>
      <w:r>
        <w:rPr>
          <w:lang w:val="en-US"/>
        </w:rPr>
        <w:t xml:space="preserve">Peak </w:t>
      </w:r>
      <w:r w:rsidRPr="00E414AB">
        <w:rPr>
          <w:lang w:val="en-US"/>
        </w:rPr>
        <w:t xml:space="preserve">height. </w:t>
      </w:r>
      <w:r w:rsidR="000B7AD9" w:rsidRPr="000B7AD9">
        <w:rPr>
          <w:b/>
          <w:bCs/>
          <w:lang w:val="en-US"/>
        </w:rPr>
        <w:t>(</w:t>
      </w:r>
      <w:r w:rsidRPr="00E414AB">
        <w:rPr>
          <w:b/>
          <w:bCs/>
          <w:lang w:val="en-US"/>
        </w:rPr>
        <w:t>c</w:t>
      </w:r>
      <w:r w:rsidR="000B7AD9">
        <w:rPr>
          <w:b/>
          <w:bCs/>
          <w:lang w:val="en-US"/>
        </w:rPr>
        <w:t>)</w:t>
      </w:r>
      <w:r w:rsidRPr="00E414AB">
        <w:rPr>
          <w:b/>
          <w:bCs/>
          <w:lang w:val="en-US"/>
        </w:rPr>
        <w:t xml:space="preserve"> </w:t>
      </w:r>
      <w:r>
        <w:rPr>
          <w:lang w:val="en-US"/>
        </w:rPr>
        <w:t>T</w:t>
      </w:r>
      <w:r w:rsidRPr="00E414AB">
        <w:rPr>
          <w:lang w:val="en-US"/>
        </w:rPr>
        <w:t xml:space="preserve">ime to reach </w:t>
      </w:r>
      <w:r>
        <w:rPr>
          <w:lang w:val="en-US"/>
        </w:rPr>
        <w:t xml:space="preserve">the </w:t>
      </w:r>
      <w:r w:rsidRPr="00E414AB">
        <w:rPr>
          <w:lang w:val="en-US"/>
        </w:rPr>
        <w:t xml:space="preserve">peak. </w:t>
      </w:r>
      <w:r w:rsidRPr="00E414AB">
        <w:rPr>
          <w:b/>
          <w:bCs/>
          <w:lang w:val="en-US"/>
        </w:rPr>
        <w:t>d</w:t>
      </w:r>
      <w:r w:rsidRPr="00E414AB">
        <w:rPr>
          <w:lang w:val="en-US"/>
        </w:rPr>
        <w:t xml:space="preserve"> Recovery. Mean values and SD </w:t>
      </w:r>
      <w:r w:rsidRPr="00445912">
        <w:rPr>
          <w:color w:val="000000" w:themeColor="text1"/>
          <w:lang w:val="en-US"/>
        </w:rPr>
        <w:t>(liver n = 19)</w:t>
      </w:r>
      <w:r>
        <w:rPr>
          <w:color w:val="000000" w:themeColor="text1"/>
          <w:lang w:val="en-US"/>
        </w:rPr>
        <w:t xml:space="preserve"> </w:t>
      </w:r>
      <w:r w:rsidRPr="00E414AB">
        <w:rPr>
          <w:lang w:val="en-US"/>
        </w:rPr>
        <w:t>are</w:t>
      </w:r>
      <w:r>
        <w:rPr>
          <w:lang w:val="en-US"/>
        </w:rPr>
        <w:t xml:space="preserve">: AUC = </w:t>
      </w:r>
      <w:r>
        <w:rPr>
          <w:color w:val="000000" w:themeColor="text1"/>
          <w:lang w:val="en-US"/>
        </w:rPr>
        <w:t>4777</w:t>
      </w:r>
      <w:r w:rsidRPr="00445912">
        <w:rPr>
          <w:color w:val="000000" w:themeColor="text1"/>
          <w:lang w:val="en-US"/>
        </w:rPr>
        <w:t xml:space="preserve"> ± </w:t>
      </w:r>
      <w:r w:rsidRPr="00445912">
        <w:rPr>
          <w:rFonts w:cstheme="minorHAnsi"/>
          <w:color w:val="000000" w:themeColor="text1"/>
          <w:lang w:val="en-US"/>
        </w:rPr>
        <w:t>1</w:t>
      </w:r>
      <w:r>
        <w:rPr>
          <w:rFonts w:cstheme="minorHAnsi"/>
          <w:color w:val="000000" w:themeColor="text1"/>
          <w:lang w:val="en-US"/>
        </w:rPr>
        <w:t>036</w:t>
      </w:r>
      <w:r w:rsidRPr="00445912">
        <w:rPr>
          <w:rFonts w:cstheme="minorHAnsi"/>
          <w:color w:val="000000" w:themeColor="text1"/>
          <w:lang w:val="en-US"/>
        </w:rPr>
        <w:t xml:space="preserve"> </w:t>
      </w:r>
      <w:proofErr w:type="spellStart"/>
      <w:r w:rsidRPr="00445912">
        <w:rPr>
          <w:rFonts w:cstheme="minorHAnsi"/>
          <w:color w:val="000000" w:themeColor="text1"/>
          <w:lang w:val="en-US"/>
        </w:rPr>
        <w:t>nM</w:t>
      </w:r>
      <w:proofErr w:type="spellEnd"/>
      <w:r w:rsidRPr="00445912">
        <w:rPr>
          <w:rFonts w:cstheme="minorHAnsi"/>
          <w:color w:val="000000" w:themeColor="text1"/>
          <w:lang w:val="en-US"/>
        </w:rPr>
        <w:t xml:space="preserve"> </w:t>
      </w:r>
      <w:r>
        <w:rPr>
          <w:rFonts w:ascii="Calibri" w:hAnsi="Calibri" w:cs="Calibri"/>
          <w:color w:val="000000" w:themeColor="text1"/>
          <w:lang w:val="en-US"/>
        </w:rPr>
        <w:t>•</w:t>
      </w:r>
      <w:r>
        <w:rPr>
          <w:rFonts w:cstheme="minorHAnsi"/>
          <w:color w:val="000000" w:themeColor="text1"/>
          <w:lang w:val="en-US"/>
        </w:rPr>
        <w:t xml:space="preserve"> </w:t>
      </w:r>
      <w:r w:rsidRPr="00445912">
        <w:rPr>
          <w:rFonts w:cstheme="minorHAnsi"/>
          <w:color w:val="000000" w:themeColor="text1"/>
          <w:lang w:val="en-US"/>
        </w:rPr>
        <w:t>sec</w:t>
      </w:r>
      <w:r w:rsidRPr="00E414AB">
        <w:rPr>
          <w:lang w:val="en-US"/>
        </w:rPr>
        <w:t xml:space="preserve">; </w:t>
      </w:r>
      <w:proofErr w:type="spellStart"/>
      <w:r>
        <w:rPr>
          <w:lang w:val="en-US"/>
        </w:rPr>
        <w:t>C</w:t>
      </w:r>
      <w:r w:rsidRPr="005046C5">
        <w:rPr>
          <w:vertAlign w:val="subscript"/>
          <w:lang w:val="en-US"/>
        </w:rPr>
        <w:t>max</w:t>
      </w:r>
      <w:proofErr w:type="spellEnd"/>
      <w:r>
        <w:rPr>
          <w:lang w:val="en-US"/>
        </w:rPr>
        <w:t xml:space="preserve"> =</w:t>
      </w:r>
      <w:r w:rsidRPr="00E414AB">
        <w:rPr>
          <w:lang w:val="en-US"/>
        </w:rPr>
        <w:t xml:space="preserve"> </w:t>
      </w:r>
      <w:r w:rsidRPr="00445912">
        <w:rPr>
          <w:rFonts w:cstheme="minorHAnsi"/>
          <w:color w:val="000000" w:themeColor="text1"/>
          <w:lang w:val="en-US"/>
        </w:rPr>
        <w:t>149.8 ± 49.</w:t>
      </w:r>
      <w:r>
        <w:rPr>
          <w:rFonts w:cstheme="minorHAnsi"/>
          <w:color w:val="000000" w:themeColor="text1"/>
          <w:lang w:val="en-US"/>
        </w:rPr>
        <w:t>2</w:t>
      </w:r>
      <w:r w:rsidRPr="00445912">
        <w:rPr>
          <w:rFonts w:cstheme="minorHAnsi"/>
          <w:color w:val="000000" w:themeColor="text1"/>
          <w:lang w:val="en-US"/>
        </w:rPr>
        <w:t xml:space="preserve"> </w:t>
      </w:r>
      <w:proofErr w:type="spellStart"/>
      <w:r w:rsidRPr="00445912">
        <w:rPr>
          <w:rFonts w:cstheme="minorHAnsi"/>
          <w:color w:val="000000" w:themeColor="text1"/>
          <w:lang w:val="en-US"/>
        </w:rPr>
        <w:t>nM</w:t>
      </w:r>
      <w:proofErr w:type="spellEnd"/>
      <w:r w:rsidRPr="00445912">
        <w:rPr>
          <w:rFonts w:cstheme="minorHAnsi"/>
          <w:color w:val="000000" w:themeColor="text1"/>
          <w:lang w:val="en-US"/>
        </w:rPr>
        <w:t xml:space="preserve">; </w:t>
      </w:r>
      <w:proofErr w:type="spellStart"/>
      <w:r>
        <w:rPr>
          <w:lang w:val="en-US"/>
        </w:rPr>
        <w:t>t</w:t>
      </w:r>
      <w:r w:rsidRPr="005046C5">
        <w:rPr>
          <w:vertAlign w:val="subscript"/>
          <w:lang w:val="en-US"/>
        </w:rPr>
        <w:t>max</w:t>
      </w:r>
      <w:proofErr w:type="spellEnd"/>
      <w:r>
        <w:rPr>
          <w:lang w:val="en-US"/>
        </w:rPr>
        <w:t xml:space="preserve"> =</w:t>
      </w:r>
      <w:r w:rsidRPr="00E414AB">
        <w:rPr>
          <w:lang w:val="en-US"/>
        </w:rPr>
        <w:t xml:space="preserve"> </w:t>
      </w:r>
      <w:r w:rsidRPr="002D2236">
        <w:rPr>
          <w:lang w:val="en-US"/>
        </w:rPr>
        <w:t>32.</w:t>
      </w:r>
      <w:r>
        <w:rPr>
          <w:lang w:val="en-US"/>
        </w:rPr>
        <w:t>3</w:t>
      </w:r>
      <w:r w:rsidRPr="002D2236">
        <w:rPr>
          <w:lang w:val="en-US"/>
        </w:rPr>
        <w:t xml:space="preserve"> ±</w:t>
      </w:r>
      <w:r w:rsidRPr="00445912">
        <w:rPr>
          <w:rFonts w:cstheme="minorHAnsi"/>
          <w:color w:val="000000" w:themeColor="text1"/>
          <w:lang w:val="en-US"/>
        </w:rPr>
        <w:t xml:space="preserve"> 11.</w:t>
      </w:r>
      <w:r>
        <w:rPr>
          <w:rFonts w:cstheme="minorHAnsi"/>
          <w:color w:val="000000" w:themeColor="text1"/>
          <w:lang w:val="en-US"/>
        </w:rPr>
        <w:t>3</w:t>
      </w:r>
      <w:r w:rsidRPr="00445912">
        <w:rPr>
          <w:rFonts w:cstheme="minorHAnsi"/>
          <w:color w:val="000000" w:themeColor="text1"/>
          <w:lang w:val="en-US"/>
        </w:rPr>
        <w:t xml:space="preserve"> sec; </w:t>
      </w:r>
      <w:r>
        <w:rPr>
          <w:rFonts w:cstheme="minorHAnsi"/>
          <w:color w:val="000000" w:themeColor="text1"/>
          <w:lang w:val="en-US"/>
        </w:rPr>
        <w:t>Recovery =</w:t>
      </w:r>
      <w:r w:rsidRPr="00445912">
        <w:rPr>
          <w:rFonts w:cstheme="minorHAnsi"/>
          <w:color w:val="000000" w:themeColor="text1"/>
          <w:lang w:val="en-US"/>
        </w:rPr>
        <w:t xml:space="preserve"> 91.</w:t>
      </w:r>
      <w:r>
        <w:rPr>
          <w:rFonts w:cstheme="minorHAnsi"/>
          <w:color w:val="000000" w:themeColor="text1"/>
          <w:lang w:val="en-US"/>
        </w:rPr>
        <w:t>5</w:t>
      </w:r>
      <w:r w:rsidRPr="00445912">
        <w:rPr>
          <w:rFonts w:cstheme="minorHAnsi"/>
          <w:color w:val="000000" w:themeColor="text1"/>
          <w:lang w:val="en-US"/>
        </w:rPr>
        <w:t xml:space="preserve"> ± 10.9 %</w:t>
      </w:r>
      <w:r w:rsidRPr="00445912">
        <w:rPr>
          <w:color w:val="000000" w:themeColor="text1"/>
          <w:lang w:val="en-US"/>
        </w:rPr>
        <w:t xml:space="preserve">. </w:t>
      </w:r>
      <w:r>
        <w:rPr>
          <w:lang w:val="en-US"/>
        </w:rPr>
        <w:t>(</w:t>
      </w:r>
      <w:r w:rsidR="00D53B45">
        <w:rPr>
          <w:b/>
          <w:bCs/>
          <w:lang w:val="en-US"/>
        </w:rPr>
        <w:t>C</w:t>
      </w:r>
      <w:r>
        <w:rPr>
          <w:b/>
          <w:bCs/>
          <w:lang w:val="en-US"/>
        </w:rPr>
        <w:t>)</w:t>
      </w:r>
      <w:r w:rsidR="002F01D4" w:rsidRPr="0010014F">
        <w:rPr>
          <w:lang w:val="en-US"/>
        </w:rPr>
        <w:t xml:space="preserve"> </w:t>
      </w:r>
      <w:r w:rsidR="002F01D4" w:rsidRPr="0010014F">
        <w:rPr>
          <w:b/>
          <w:bCs/>
          <w:lang w:val="en-US"/>
        </w:rPr>
        <w:t xml:space="preserve">Analysis of </w:t>
      </w:r>
      <w:r w:rsidR="002F01D4">
        <w:rPr>
          <w:b/>
          <w:bCs/>
          <w:lang w:val="en-US"/>
        </w:rPr>
        <w:t>taurocholate</w:t>
      </w:r>
      <w:r w:rsidR="002F01D4" w:rsidRPr="0010014F">
        <w:rPr>
          <w:lang w:val="en-US"/>
        </w:rPr>
        <w:t>.</w:t>
      </w:r>
      <w:r w:rsidR="002F01D4" w:rsidRPr="0010014F">
        <w:rPr>
          <w:b/>
          <w:bCs/>
          <w:lang w:val="en-US"/>
        </w:rPr>
        <w:t xml:space="preserve"> </w:t>
      </w:r>
      <w:r w:rsidR="002F01D4" w:rsidRPr="00C8482B">
        <w:rPr>
          <w:lang w:val="en-US"/>
        </w:rPr>
        <w:t xml:space="preserve">Concentration of </w:t>
      </w:r>
      <w:r w:rsidR="002F01D4">
        <w:rPr>
          <w:lang w:val="en-US"/>
        </w:rPr>
        <w:t>taurocholate (TC)</w:t>
      </w:r>
      <w:r w:rsidR="002F01D4" w:rsidRPr="00C8482B">
        <w:rPr>
          <w:lang w:val="en-US"/>
        </w:rPr>
        <w:t xml:space="preserve"> in the venous effluent of </w:t>
      </w:r>
      <w:r w:rsidR="002F01D4">
        <w:rPr>
          <w:lang w:val="en-US"/>
        </w:rPr>
        <w:t>two</w:t>
      </w:r>
      <w:r w:rsidR="002F01D4" w:rsidRPr="00C8482B">
        <w:rPr>
          <w:lang w:val="en-US"/>
        </w:rPr>
        <w:t xml:space="preserve"> isolated perfused rat liver</w:t>
      </w:r>
      <w:r w:rsidR="002F01D4">
        <w:rPr>
          <w:lang w:val="en-US"/>
        </w:rPr>
        <w:t>s (circles and triangles)</w:t>
      </w:r>
      <w:r w:rsidR="006C467B">
        <w:rPr>
          <w:lang w:val="en-US"/>
        </w:rPr>
        <w:t>,</w:t>
      </w:r>
      <w:r w:rsidR="002F01D4" w:rsidRPr="00C8482B">
        <w:rPr>
          <w:lang w:val="en-US"/>
        </w:rPr>
        <w:t xml:space="preserve"> following sequential </w:t>
      </w:r>
      <w:proofErr w:type="spellStart"/>
      <w:r w:rsidR="002F01D4" w:rsidRPr="00C8482B">
        <w:rPr>
          <w:lang w:val="en-US"/>
        </w:rPr>
        <w:t>boli</w:t>
      </w:r>
      <w:proofErr w:type="spellEnd"/>
      <w:r w:rsidR="002F01D4" w:rsidRPr="00C8482B">
        <w:rPr>
          <w:lang w:val="en-US"/>
        </w:rPr>
        <w:t xml:space="preserve"> of </w:t>
      </w:r>
      <w:r w:rsidR="002F01D4">
        <w:rPr>
          <w:lang w:val="en-US"/>
        </w:rPr>
        <w:t>PBS solution</w:t>
      </w:r>
      <w:r w:rsidR="006C467B">
        <w:rPr>
          <w:lang w:val="en-US"/>
        </w:rPr>
        <w:t>, without or with</w:t>
      </w:r>
      <w:r w:rsidR="002F01D4">
        <w:rPr>
          <w:lang w:val="en-US"/>
        </w:rPr>
        <w:t xml:space="preserve"> 0.010 mM </w:t>
      </w:r>
      <w:r w:rsidR="006C467B">
        <w:rPr>
          <w:lang w:val="en-US"/>
        </w:rPr>
        <w:t>cyanidin 3-glucoside (</w:t>
      </w:r>
      <w:r w:rsidR="002F01D4">
        <w:rPr>
          <w:lang w:val="en-US"/>
        </w:rPr>
        <w:t>C3G</w:t>
      </w:r>
      <w:r w:rsidR="006C467B">
        <w:rPr>
          <w:lang w:val="en-US"/>
        </w:rPr>
        <w:t>),</w:t>
      </w:r>
      <w:r w:rsidR="002F01D4">
        <w:rPr>
          <w:lang w:val="en-US"/>
        </w:rPr>
        <w:t xml:space="preserve"> </w:t>
      </w:r>
      <w:r w:rsidR="002F01D4" w:rsidRPr="00C8482B">
        <w:rPr>
          <w:lang w:val="en-US"/>
        </w:rPr>
        <w:t xml:space="preserve">0.05 mM </w:t>
      </w:r>
      <w:r w:rsidR="006C467B">
        <w:rPr>
          <w:lang w:val="en-US"/>
        </w:rPr>
        <w:t>bilirubin (</w:t>
      </w:r>
      <w:r w:rsidR="002F01D4" w:rsidRPr="00C8482B">
        <w:rPr>
          <w:lang w:val="en-US"/>
        </w:rPr>
        <w:t>BR</w:t>
      </w:r>
      <w:r w:rsidR="006C467B">
        <w:rPr>
          <w:lang w:val="en-US"/>
        </w:rPr>
        <w:t>),</w:t>
      </w:r>
      <w:r w:rsidR="002F01D4">
        <w:rPr>
          <w:lang w:val="en-US"/>
        </w:rPr>
        <w:t xml:space="preserve"> or 1 mM </w:t>
      </w:r>
      <w:r w:rsidR="006C467B">
        <w:rPr>
          <w:lang w:val="en-US"/>
        </w:rPr>
        <w:t>e</w:t>
      </w:r>
      <w:r w:rsidR="006C467B" w:rsidRPr="002C73C9">
        <w:rPr>
          <w:lang w:val="en-US"/>
        </w:rPr>
        <w:t>stradiol</w:t>
      </w:r>
      <w:r w:rsidR="00804374">
        <w:rPr>
          <w:lang w:val="en-US"/>
        </w:rPr>
        <w:t>-</w:t>
      </w:r>
      <w:r w:rsidR="006C467B" w:rsidRPr="002C73C9">
        <w:rPr>
          <w:lang w:val="en-US"/>
        </w:rPr>
        <w:t>17</w:t>
      </w:r>
      <w:r w:rsidR="00804374">
        <w:rPr>
          <w:lang w:val="en-US"/>
        </w:rPr>
        <w:t xml:space="preserve"> beta</w:t>
      </w:r>
      <w:r w:rsidR="006C467B" w:rsidRPr="002C73C9">
        <w:rPr>
          <w:lang w:val="en-US"/>
        </w:rPr>
        <w:t xml:space="preserve">-glucuronide </w:t>
      </w:r>
      <w:r w:rsidR="006C467B">
        <w:rPr>
          <w:lang w:val="en-US"/>
        </w:rPr>
        <w:t>(</w:t>
      </w:r>
      <w:r w:rsidR="002F01D4">
        <w:rPr>
          <w:lang w:val="en-US"/>
        </w:rPr>
        <w:t>E17G</w:t>
      </w:r>
      <w:r w:rsidR="006C467B">
        <w:rPr>
          <w:lang w:val="en-US"/>
        </w:rPr>
        <w:t>)</w:t>
      </w:r>
      <w:r w:rsidR="002F01D4">
        <w:rPr>
          <w:lang w:val="en-US"/>
        </w:rPr>
        <w:t xml:space="preserve">.  </w:t>
      </w:r>
    </w:p>
    <w:p w14:paraId="0014FC39" w14:textId="77777777" w:rsidR="002F01D4" w:rsidRDefault="002F01D4" w:rsidP="003B76E2">
      <w:pPr>
        <w:ind w:left="708"/>
        <w:jc w:val="both"/>
        <w:rPr>
          <w:color w:val="000000" w:themeColor="text1"/>
          <w:lang w:val="en-US"/>
        </w:rPr>
      </w:pPr>
    </w:p>
    <w:p w14:paraId="1F516CAC" w14:textId="43C5FB46" w:rsidR="00B30CAA" w:rsidRDefault="00B30CAA" w:rsidP="003B76E2">
      <w:pPr>
        <w:jc w:val="both"/>
        <w:rPr>
          <w:lang w:val="en-GB"/>
        </w:rPr>
      </w:pPr>
    </w:p>
    <w:p w14:paraId="1D45951B" w14:textId="77777777" w:rsidR="00B30CAA" w:rsidRDefault="00B30CAA" w:rsidP="003B76E2">
      <w:pPr>
        <w:jc w:val="both"/>
        <w:rPr>
          <w:lang w:val="en-GB"/>
        </w:rPr>
      </w:pPr>
    </w:p>
    <w:p w14:paraId="1DBE7684" w14:textId="77777777" w:rsidR="00B30CAA" w:rsidRPr="008C0DA1" w:rsidRDefault="00B30CAA" w:rsidP="003B76E2">
      <w:pPr>
        <w:jc w:val="both"/>
        <w:rPr>
          <w:lang w:val="en-US"/>
        </w:rPr>
      </w:pPr>
    </w:p>
    <w:p w14:paraId="2ED55F0D" w14:textId="77777777" w:rsidR="00B30CAA" w:rsidRPr="008C0DA1" w:rsidRDefault="00B30CAA" w:rsidP="003B76E2">
      <w:pPr>
        <w:jc w:val="both"/>
        <w:rPr>
          <w:lang w:val="en-US"/>
        </w:rPr>
      </w:pPr>
    </w:p>
    <w:p w14:paraId="43397453" w14:textId="77777777" w:rsidR="002F01D4" w:rsidRDefault="002F01D4" w:rsidP="003B76E2">
      <w:pPr>
        <w:jc w:val="both"/>
        <w:rPr>
          <w:b/>
          <w:bCs/>
          <w:sz w:val="28"/>
          <w:szCs w:val="28"/>
          <w:lang w:val="en-US"/>
        </w:rPr>
      </w:pPr>
      <w:r>
        <w:rPr>
          <w:b/>
          <w:bCs/>
          <w:sz w:val="28"/>
          <w:szCs w:val="28"/>
          <w:lang w:val="en-US"/>
        </w:rPr>
        <w:br w:type="page"/>
      </w:r>
    </w:p>
    <w:p w14:paraId="1F874A35" w14:textId="6676E21E" w:rsidR="00877868" w:rsidRPr="0016214B" w:rsidRDefault="0016214B" w:rsidP="003B76E2">
      <w:pPr>
        <w:pStyle w:val="Titolo2"/>
        <w:jc w:val="both"/>
        <w:rPr>
          <w:lang w:val="en-US"/>
        </w:rPr>
      </w:pPr>
      <w:bookmarkStart w:id="19" w:name="_Toc89853426"/>
      <w:r w:rsidRPr="0016214B">
        <w:rPr>
          <w:lang w:val="en-US"/>
        </w:rPr>
        <w:lastRenderedPageBreak/>
        <w:t xml:space="preserve">Fig. </w:t>
      </w:r>
      <w:r w:rsidR="00E65251">
        <w:rPr>
          <w:lang w:val="en-US"/>
        </w:rPr>
        <w:t>S</w:t>
      </w:r>
      <w:r w:rsidRPr="0016214B">
        <w:rPr>
          <w:lang w:val="en-US"/>
        </w:rPr>
        <w:t>2. Fluorometric assay of bilirubin (A) and bilirubin glucuronide (B).</w:t>
      </w:r>
      <w:bookmarkEnd w:id="19"/>
      <w:r w:rsidRPr="0016214B">
        <w:rPr>
          <w:lang w:val="en-US"/>
        </w:rPr>
        <w:t xml:space="preserve">  </w:t>
      </w:r>
    </w:p>
    <w:p w14:paraId="309EFE3B" w14:textId="77777777" w:rsidR="0016214B" w:rsidRDefault="0016214B" w:rsidP="003B76E2">
      <w:pPr>
        <w:widowControl w:val="0"/>
        <w:autoSpaceDE w:val="0"/>
        <w:autoSpaceDN w:val="0"/>
        <w:adjustRightInd w:val="0"/>
        <w:jc w:val="both"/>
        <w:rPr>
          <w:b/>
          <w:bCs/>
          <w:lang w:val="en-US"/>
        </w:rPr>
      </w:pPr>
    </w:p>
    <w:p w14:paraId="124E61E5" w14:textId="04FE736E" w:rsidR="0016214B" w:rsidRPr="0016214B" w:rsidRDefault="0016214B" w:rsidP="003B76E2">
      <w:pPr>
        <w:widowControl w:val="0"/>
        <w:autoSpaceDE w:val="0"/>
        <w:autoSpaceDN w:val="0"/>
        <w:adjustRightInd w:val="0"/>
        <w:jc w:val="both"/>
        <w:rPr>
          <w:b/>
          <w:bCs/>
          <w:sz w:val="28"/>
          <w:szCs w:val="28"/>
          <w:lang w:val="en-US"/>
        </w:rPr>
      </w:pPr>
      <w:r>
        <w:rPr>
          <w:b/>
          <w:bCs/>
          <w:lang w:val="en-US"/>
        </w:rPr>
        <w:t>A</w:t>
      </w:r>
    </w:p>
    <w:p w14:paraId="796E9DF9" w14:textId="6C15C4AF" w:rsidR="008E3595" w:rsidRPr="00031A70" w:rsidRDefault="00C36392" w:rsidP="003B76E2">
      <w:pPr>
        <w:widowControl w:val="0"/>
        <w:autoSpaceDE w:val="0"/>
        <w:autoSpaceDN w:val="0"/>
        <w:adjustRightInd w:val="0"/>
        <w:ind w:left="480" w:hanging="480"/>
        <w:jc w:val="both"/>
        <w:rPr>
          <w:sz w:val="28"/>
          <w:szCs w:val="28"/>
          <w:lang w:val="en-US"/>
        </w:rPr>
      </w:pPr>
      <w:r>
        <w:rPr>
          <w:noProof/>
          <w:lang w:val="en-US"/>
        </w:rPr>
        <w:drawing>
          <wp:inline distT="0" distB="0" distL="0" distR="0" wp14:anchorId="62376F3C" wp14:editId="4B386732">
            <wp:extent cx="5731510" cy="3635269"/>
            <wp:effectExtent l="0" t="0" r="0" b="0"/>
            <wp:docPr id="7" name="Immagine 7" descr="Immagine che contiene notte, scuro, cielo notturn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notte, scuro, cielo notturno&#10;&#10;Descrizione generata automaticamente"/>
                    <pic:cNvPicPr/>
                  </pic:nvPicPr>
                  <pic:blipFill rotWithShape="1">
                    <a:blip r:embed="rId13" cstate="print">
                      <a:extLst>
                        <a:ext uri="{28A0092B-C50C-407E-A947-70E740481C1C}">
                          <a14:useLocalDpi xmlns:a14="http://schemas.microsoft.com/office/drawing/2010/main" val="0"/>
                        </a:ext>
                      </a:extLst>
                    </a:blip>
                    <a:srcRect t="47478"/>
                    <a:stretch/>
                  </pic:blipFill>
                  <pic:spPr bwMode="auto">
                    <a:xfrm>
                      <a:off x="0" y="0"/>
                      <a:ext cx="5731510" cy="3635269"/>
                    </a:xfrm>
                    <a:prstGeom prst="rect">
                      <a:avLst/>
                    </a:prstGeom>
                    <a:ln>
                      <a:noFill/>
                    </a:ln>
                    <a:extLst>
                      <a:ext uri="{53640926-AAD7-44D8-BBD7-CCE9431645EC}">
                        <a14:shadowObscured xmlns:a14="http://schemas.microsoft.com/office/drawing/2010/main"/>
                      </a:ext>
                    </a:extLst>
                  </pic:spPr>
                </pic:pic>
              </a:graphicData>
            </a:graphic>
          </wp:inline>
        </w:drawing>
      </w:r>
    </w:p>
    <w:p w14:paraId="23AF3F70" w14:textId="047A511C" w:rsidR="008E3595" w:rsidRDefault="008E3595" w:rsidP="003B76E2">
      <w:pPr>
        <w:jc w:val="both"/>
        <w:rPr>
          <w:lang w:val="en-US"/>
        </w:rPr>
      </w:pPr>
      <w:r w:rsidRPr="00396643">
        <w:rPr>
          <w:b/>
          <w:bCs/>
          <w:lang w:val="en-US"/>
        </w:rPr>
        <w:t>Fig. S</w:t>
      </w:r>
      <w:r w:rsidR="002F01D4">
        <w:rPr>
          <w:b/>
          <w:bCs/>
          <w:lang w:val="en-US"/>
        </w:rPr>
        <w:t>2</w:t>
      </w:r>
      <w:r w:rsidRPr="00396643">
        <w:rPr>
          <w:b/>
          <w:bCs/>
          <w:lang w:val="en-US"/>
        </w:rPr>
        <w:t>A.</w:t>
      </w:r>
      <w:r>
        <w:rPr>
          <w:b/>
          <w:bCs/>
          <w:lang w:val="en-US"/>
        </w:rPr>
        <w:t xml:space="preserve"> </w:t>
      </w:r>
      <w:r w:rsidR="0016214B">
        <w:rPr>
          <w:b/>
          <w:bCs/>
          <w:lang w:val="en-US"/>
        </w:rPr>
        <w:t>Fluorometric assay of bilirubin. (</w:t>
      </w:r>
      <w:r w:rsidR="00F81371">
        <w:rPr>
          <w:b/>
          <w:bCs/>
          <w:lang w:val="en-US"/>
        </w:rPr>
        <w:t>A</w:t>
      </w:r>
      <w:r w:rsidR="0016214B">
        <w:rPr>
          <w:b/>
          <w:bCs/>
          <w:lang w:val="en-US"/>
        </w:rPr>
        <w:t xml:space="preserve">) </w:t>
      </w:r>
      <w:r>
        <w:rPr>
          <w:b/>
          <w:bCs/>
          <w:lang w:val="en-US"/>
        </w:rPr>
        <w:t>Calibration of bilirubin-dependent HUG fluorescence</w:t>
      </w:r>
      <w:r w:rsidRPr="00AA7541">
        <w:rPr>
          <w:b/>
          <w:bCs/>
          <w:lang w:val="en-US"/>
        </w:rPr>
        <w:t xml:space="preserve"> </w:t>
      </w:r>
      <w:r>
        <w:rPr>
          <w:b/>
          <w:bCs/>
          <w:lang w:val="en-US"/>
        </w:rPr>
        <w:t xml:space="preserve">emission. </w:t>
      </w:r>
      <w:r w:rsidRPr="00872C39">
        <w:rPr>
          <w:lang w:val="en-US"/>
        </w:rPr>
        <w:t>HUG (</w:t>
      </w:r>
      <w:r w:rsidRPr="00D27171">
        <w:rPr>
          <w:lang w:val="en-US"/>
        </w:rPr>
        <w:t xml:space="preserve">0.4 mg/mL; 6.62 µM; 66.2 </w:t>
      </w:r>
      <w:proofErr w:type="spellStart"/>
      <w:r w:rsidRPr="00D27171">
        <w:rPr>
          <w:lang w:val="en-US"/>
        </w:rPr>
        <w:t>pmoles</w:t>
      </w:r>
      <w:proofErr w:type="spellEnd"/>
      <w:r w:rsidRPr="00D27171">
        <w:rPr>
          <w:lang w:val="en-US"/>
        </w:rPr>
        <w:t xml:space="preserve"> in 0.01 mL</w:t>
      </w:r>
      <w:r w:rsidRPr="00872C39">
        <w:rPr>
          <w:lang w:val="en-US"/>
        </w:rPr>
        <w:t>)</w:t>
      </w:r>
      <w:r w:rsidRPr="00E74724">
        <w:rPr>
          <w:lang w:val="en-US"/>
        </w:rPr>
        <w:t xml:space="preserve"> </w:t>
      </w:r>
      <w:r>
        <w:rPr>
          <w:lang w:val="en-US"/>
        </w:rPr>
        <w:t xml:space="preserve">was allowed </w:t>
      </w:r>
      <w:r w:rsidRPr="00E74724">
        <w:rPr>
          <w:lang w:val="en-US"/>
        </w:rPr>
        <w:t>to bind bilirubin</w:t>
      </w:r>
      <w:r w:rsidR="00D27171">
        <w:rPr>
          <w:lang w:val="en-US"/>
        </w:rPr>
        <w:t xml:space="preserve"> (BR) at different concentrations</w:t>
      </w:r>
      <w:r>
        <w:rPr>
          <w:lang w:val="en-US"/>
        </w:rPr>
        <w:t xml:space="preserve"> at 25°C for 1 h</w:t>
      </w:r>
      <w:r w:rsidRPr="00E74724">
        <w:rPr>
          <w:lang w:val="en-US"/>
        </w:rPr>
        <w:t xml:space="preserve">. Fluorescence </w:t>
      </w:r>
      <w:r w:rsidR="00D27171">
        <w:rPr>
          <w:lang w:val="en-US"/>
        </w:rPr>
        <w:t xml:space="preserve">intensity (F.I.) of each BR concentration </w:t>
      </w:r>
      <w:r w:rsidRPr="00E74724">
        <w:rPr>
          <w:lang w:val="en-US"/>
        </w:rPr>
        <w:t>was recorded</w:t>
      </w:r>
      <w:r w:rsidR="00D27171">
        <w:rPr>
          <w:lang w:val="en-US"/>
        </w:rPr>
        <w:t xml:space="preserve"> </w:t>
      </w:r>
      <w:r w:rsidRPr="00E74724">
        <w:rPr>
          <w:lang w:val="en-US"/>
        </w:rPr>
        <w:t xml:space="preserve">at </w:t>
      </w:r>
      <w:proofErr w:type="spellStart"/>
      <w:r w:rsidRPr="00E74724">
        <w:rPr>
          <w:lang w:val="en-US"/>
        </w:rPr>
        <w:t>λ</w:t>
      </w:r>
      <w:r w:rsidRPr="00E964F7">
        <w:rPr>
          <w:vertAlign w:val="subscript"/>
          <w:lang w:val="en-US"/>
        </w:rPr>
        <w:t>ex</w:t>
      </w:r>
      <w:proofErr w:type="spellEnd"/>
      <w:r w:rsidRPr="00E74724">
        <w:rPr>
          <w:lang w:val="en-US"/>
        </w:rPr>
        <w:t xml:space="preserve">= 485 nm and </w:t>
      </w:r>
      <w:proofErr w:type="spellStart"/>
      <w:r w:rsidRPr="00E74724">
        <w:rPr>
          <w:lang w:val="en-US"/>
        </w:rPr>
        <w:t>λ</w:t>
      </w:r>
      <w:r w:rsidRPr="00E964F7">
        <w:rPr>
          <w:vertAlign w:val="subscript"/>
          <w:lang w:val="en-US"/>
        </w:rPr>
        <w:t>em</w:t>
      </w:r>
      <w:proofErr w:type="spellEnd"/>
      <w:r w:rsidRPr="00E74724">
        <w:rPr>
          <w:lang w:val="en-US"/>
        </w:rPr>
        <w:t>=528 nm</w:t>
      </w:r>
      <w:r w:rsidR="00D27171" w:rsidRPr="00D27171">
        <w:rPr>
          <w:lang w:val="en-US"/>
        </w:rPr>
        <w:t xml:space="preserve"> </w:t>
      </w:r>
      <w:r w:rsidR="00D27171">
        <w:rPr>
          <w:lang w:val="en-US"/>
        </w:rPr>
        <w:t>in quadruplicate and averaged</w:t>
      </w:r>
      <w:r w:rsidRPr="00E74724">
        <w:rPr>
          <w:lang w:val="en-US"/>
        </w:rPr>
        <w:t>.</w:t>
      </w:r>
      <w:r>
        <w:rPr>
          <w:lang w:val="en-US"/>
        </w:rPr>
        <w:t xml:space="preserve"> </w:t>
      </w:r>
      <w:r w:rsidR="00D27171">
        <w:rPr>
          <w:lang w:val="en-US"/>
        </w:rPr>
        <w:t>The graph shows data</w:t>
      </w:r>
      <w:r>
        <w:rPr>
          <w:lang w:val="en-US"/>
        </w:rPr>
        <w:t xml:space="preserve"> </w:t>
      </w:r>
      <w:r w:rsidR="00D27171">
        <w:rPr>
          <w:lang w:val="en-US"/>
        </w:rPr>
        <w:t xml:space="preserve">(means </w:t>
      </w:r>
      <w:r w:rsidR="00D27171">
        <w:rPr>
          <w:rFonts w:ascii="Calibri" w:hAnsi="Calibri" w:cs="Calibri"/>
          <w:lang w:val="en-US"/>
        </w:rPr>
        <w:t>±</w:t>
      </w:r>
      <w:r w:rsidR="00D27171">
        <w:rPr>
          <w:lang w:val="en-US"/>
        </w:rPr>
        <w:t xml:space="preserve"> SD) of 40 independent calibration curves, </w:t>
      </w:r>
      <w:r>
        <w:rPr>
          <w:lang w:val="en-US"/>
        </w:rPr>
        <w:t>fit</w:t>
      </w:r>
      <w:r w:rsidR="00D27171">
        <w:rPr>
          <w:lang w:val="en-US"/>
        </w:rPr>
        <w:t>ted</w:t>
      </w:r>
      <w:r>
        <w:rPr>
          <w:lang w:val="en-US"/>
        </w:rPr>
        <w:t xml:space="preserve"> by linear regression analysis (y = </w:t>
      </w:r>
      <w:r w:rsidR="00031A70">
        <w:rPr>
          <w:lang w:val="en-US"/>
        </w:rPr>
        <w:t xml:space="preserve">504.93 </w:t>
      </w:r>
      <w:r>
        <w:rPr>
          <w:lang w:val="en-US"/>
        </w:rPr>
        <w:t>x - 1</w:t>
      </w:r>
      <w:r w:rsidR="00031A70">
        <w:rPr>
          <w:lang w:val="en-US"/>
        </w:rPr>
        <w:t>50</w:t>
      </w:r>
      <w:r>
        <w:rPr>
          <w:lang w:val="en-US"/>
        </w:rPr>
        <w:t>.</w:t>
      </w:r>
      <w:r w:rsidR="00031A70">
        <w:rPr>
          <w:lang w:val="en-US"/>
        </w:rPr>
        <w:t>48</w:t>
      </w:r>
      <w:r>
        <w:rPr>
          <w:lang w:val="en-US"/>
        </w:rPr>
        <w:t>; R</w:t>
      </w:r>
      <w:r w:rsidRPr="002058ED">
        <w:rPr>
          <w:vertAlign w:val="superscript"/>
          <w:lang w:val="en-US"/>
        </w:rPr>
        <w:t>2</w:t>
      </w:r>
      <w:r>
        <w:rPr>
          <w:vertAlign w:val="superscript"/>
          <w:lang w:val="en-US"/>
        </w:rPr>
        <w:t xml:space="preserve"> </w:t>
      </w:r>
      <w:r>
        <w:rPr>
          <w:lang w:val="en-US"/>
        </w:rPr>
        <w:t>= 0.998</w:t>
      </w:r>
      <w:r w:rsidR="00031A70">
        <w:rPr>
          <w:lang w:val="en-US"/>
        </w:rPr>
        <w:t>3</w:t>
      </w:r>
      <w:r>
        <w:rPr>
          <w:lang w:val="en-US"/>
        </w:rPr>
        <w:t xml:space="preserve">; </w:t>
      </w:r>
      <w:proofErr w:type="spellStart"/>
      <w:r>
        <w:rPr>
          <w:lang w:val="en-US"/>
        </w:rPr>
        <w:t>LoD</w:t>
      </w:r>
      <w:proofErr w:type="spellEnd"/>
      <w:r>
        <w:rPr>
          <w:lang w:val="en-US"/>
        </w:rPr>
        <w:t xml:space="preserve"> = 0.74 </w:t>
      </w:r>
      <w:proofErr w:type="spellStart"/>
      <w:r>
        <w:rPr>
          <w:lang w:val="en-US"/>
        </w:rPr>
        <w:t>nM</w:t>
      </w:r>
      <w:r w:rsidR="005A53E0">
        <w:rPr>
          <w:lang w:val="en-US"/>
        </w:rPr>
        <w:t>.</w:t>
      </w:r>
      <w:proofErr w:type="spellEnd"/>
      <w:r>
        <w:rPr>
          <w:lang w:val="en-US"/>
        </w:rPr>
        <w:t xml:space="preserve"> </w:t>
      </w:r>
      <w:proofErr w:type="spellStart"/>
      <w:r>
        <w:rPr>
          <w:lang w:val="en-US"/>
        </w:rPr>
        <w:t>LoQ</w:t>
      </w:r>
      <w:proofErr w:type="spellEnd"/>
      <w:r>
        <w:rPr>
          <w:lang w:val="en-US"/>
        </w:rPr>
        <w:t xml:space="preserve"> = 2.25 </w:t>
      </w:r>
      <w:proofErr w:type="spellStart"/>
      <w:r>
        <w:rPr>
          <w:lang w:val="en-US"/>
        </w:rPr>
        <w:t>nM</w:t>
      </w:r>
      <w:proofErr w:type="spellEnd"/>
      <w:r>
        <w:rPr>
          <w:lang w:val="en-US"/>
        </w:rPr>
        <w:t xml:space="preserve">). </w:t>
      </w:r>
      <w:r w:rsidR="0016214B" w:rsidRPr="0016214B">
        <w:rPr>
          <w:b/>
          <w:bCs/>
          <w:lang w:val="en-US"/>
        </w:rPr>
        <w:t>(</w:t>
      </w:r>
      <w:r w:rsidR="00F81371">
        <w:rPr>
          <w:b/>
          <w:bCs/>
          <w:lang w:val="en-US"/>
        </w:rPr>
        <w:t>B</w:t>
      </w:r>
      <w:r w:rsidR="0016214B">
        <w:rPr>
          <w:b/>
          <w:bCs/>
          <w:lang w:val="en-US"/>
        </w:rPr>
        <w:t>)</w:t>
      </w:r>
      <w:r w:rsidRPr="0016214B">
        <w:rPr>
          <w:b/>
          <w:bCs/>
          <w:lang w:val="en-US"/>
        </w:rPr>
        <w:t xml:space="preserve"> Interference tests</w:t>
      </w:r>
      <w:r>
        <w:rPr>
          <w:lang w:val="en-US"/>
        </w:rPr>
        <w:t xml:space="preserve">. </w:t>
      </w:r>
      <w:r w:rsidR="00781CA2">
        <w:rPr>
          <w:lang w:val="en-US"/>
        </w:rPr>
        <w:t>Calibration curves were performed either in the absence or</w:t>
      </w:r>
      <w:r>
        <w:rPr>
          <w:lang w:val="en-US"/>
        </w:rPr>
        <w:t xml:space="preserve"> in the presence of </w:t>
      </w:r>
      <w:r w:rsidR="00781CA2">
        <w:rPr>
          <w:lang w:val="en-US"/>
        </w:rPr>
        <w:t xml:space="preserve">inhibitors: </w:t>
      </w:r>
      <w:r w:rsidRPr="00F97DC3">
        <w:rPr>
          <w:lang w:val="en-US"/>
        </w:rPr>
        <w:t xml:space="preserve">0.1 mM </w:t>
      </w:r>
      <w:r w:rsidR="00781CA2">
        <w:rPr>
          <w:lang w:val="en-US"/>
        </w:rPr>
        <w:t>e</w:t>
      </w:r>
      <w:r w:rsidR="00781CA2" w:rsidRPr="002C73C9">
        <w:rPr>
          <w:lang w:val="en-US"/>
        </w:rPr>
        <w:t>stradiol</w:t>
      </w:r>
      <w:r w:rsidR="000A4751">
        <w:rPr>
          <w:lang w:val="en-US"/>
        </w:rPr>
        <w:t>-</w:t>
      </w:r>
      <w:r w:rsidR="00781CA2" w:rsidRPr="002C73C9">
        <w:rPr>
          <w:lang w:val="en-US"/>
        </w:rPr>
        <w:t>17</w:t>
      </w:r>
      <w:r w:rsidR="000A4751">
        <w:rPr>
          <w:lang w:val="en-US"/>
        </w:rPr>
        <w:t xml:space="preserve"> beta</w:t>
      </w:r>
      <w:r w:rsidR="00781CA2" w:rsidRPr="002C73C9">
        <w:rPr>
          <w:lang w:val="en-US"/>
        </w:rPr>
        <w:t>-glucuronide</w:t>
      </w:r>
      <w:r w:rsidR="00781CA2">
        <w:rPr>
          <w:lang w:val="en-US"/>
        </w:rPr>
        <w:t xml:space="preserve"> </w:t>
      </w:r>
      <w:r w:rsidR="000A4751">
        <w:rPr>
          <w:lang w:val="en-US"/>
        </w:rPr>
        <w:t>(</w:t>
      </w:r>
      <w:r w:rsidRPr="00F97DC3">
        <w:rPr>
          <w:lang w:val="en-US"/>
        </w:rPr>
        <w:t>E17G</w:t>
      </w:r>
      <w:r w:rsidR="000A4751">
        <w:rPr>
          <w:lang w:val="en-US"/>
        </w:rPr>
        <w:t>)</w:t>
      </w:r>
      <w:r w:rsidR="00781CA2">
        <w:rPr>
          <w:lang w:val="en-US"/>
        </w:rPr>
        <w:t xml:space="preserve">; 0.1 mM </w:t>
      </w:r>
      <w:r w:rsidRPr="00F97DC3">
        <w:rPr>
          <w:lang w:val="en-US"/>
        </w:rPr>
        <w:t>Indomethacin</w:t>
      </w:r>
      <w:r w:rsidR="00781CA2">
        <w:rPr>
          <w:lang w:val="en-US"/>
        </w:rPr>
        <w:t xml:space="preserve"> (INDO)</w:t>
      </w:r>
      <w:r w:rsidRPr="00F97DC3">
        <w:rPr>
          <w:lang w:val="en-US"/>
        </w:rPr>
        <w:t xml:space="preserve"> or Ketoprofen</w:t>
      </w:r>
      <w:r w:rsidR="00781CA2">
        <w:rPr>
          <w:lang w:val="en-US"/>
        </w:rPr>
        <w:t xml:space="preserve"> (KETO);</w:t>
      </w:r>
      <w:r w:rsidRPr="00F97DC3">
        <w:rPr>
          <w:lang w:val="en-US"/>
        </w:rPr>
        <w:t xml:space="preserve"> 0.2 mM </w:t>
      </w:r>
      <w:r w:rsidR="00781CA2">
        <w:rPr>
          <w:lang w:val="en-US"/>
        </w:rPr>
        <w:t>cyanidin 3-glucoside (</w:t>
      </w:r>
      <w:r w:rsidRPr="00F97DC3">
        <w:rPr>
          <w:lang w:val="en-US"/>
        </w:rPr>
        <w:t>C3G</w:t>
      </w:r>
      <w:r w:rsidR="00781CA2">
        <w:rPr>
          <w:lang w:val="en-US"/>
        </w:rPr>
        <w:t>)</w:t>
      </w:r>
      <w:r w:rsidR="00F6064F">
        <w:rPr>
          <w:lang w:val="en-US"/>
        </w:rPr>
        <w:t xml:space="preserve"> or </w:t>
      </w:r>
      <w:r w:rsidR="00781CA2">
        <w:rPr>
          <w:lang w:val="en-US"/>
        </w:rPr>
        <w:t>taurocholate (</w:t>
      </w:r>
      <w:r w:rsidR="00F6064F">
        <w:rPr>
          <w:lang w:val="en-US"/>
        </w:rPr>
        <w:t>TC</w:t>
      </w:r>
      <w:r w:rsidR="00781CA2">
        <w:rPr>
          <w:lang w:val="en-US"/>
        </w:rPr>
        <w:t xml:space="preserve">); </w:t>
      </w:r>
      <w:r w:rsidRPr="00F97DC3">
        <w:rPr>
          <w:lang w:val="en-US"/>
        </w:rPr>
        <w:t>0.6 mM Pravastatin</w:t>
      </w:r>
      <w:r w:rsidR="00781CA2">
        <w:rPr>
          <w:lang w:val="en-US"/>
        </w:rPr>
        <w:t xml:space="preserve"> (PRV)</w:t>
      </w:r>
      <w:r>
        <w:rPr>
          <w:lang w:val="en-US"/>
        </w:rPr>
        <w:t xml:space="preserve">. </w:t>
      </w:r>
      <w:r w:rsidRPr="00F97DC3">
        <w:rPr>
          <w:lang w:val="en-US"/>
        </w:rPr>
        <w:t xml:space="preserve"> </w:t>
      </w:r>
      <w:r w:rsidR="00F81371">
        <w:rPr>
          <w:b/>
          <w:bCs/>
          <w:lang w:val="en-US"/>
        </w:rPr>
        <w:t xml:space="preserve">(C-D) </w:t>
      </w:r>
      <w:r w:rsidRPr="0016214B">
        <w:rPr>
          <w:b/>
          <w:bCs/>
          <w:lang w:val="en-US"/>
        </w:rPr>
        <w:t xml:space="preserve">Box plot </w:t>
      </w:r>
      <w:r w:rsidR="0016214B" w:rsidRPr="0016214B">
        <w:rPr>
          <w:b/>
          <w:bCs/>
          <w:lang w:val="en-US"/>
        </w:rPr>
        <w:t>analysis</w:t>
      </w:r>
      <w:r w:rsidR="0016214B">
        <w:rPr>
          <w:lang w:val="en-US"/>
        </w:rPr>
        <w:t xml:space="preserve"> </w:t>
      </w:r>
      <w:r>
        <w:rPr>
          <w:lang w:val="en-US"/>
        </w:rPr>
        <w:t>of regression coefficients (m) and y-intercepts (q) obtained with BR standard solutions (</w:t>
      </w:r>
      <w:proofErr w:type="spellStart"/>
      <w:r>
        <w:rPr>
          <w:lang w:val="en-US"/>
        </w:rPr>
        <w:t>m</w:t>
      </w:r>
      <w:r w:rsidRPr="0030170A">
        <w:rPr>
          <w:vertAlign w:val="subscript"/>
          <w:lang w:val="en-US"/>
        </w:rPr>
        <w:t>BR</w:t>
      </w:r>
      <w:proofErr w:type="spellEnd"/>
      <w:r w:rsidR="000E667F">
        <w:rPr>
          <w:lang w:val="en-US"/>
        </w:rPr>
        <w:t>,</w:t>
      </w:r>
      <w:r>
        <w:rPr>
          <w:lang w:val="en-US"/>
        </w:rPr>
        <w:t xml:space="preserve"> </w:t>
      </w:r>
      <w:proofErr w:type="spellStart"/>
      <w:r>
        <w:rPr>
          <w:lang w:val="en-US"/>
        </w:rPr>
        <w:t>q</w:t>
      </w:r>
      <w:r w:rsidRPr="0030170A">
        <w:rPr>
          <w:vertAlign w:val="subscript"/>
          <w:lang w:val="en-US"/>
        </w:rPr>
        <w:t>BR</w:t>
      </w:r>
      <w:proofErr w:type="spellEnd"/>
      <w:r>
        <w:rPr>
          <w:lang w:val="en-US"/>
        </w:rPr>
        <w:t xml:space="preserve">) and BR standard solutions supplemented with </w:t>
      </w:r>
      <w:r w:rsidR="000E667F">
        <w:rPr>
          <w:lang w:val="en-US"/>
        </w:rPr>
        <w:t>the inhibitors</w:t>
      </w:r>
      <w:r>
        <w:rPr>
          <w:lang w:val="en-US"/>
        </w:rPr>
        <w:t xml:space="preserve"> (</w:t>
      </w:r>
      <w:proofErr w:type="spellStart"/>
      <w:r>
        <w:rPr>
          <w:lang w:val="en-US"/>
        </w:rPr>
        <w:t>m</w:t>
      </w:r>
      <w:r w:rsidR="000E667F" w:rsidRPr="000E667F">
        <w:rPr>
          <w:vertAlign w:val="subscript"/>
          <w:lang w:val="en-US"/>
        </w:rPr>
        <w:t>BR</w:t>
      </w:r>
      <w:r w:rsidR="000E667F">
        <w:rPr>
          <w:vertAlign w:val="subscript"/>
          <w:lang w:val="en-US"/>
        </w:rPr>
        <w:t>+</w:t>
      </w:r>
      <w:r w:rsidRPr="0030170A">
        <w:rPr>
          <w:vertAlign w:val="subscript"/>
          <w:lang w:val="en-US"/>
        </w:rPr>
        <w:t>I</w:t>
      </w:r>
      <w:proofErr w:type="spellEnd"/>
      <w:r w:rsidR="000E667F">
        <w:rPr>
          <w:lang w:val="en-US"/>
        </w:rPr>
        <w:t>,</w:t>
      </w:r>
      <w:r>
        <w:rPr>
          <w:lang w:val="en-US"/>
        </w:rPr>
        <w:t xml:space="preserve"> </w:t>
      </w:r>
      <w:proofErr w:type="spellStart"/>
      <w:r>
        <w:rPr>
          <w:lang w:val="en-US"/>
        </w:rPr>
        <w:t>q</w:t>
      </w:r>
      <w:r w:rsidR="000E667F" w:rsidRPr="000E667F">
        <w:rPr>
          <w:vertAlign w:val="subscript"/>
          <w:lang w:val="en-US"/>
        </w:rPr>
        <w:t>BR+</w:t>
      </w:r>
      <w:r>
        <w:rPr>
          <w:vertAlign w:val="subscript"/>
          <w:lang w:val="en-US"/>
        </w:rPr>
        <w:t>I</w:t>
      </w:r>
      <w:proofErr w:type="spellEnd"/>
      <w:r>
        <w:rPr>
          <w:lang w:val="en-US"/>
        </w:rPr>
        <w:t>). Means and SD</w:t>
      </w:r>
      <w:r w:rsidR="000E667F">
        <w:rPr>
          <w:lang w:val="en-US"/>
        </w:rPr>
        <w:t xml:space="preserve"> are</w:t>
      </w:r>
      <w:r>
        <w:rPr>
          <w:lang w:val="en-US"/>
        </w:rPr>
        <w:t xml:space="preserve">: </w:t>
      </w:r>
      <w:proofErr w:type="spellStart"/>
      <w:r>
        <w:rPr>
          <w:lang w:val="en-US"/>
        </w:rPr>
        <w:t>m</w:t>
      </w:r>
      <w:r w:rsidRPr="0030170A">
        <w:rPr>
          <w:vertAlign w:val="subscript"/>
          <w:lang w:val="en-US"/>
        </w:rPr>
        <w:t>BR</w:t>
      </w:r>
      <w:proofErr w:type="spellEnd"/>
      <w:r>
        <w:rPr>
          <w:lang w:val="en-US"/>
        </w:rPr>
        <w:t xml:space="preserve"> = 4</w:t>
      </w:r>
      <w:r w:rsidR="00031A70">
        <w:rPr>
          <w:lang w:val="en-US"/>
        </w:rPr>
        <w:t>92.6</w:t>
      </w:r>
      <w:r>
        <w:rPr>
          <w:lang w:val="en-US"/>
        </w:rPr>
        <w:t xml:space="preserve"> </w:t>
      </w:r>
      <w:r>
        <w:rPr>
          <w:rFonts w:ascii="Calibri" w:hAnsi="Calibri" w:cs="Calibri"/>
          <w:lang w:val="en-US"/>
        </w:rPr>
        <w:t>±</w:t>
      </w:r>
      <w:r>
        <w:rPr>
          <w:lang w:val="en-US"/>
        </w:rPr>
        <w:t xml:space="preserve"> </w:t>
      </w:r>
      <w:r w:rsidR="00031A70">
        <w:rPr>
          <w:lang w:val="en-US"/>
        </w:rPr>
        <w:t>40.88</w:t>
      </w:r>
      <w:r>
        <w:rPr>
          <w:lang w:val="en-US"/>
        </w:rPr>
        <w:t xml:space="preserve"> nM</w:t>
      </w:r>
      <w:r w:rsidRPr="0030170A">
        <w:rPr>
          <w:vertAlign w:val="superscript"/>
          <w:lang w:val="en-US"/>
        </w:rPr>
        <w:t>-1</w:t>
      </w:r>
      <w:r>
        <w:rPr>
          <w:lang w:val="en-US"/>
        </w:rPr>
        <w:t xml:space="preserve">; </w:t>
      </w:r>
      <w:proofErr w:type="spellStart"/>
      <w:r>
        <w:rPr>
          <w:lang w:val="en-US"/>
        </w:rPr>
        <w:t>q</w:t>
      </w:r>
      <w:r w:rsidRPr="0030170A">
        <w:rPr>
          <w:vertAlign w:val="subscript"/>
          <w:lang w:val="en-US"/>
        </w:rPr>
        <w:t>BR</w:t>
      </w:r>
      <w:proofErr w:type="spellEnd"/>
      <w:r>
        <w:rPr>
          <w:lang w:val="en-US"/>
        </w:rPr>
        <w:t xml:space="preserve"> = 1</w:t>
      </w:r>
      <w:r w:rsidR="00031A70">
        <w:rPr>
          <w:lang w:val="en-US"/>
        </w:rPr>
        <w:t>51</w:t>
      </w:r>
      <w:r>
        <w:rPr>
          <w:lang w:val="en-US"/>
        </w:rPr>
        <w:t>.</w:t>
      </w:r>
      <w:r w:rsidR="00031A70">
        <w:rPr>
          <w:lang w:val="en-US"/>
        </w:rPr>
        <w:t>2</w:t>
      </w:r>
      <w:r>
        <w:rPr>
          <w:lang w:val="en-US"/>
        </w:rPr>
        <w:t xml:space="preserve"> </w:t>
      </w:r>
      <w:r>
        <w:rPr>
          <w:rFonts w:ascii="Calibri" w:hAnsi="Calibri" w:cs="Calibri"/>
          <w:lang w:val="en-US"/>
        </w:rPr>
        <w:t>±</w:t>
      </w:r>
      <w:r>
        <w:rPr>
          <w:lang w:val="en-US"/>
        </w:rPr>
        <w:t xml:space="preserve"> </w:t>
      </w:r>
      <w:r w:rsidR="00031A70">
        <w:rPr>
          <w:lang w:val="en-US"/>
        </w:rPr>
        <w:t>697.8</w:t>
      </w:r>
      <w:r>
        <w:rPr>
          <w:lang w:val="en-US"/>
        </w:rPr>
        <w:t xml:space="preserve"> F.I. units</w:t>
      </w:r>
      <w:r w:rsidR="008506BB">
        <w:rPr>
          <w:lang w:val="en-US"/>
        </w:rPr>
        <w:t xml:space="preserve"> (</w:t>
      </w:r>
      <w:r w:rsidR="008506BB" w:rsidRPr="009A0797">
        <w:rPr>
          <w:lang w:val="en-US"/>
        </w:rPr>
        <w:t>n = 4</w:t>
      </w:r>
      <w:r w:rsidR="00F93569" w:rsidRPr="009A0797">
        <w:rPr>
          <w:lang w:val="en-US"/>
        </w:rPr>
        <w:t>0</w:t>
      </w:r>
      <w:r w:rsidR="008506BB">
        <w:rPr>
          <w:lang w:val="en-US"/>
        </w:rPr>
        <w:t>)</w:t>
      </w:r>
      <w:r>
        <w:rPr>
          <w:lang w:val="en-US"/>
        </w:rPr>
        <w:t xml:space="preserve">; </w:t>
      </w:r>
      <w:proofErr w:type="spellStart"/>
      <w:r w:rsidR="000E667F">
        <w:rPr>
          <w:lang w:val="en-US"/>
        </w:rPr>
        <w:t>m</w:t>
      </w:r>
      <w:r w:rsidR="000E667F" w:rsidRPr="000E667F">
        <w:rPr>
          <w:vertAlign w:val="subscript"/>
          <w:lang w:val="en-US"/>
        </w:rPr>
        <w:t>BR</w:t>
      </w:r>
      <w:r w:rsidR="000E667F">
        <w:rPr>
          <w:vertAlign w:val="subscript"/>
          <w:lang w:val="en-US"/>
        </w:rPr>
        <w:t>+</w:t>
      </w:r>
      <w:r w:rsidR="000E667F" w:rsidRPr="0030170A">
        <w:rPr>
          <w:vertAlign w:val="subscript"/>
          <w:lang w:val="en-US"/>
        </w:rPr>
        <w:t>I</w:t>
      </w:r>
      <w:proofErr w:type="spellEnd"/>
      <w:r>
        <w:rPr>
          <w:lang w:val="en-US"/>
        </w:rPr>
        <w:t xml:space="preserve"> = </w:t>
      </w:r>
      <w:r w:rsidRPr="0030170A">
        <w:rPr>
          <w:lang w:val="en-US"/>
        </w:rPr>
        <w:t>498</w:t>
      </w:r>
      <w:r>
        <w:rPr>
          <w:lang w:val="en-US"/>
        </w:rPr>
        <w:t>.</w:t>
      </w:r>
      <w:r w:rsidRPr="0030170A">
        <w:rPr>
          <w:lang w:val="en-US"/>
        </w:rPr>
        <w:t>4</w:t>
      </w:r>
      <w:r>
        <w:rPr>
          <w:lang w:val="en-US"/>
        </w:rPr>
        <w:t xml:space="preserve"> </w:t>
      </w:r>
      <w:r>
        <w:rPr>
          <w:rFonts w:ascii="Calibri" w:hAnsi="Calibri" w:cs="Calibri"/>
          <w:lang w:val="en-US"/>
        </w:rPr>
        <w:t xml:space="preserve">± </w:t>
      </w:r>
      <w:r w:rsidRPr="0030170A">
        <w:rPr>
          <w:lang w:val="en-US"/>
        </w:rPr>
        <w:t>25</w:t>
      </w:r>
      <w:r>
        <w:rPr>
          <w:lang w:val="en-US"/>
        </w:rPr>
        <w:t>.29 nM</w:t>
      </w:r>
      <w:r w:rsidRPr="0030170A">
        <w:rPr>
          <w:vertAlign w:val="superscript"/>
          <w:lang w:val="en-US"/>
        </w:rPr>
        <w:t>-1</w:t>
      </w:r>
      <w:r>
        <w:rPr>
          <w:lang w:val="en-US"/>
        </w:rPr>
        <w:t xml:space="preserve">; </w:t>
      </w:r>
      <w:proofErr w:type="spellStart"/>
      <w:r w:rsidR="000E667F">
        <w:rPr>
          <w:lang w:val="en-US"/>
        </w:rPr>
        <w:t>q</w:t>
      </w:r>
      <w:r w:rsidR="000E667F" w:rsidRPr="000E667F">
        <w:rPr>
          <w:vertAlign w:val="subscript"/>
          <w:lang w:val="en-US"/>
        </w:rPr>
        <w:t>BR+</w:t>
      </w:r>
      <w:r w:rsidR="000E667F">
        <w:rPr>
          <w:vertAlign w:val="subscript"/>
          <w:lang w:val="en-US"/>
        </w:rPr>
        <w:t>I</w:t>
      </w:r>
      <w:proofErr w:type="spellEnd"/>
      <w:r>
        <w:rPr>
          <w:lang w:val="en-US"/>
        </w:rPr>
        <w:t xml:space="preserve"> = -54.17 </w:t>
      </w:r>
      <w:r>
        <w:rPr>
          <w:rFonts w:ascii="Calibri" w:hAnsi="Calibri" w:cs="Calibri"/>
          <w:lang w:val="en-US"/>
        </w:rPr>
        <w:t>±</w:t>
      </w:r>
      <w:r>
        <w:rPr>
          <w:lang w:val="en-US"/>
        </w:rPr>
        <w:t xml:space="preserve"> 238 F.I. units (</w:t>
      </w:r>
      <w:r w:rsidRPr="009A0797">
        <w:rPr>
          <w:lang w:val="en-US"/>
        </w:rPr>
        <w:t xml:space="preserve">n = </w:t>
      </w:r>
      <w:r w:rsidR="00F93569" w:rsidRPr="009A0797">
        <w:rPr>
          <w:lang w:val="en-US"/>
        </w:rPr>
        <w:t>6</w:t>
      </w:r>
      <w:r>
        <w:rPr>
          <w:lang w:val="en-US"/>
        </w:rPr>
        <w:t xml:space="preserve">). </w:t>
      </w:r>
      <w:r w:rsidR="0016214B" w:rsidRPr="0016214B">
        <w:rPr>
          <w:b/>
          <w:bCs/>
          <w:lang w:val="en-US"/>
        </w:rPr>
        <w:t>(</w:t>
      </w:r>
      <w:r w:rsidR="00F81371">
        <w:rPr>
          <w:b/>
          <w:bCs/>
          <w:lang w:val="en-US"/>
        </w:rPr>
        <w:t>E</w:t>
      </w:r>
      <w:r w:rsidR="0016214B" w:rsidRPr="0016214B">
        <w:rPr>
          <w:b/>
          <w:bCs/>
          <w:lang w:val="en-US"/>
        </w:rPr>
        <w:t>)</w:t>
      </w:r>
      <w:r w:rsidRPr="0016214B">
        <w:rPr>
          <w:b/>
          <w:bCs/>
          <w:lang w:val="en-US"/>
        </w:rPr>
        <w:t xml:space="preserve"> </w:t>
      </w:r>
      <w:r w:rsidR="008506BB" w:rsidRPr="0016214B">
        <w:rPr>
          <w:b/>
          <w:bCs/>
          <w:lang w:val="en-US"/>
        </w:rPr>
        <w:t>Comparison test</w:t>
      </w:r>
      <w:r>
        <w:rPr>
          <w:lang w:val="en-US"/>
        </w:rPr>
        <w:t xml:space="preserve">. </w:t>
      </w:r>
      <w:r w:rsidR="008506BB">
        <w:rPr>
          <w:lang w:val="en-US"/>
        </w:rPr>
        <w:t>Calibration curves were performed</w:t>
      </w:r>
      <w:r>
        <w:rPr>
          <w:lang w:val="en-US"/>
        </w:rPr>
        <w:t xml:space="preserve"> in </w:t>
      </w:r>
      <w:r w:rsidR="008506BB">
        <w:rPr>
          <w:lang w:val="en-US"/>
        </w:rPr>
        <w:t xml:space="preserve">either </w:t>
      </w:r>
      <w:r>
        <w:rPr>
          <w:lang w:val="en-US"/>
        </w:rPr>
        <w:t xml:space="preserve">PBS buffer (black) </w:t>
      </w:r>
      <w:r w:rsidR="008506BB">
        <w:rPr>
          <w:lang w:val="en-US"/>
        </w:rPr>
        <w:t>or</w:t>
      </w:r>
      <w:r>
        <w:rPr>
          <w:lang w:val="en-US"/>
        </w:rPr>
        <w:t xml:space="preserve"> perfusion buffer </w:t>
      </w:r>
      <w:r w:rsidR="008506BB">
        <w:rPr>
          <w:lang w:val="en-US"/>
        </w:rPr>
        <w:t xml:space="preserve">(PBS with 2.5 mM glucose, </w:t>
      </w:r>
      <w:r w:rsidR="008506BB" w:rsidRPr="0065056E">
        <w:rPr>
          <w:lang w:val="en-GB"/>
        </w:rPr>
        <w:t>2 mM pyruvate, and 0.2 mM lactate</w:t>
      </w:r>
      <w:r w:rsidR="008506BB">
        <w:rPr>
          <w:lang w:val="en-GB"/>
        </w:rPr>
        <w:t>)</w:t>
      </w:r>
      <w:r w:rsidR="008506BB">
        <w:rPr>
          <w:lang w:val="en-US"/>
        </w:rPr>
        <w:t xml:space="preserve"> </w:t>
      </w:r>
      <w:r>
        <w:rPr>
          <w:lang w:val="en-US"/>
        </w:rPr>
        <w:t>(red).</w:t>
      </w:r>
      <w:r w:rsidR="008506BB">
        <w:rPr>
          <w:lang w:val="en-US"/>
        </w:rPr>
        <w:t xml:space="preserve"> </w:t>
      </w:r>
    </w:p>
    <w:p w14:paraId="15216769" w14:textId="77777777" w:rsidR="008E3595" w:rsidRDefault="008E3595" w:rsidP="003B76E2">
      <w:pPr>
        <w:jc w:val="both"/>
        <w:rPr>
          <w:lang w:val="en-US"/>
        </w:rPr>
      </w:pPr>
    </w:p>
    <w:p w14:paraId="3D1F753F" w14:textId="77777777" w:rsidR="00E5010F" w:rsidRDefault="00E5010F" w:rsidP="003B76E2">
      <w:pPr>
        <w:jc w:val="both"/>
        <w:rPr>
          <w:lang w:val="en-US"/>
        </w:rPr>
      </w:pPr>
    </w:p>
    <w:p w14:paraId="7749B47A" w14:textId="77777777" w:rsidR="00E5010F" w:rsidRDefault="00E5010F" w:rsidP="003B76E2">
      <w:pPr>
        <w:jc w:val="both"/>
        <w:rPr>
          <w:b/>
          <w:bCs/>
          <w:lang w:val="en-US"/>
        </w:rPr>
      </w:pPr>
    </w:p>
    <w:p w14:paraId="3AA64E7A" w14:textId="77777777" w:rsidR="00E5010F" w:rsidRDefault="00E5010F" w:rsidP="003B76E2">
      <w:pPr>
        <w:jc w:val="both"/>
        <w:rPr>
          <w:b/>
          <w:bCs/>
          <w:lang w:val="en-US"/>
        </w:rPr>
      </w:pPr>
    </w:p>
    <w:p w14:paraId="508B9956" w14:textId="77777777" w:rsidR="00E5010F" w:rsidRDefault="00E5010F" w:rsidP="003B76E2">
      <w:pPr>
        <w:jc w:val="both"/>
        <w:rPr>
          <w:b/>
          <w:bCs/>
          <w:lang w:val="en-US"/>
        </w:rPr>
      </w:pPr>
    </w:p>
    <w:p w14:paraId="1E3499EC" w14:textId="77777777" w:rsidR="00E5010F" w:rsidRDefault="00E5010F" w:rsidP="003B76E2">
      <w:pPr>
        <w:jc w:val="both"/>
        <w:rPr>
          <w:b/>
          <w:bCs/>
          <w:lang w:val="en-US"/>
        </w:rPr>
      </w:pPr>
    </w:p>
    <w:p w14:paraId="20B241DE" w14:textId="77777777" w:rsidR="00E5010F" w:rsidRDefault="00E5010F" w:rsidP="003B76E2">
      <w:pPr>
        <w:jc w:val="both"/>
        <w:rPr>
          <w:b/>
          <w:bCs/>
          <w:lang w:val="en-US"/>
        </w:rPr>
      </w:pPr>
    </w:p>
    <w:p w14:paraId="004704E9" w14:textId="77777777" w:rsidR="00E5010F" w:rsidRDefault="00E5010F" w:rsidP="003B76E2">
      <w:pPr>
        <w:jc w:val="both"/>
        <w:rPr>
          <w:b/>
          <w:bCs/>
          <w:lang w:val="en-US"/>
        </w:rPr>
      </w:pPr>
    </w:p>
    <w:p w14:paraId="0D26CADA" w14:textId="77777777" w:rsidR="00E5010F" w:rsidRDefault="00E5010F" w:rsidP="003B76E2">
      <w:pPr>
        <w:jc w:val="both"/>
        <w:rPr>
          <w:b/>
          <w:bCs/>
          <w:lang w:val="en-US"/>
        </w:rPr>
      </w:pPr>
    </w:p>
    <w:p w14:paraId="7AF0EF97" w14:textId="77777777" w:rsidR="00E5010F" w:rsidRDefault="00E5010F" w:rsidP="003B76E2">
      <w:pPr>
        <w:jc w:val="both"/>
        <w:rPr>
          <w:b/>
          <w:bCs/>
          <w:lang w:val="en-US"/>
        </w:rPr>
      </w:pPr>
    </w:p>
    <w:p w14:paraId="07782110" w14:textId="5D729256" w:rsidR="006D20D0" w:rsidRPr="0016214B" w:rsidRDefault="006D20D0" w:rsidP="003B76E2">
      <w:pPr>
        <w:widowControl w:val="0"/>
        <w:autoSpaceDE w:val="0"/>
        <w:autoSpaceDN w:val="0"/>
        <w:adjustRightInd w:val="0"/>
        <w:jc w:val="both"/>
        <w:rPr>
          <w:b/>
          <w:bCs/>
          <w:sz w:val="28"/>
          <w:szCs w:val="28"/>
          <w:lang w:val="en-US"/>
        </w:rPr>
      </w:pPr>
      <w:r>
        <w:rPr>
          <w:b/>
          <w:bCs/>
          <w:lang w:val="en-US"/>
        </w:rPr>
        <w:lastRenderedPageBreak/>
        <w:t>B</w:t>
      </w:r>
    </w:p>
    <w:p w14:paraId="2298F7BE" w14:textId="7918C4CC" w:rsidR="00E5010F" w:rsidRPr="00E5010F" w:rsidRDefault="00E5010F" w:rsidP="003B76E2">
      <w:pPr>
        <w:jc w:val="both"/>
        <w:rPr>
          <w:lang w:val="en-US"/>
        </w:rPr>
      </w:pPr>
      <w:r>
        <w:rPr>
          <w:b/>
          <w:bCs/>
          <w:lang w:val="en-US"/>
        </w:rPr>
        <w:t>a</w:t>
      </w:r>
      <w:r>
        <w:rPr>
          <w:lang w:val="en-US"/>
        </w:rPr>
        <w:tab/>
      </w:r>
      <w:r>
        <w:rPr>
          <w:lang w:val="en-US"/>
        </w:rPr>
        <w:tab/>
      </w:r>
      <w:r>
        <w:rPr>
          <w:lang w:val="en-US"/>
        </w:rPr>
        <w:tab/>
      </w:r>
      <w:r>
        <w:rPr>
          <w:lang w:val="en-US"/>
        </w:rPr>
        <w:tab/>
      </w:r>
      <w:r>
        <w:rPr>
          <w:lang w:val="en-US"/>
        </w:rPr>
        <w:tab/>
      </w:r>
      <w:r>
        <w:rPr>
          <w:lang w:val="en-US"/>
        </w:rPr>
        <w:tab/>
      </w:r>
      <w:r w:rsidRPr="00E5010F">
        <w:rPr>
          <w:b/>
          <w:bCs/>
          <w:lang w:val="en-US"/>
        </w:rPr>
        <w:t>b</w:t>
      </w:r>
    </w:p>
    <w:p w14:paraId="0484D504" w14:textId="2B8006AC" w:rsidR="00E5010F" w:rsidRDefault="00E5010F" w:rsidP="003B76E2">
      <w:pPr>
        <w:jc w:val="both"/>
        <w:rPr>
          <w:b/>
          <w:bCs/>
          <w:lang w:val="en-US"/>
        </w:rPr>
      </w:pPr>
      <w:r w:rsidRPr="00B01F2F">
        <w:rPr>
          <w:noProof/>
          <w:lang w:val="en-US"/>
        </w:rPr>
        <w:drawing>
          <wp:inline distT="0" distB="0" distL="0" distR="0" wp14:anchorId="6E02CC99" wp14:editId="7C6FEB36">
            <wp:extent cx="2203768" cy="1988288"/>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216594" cy="1999860"/>
                    </a:xfrm>
                    <a:prstGeom prst="rect">
                      <a:avLst/>
                    </a:prstGeom>
                  </pic:spPr>
                </pic:pic>
              </a:graphicData>
            </a:graphic>
          </wp:inline>
        </w:drawing>
      </w:r>
      <w:r>
        <w:rPr>
          <w:noProof/>
          <w:lang w:val="en-US"/>
        </w:rPr>
        <w:drawing>
          <wp:inline distT="0" distB="0" distL="0" distR="0" wp14:anchorId="698CB119" wp14:editId="55730A43">
            <wp:extent cx="3360551" cy="1871109"/>
            <wp:effectExtent l="0" t="0" r="0" b="0"/>
            <wp:docPr id="1" name="Immagine 1" descr="Immagine che contiene interni, verde, laser&#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interni, verde, laser&#10;&#10;Descrizione generata automaticament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31369" cy="1910539"/>
                    </a:xfrm>
                    <a:prstGeom prst="rect">
                      <a:avLst/>
                    </a:prstGeom>
                  </pic:spPr>
                </pic:pic>
              </a:graphicData>
            </a:graphic>
          </wp:inline>
        </w:drawing>
      </w:r>
    </w:p>
    <w:p w14:paraId="65BA2629" w14:textId="77777777" w:rsidR="00E5010F" w:rsidRDefault="00E5010F" w:rsidP="003B76E2">
      <w:pPr>
        <w:jc w:val="both"/>
        <w:rPr>
          <w:b/>
          <w:bCs/>
          <w:lang w:val="en-US"/>
        </w:rPr>
      </w:pPr>
    </w:p>
    <w:p w14:paraId="407CC77F" w14:textId="7800A040" w:rsidR="00BC74D9" w:rsidRPr="00BF16BE" w:rsidRDefault="008E3595" w:rsidP="003B76E2">
      <w:pPr>
        <w:jc w:val="both"/>
        <w:rPr>
          <w:lang w:val="en-US"/>
        </w:rPr>
      </w:pPr>
      <w:r w:rsidRPr="001F3F72">
        <w:rPr>
          <w:b/>
          <w:bCs/>
          <w:lang w:val="en-US"/>
        </w:rPr>
        <w:t>Fig. S</w:t>
      </w:r>
      <w:r w:rsidR="002F01D4">
        <w:rPr>
          <w:b/>
          <w:bCs/>
          <w:lang w:val="en-US"/>
        </w:rPr>
        <w:t>2</w:t>
      </w:r>
      <w:r w:rsidRPr="001F3F72">
        <w:rPr>
          <w:b/>
          <w:bCs/>
          <w:lang w:val="en-US"/>
        </w:rPr>
        <w:t>B.</w:t>
      </w:r>
      <w:r>
        <w:rPr>
          <w:b/>
          <w:bCs/>
          <w:lang w:val="en-US"/>
        </w:rPr>
        <w:t xml:space="preserve">  </w:t>
      </w:r>
      <w:r w:rsidR="00E5010F">
        <w:rPr>
          <w:b/>
          <w:bCs/>
          <w:lang w:val="en-US"/>
        </w:rPr>
        <w:t>Fluorometric assay of bilirubin glucuronide. (</w:t>
      </w:r>
      <w:r w:rsidR="007D0547">
        <w:rPr>
          <w:b/>
          <w:bCs/>
          <w:lang w:val="en-US"/>
        </w:rPr>
        <w:t>A</w:t>
      </w:r>
      <w:r w:rsidR="00E5010F">
        <w:rPr>
          <w:b/>
          <w:bCs/>
          <w:lang w:val="en-US"/>
        </w:rPr>
        <w:t xml:space="preserve">) </w:t>
      </w:r>
      <w:r w:rsidRPr="00E5010F">
        <w:rPr>
          <w:b/>
          <w:bCs/>
          <w:lang w:val="en-US"/>
        </w:rPr>
        <w:t>Time course of bilirubin glucuronide hydrolysis</w:t>
      </w:r>
      <w:r>
        <w:rPr>
          <w:b/>
          <w:bCs/>
          <w:lang w:val="en-US"/>
        </w:rPr>
        <w:t xml:space="preserve">. </w:t>
      </w:r>
      <w:r>
        <w:rPr>
          <w:lang w:val="en-US"/>
        </w:rPr>
        <w:sym w:font="Symbol" w:char="F062"/>
      </w:r>
      <w:r>
        <w:rPr>
          <w:lang w:val="en-US"/>
        </w:rPr>
        <w:t xml:space="preserve">-glucuronidase-induced </w:t>
      </w:r>
      <w:r w:rsidRPr="00DC6308">
        <w:rPr>
          <w:lang w:val="en-US"/>
        </w:rPr>
        <w:t>increase</w:t>
      </w:r>
      <w:r>
        <w:rPr>
          <w:lang w:val="en-US"/>
        </w:rPr>
        <w:t xml:space="preserve"> of BR in the </w:t>
      </w:r>
      <w:r w:rsidR="00506205">
        <w:rPr>
          <w:lang w:val="en-US"/>
        </w:rPr>
        <w:t>perfusion</w:t>
      </w:r>
      <w:r>
        <w:rPr>
          <w:lang w:val="en-US"/>
        </w:rPr>
        <w:t xml:space="preserve"> effluent</w:t>
      </w:r>
      <w:r w:rsidR="00506205">
        <w:rPr>
          <w:lang w:val="en-US"/>
        </w:rPr>
        <w:t>.</w:t>
      </w:r>
      <w:r>
        <w:rPr>
          <w:lang w:val="en-US"/>
        </w:rPr>
        <w:t xml:space="preserve"> </w:t>
      </w:r>
      <w:r w:rsidR="00506205">
        <w:rPr>
          <w:lang w:val="en-US"/>
        </w:rPr>
        <w:t>F</w:t>
      </w:r>
      <w:r>
        <w:rPr>
          <w:lang w:val="en-US"/>
        </w:rPr>
        <w:t>ractions</w:t>
      </w:r>
      <w:r w:rsidR="00506205">
        <w:rPr>
          <w:lang w:val="en-US"/>
        </w:rPr>
        <w:t xml:space="preserve"> were</w:t>
      </w:r>
      <w:r>
        <w:rPr>
          <w:lang w:val="en-US"/>
        </w:rPr>
        <w:t xml:space="preserve"> collected after intra-portal co-injection of a bolus containing of 10 nmol </w:t>
      </w:r>
      <w:r w:rsidR="00901DF2">
        <w:rPr>
          <w:lang w:val="en-US"/>
        </w:rPr>
        <w:t>bilirubin (</w:t>
      </w:r>
      <w:r>
        <w:rPr>
          <w:lang w:val="en-US"/>
        </w:rPr>
        <w:t>BR</w:t>
      </w:r>
      <w:r w:rsidR="00901DF2">
        <w:rPr>
          <w:lang w:val="en-US"/>
        </w:rPr>
        <w:t>)</w:t>
      </w:r>
      <w:r>
        <w:rPr>
          <w:lang w:val="en-US"/>
        </w:rPr>
        <w:t xml:space="preserve"> and 200 nmol </w:t>
      </w:r>
      <w:r w:rsidR="00901DF2">
        <w:rPr>
          <w:lang w:val="en-US"/>
        </w:rPr>
        <w:t>e</w:t>
      </w:r>
      <w:r w:rsidR="00901DF2" w:rsidRPr="002C73C9">
        <w:rPr>
          <w:lang w:val="en-US"/>
        </w:rPr>
        <w:t>stradiol</w:t>
      </w:r>
      <w:r w:rsidR="00F26402">
        <w:rPr>
          <w:lang w:val="en-US"/>
        </w:rPr>
        <w:t>-</w:t>
      </w:r>
      <w:r w:rsidR="00901DF2" w:rsidRPr="002C73C9">
        <w:rPr>
          <w:lang w:val="en-US"/>
        </w:rPr>
        <w:t>17</w:t>
      </w:r>
      <w:r w:rsidR="00F26402">
        <w:rPr>
          <w:lang w:val="en-US"/>
        </w:rPr>
        <w:t xml:space="preserve"> beta</w:t>
      </w:r>
      <w:r w:rsidR="00901DF2" w:rsidRPr="002C73C9">
        <w:rPr>
          <w:lang w:val="en-US"/>
        </w:rPr>
        <w:t>-glucuronide</w:t>
      </w:r>
      <w:r w:rsidR="00901DF2">
        <w:rPr>
          <w:lang w:val="en-US"/>
        </w:rPr>
        <w:t xml:space="preserve"> (</w:t>
      </w:r>
      <w:r>
        <w:rPr>
          <w:lang w:val="en-US"/>
        </w:rPr>
        <w:t>E17G</w:t>
      </w:r>
      <w:r w:rsidR="00901DF2">
        <w:rPr>
          <w:lang w:val="en-US"/>
        </w:rPr>
        <w:t>)</w:t>
      </w:r>
      <w:r w:rsidRPr="00506205">
        <w:rPr>
          <w:lang w:val="en-US"/>
        </w:rPr>
        <w:t xml:space="preserve">. </w:t>
      </w:r>
      <w:r w:rsidR="00506205" w:rsidRPr="00506205">
        <w:rPr>
          <w:lang w:val="en-US"/>
        </w:rPr>
        <w:t>Samples</w:t>
      </w:r>
      <w:r w:rsidR="00506205">
        <w:rPr>
          <w:lang w:val="en-US"/>
        </w:rPr>
        <w:t xml:space="preserve"> (0.2 mL) were</w:t>
      </w:r>
      <w:r w:rsidR="00E913E3">
        <w:rPr>
          <w:lang w:val="en-US"/>
        </w:rPr>
        <w:t xml:space="preserve"> </w:t>
      </w:r>
      <w:r w:rsidR="00506205" w:rsidRPr="00506205">
        <w:rPr>
          <w:lang w:val="en-US"/>
        </w:rPr>
        <w:t xml:space="preserve">incubated </w:t>
      </w:r>
      <w:r w:rsidR="00506205">
        <w:rPr>
          <w:lang w:val="en-US"/>
        </w:rPr>
        <w:t xml:space="preserve">with </w:t>
      </w:r>
      <w:r w:rsidR="00506205" w:rsidRPr="0065056E">
        <w:rPr>
          <w:lang w:val="en-US"/>
        </w:rPr>
        <w:t xml:space="preserve">0.01 mL (8 </w:t>
      </w:r>
      <w:r w:rsidR="00506205">
        <w:rPr>
          <w:lang w:val="en-US"/>
        </w:rPr>
        <w:t>IU</w:t>
      </w:r>
      <w:r w:rsidR="00506205" w:rsidRPr="0065056E">
        <w:rPr>
          <w:lang w:val="en-US"/>
        </w:rPr>
        <w:t xml:space="preserve">) </w:t>
      </w:r>
      <w:r w:rsidR="00506205" w:rsidRPr="00506205">
        <w:rPr>
          <w:lang w:val="en-US"/>
        </w:rPr>
        <w:t>β</w:t>
      </w:r>
      <w:r w:rsidR="00506205" w:rsidRPr="0065056E">
        <w:rPr>
          <w:lang w:val="en-US"/>
        </w:rPr>
        <w:t xml:space="preserve">-Glucuronidase </w:t>
      </w:r>
      <w:r w:rsidR="00A82032">
        <w:rPr>
          <w:lang w:val="en-US"/>
        </w:rPr>
        <w:t xml:space="preserve">on a </w:t>
      </w:r>
      <w:r w:rsidR="00A82032" w:rsidRPr="0065056E">
        <w:rPr>
          <w:lang w:val="en-US"/>
        </w:rPr>
        <w:t xml:space="preserve">multi-well plate </w:t>
      </w:r>
      <w:r w:rsidR="00506205" w:rsidRPr="0065056E">
        <w:rPr>
          <w:lang w:val="en-US"/>
        </w:rPr>
        <w:t>at T = 25°C</w:t>
      </w:r>
      <w:r w:rsidR="00506205">
        <w:rPr>
          <w:lang w:val="en-US"/>
        </w:rPr>
        <w:t xml:space="preserve"> for 2h</w:t>
      </w:r>
      <w:r w:rsidR="00A82032">
        <w:rPr>
          <w:lang w:val="en-US"/>
        </w:rPr>
        <w:t>.</w:t>
      </w:r>
      <w:r w:rsidR="00506205">
        <w:rPr>
          <w:lang w:val="en-US"/>
        </w:rPr>
        <w:t xml:space="preserve"> </w:t>
      </w:r>
      <w:r w:rsidR="00A82032">
        <w:rPr>
          <w:lang w:val="en-US"/>
        </w:rPr>
        <w:t>Thereafter</w:t>
      </w:r>
      <w:r w:rsidR="00506205">
        <w:rPr>
          <w:lang w:val="en-US"/>
        </w:rPr>
        <w:t>, t</w:t>
      </w:r>
      <w:r w:rsidR="00506205" w:rsidRPr="0065056E">
        <w:rPr>
          <w:lang w:val="en-US"/>
        </w:rPr>
        <w:t>he multi-well plate was stored covered at 4°C overnight and fluorescence was recorded again</w:t>
      </w:r>
      <w:r w:rsidR="00A82032">
        <w:rPr>
          <w:lang w:val="en-US"/>
        </w:rPr>
        <w:t xml:space="preserve">. </w:t>
      </w:r>
      <w:r w:rsidR="00E5010F" w:rsidRPr="00E5010F">
        <w:rPr>
          <w:b/>
          <w:bCs/>
          <w:lang w:val="en-US"/>
        </w:rPr>
        <w:t>(</w:t>
      </w:r>
      <w:r w:rsidR="007D0547">
        <w:rPr>
          <w:b/>
          <w:bCs/>
          <w:lang w:val="en-US"/>
        </w:rPr>
        <w:t>B</w:t>
      </w:r>
      <w:r w:rsidR="00E5010F" w:rsidRPr="00E5010F">
        <w:rPr>
          <w:b/>
          <w:bCs/>
          <w:lang w:val="en-US"/>
        </w:rPr>
        <w:t>)</w:t>
      </w:r>
      <w:r w:rsidR="00E5010F">
        <w:rPr>
          <w:lang w:val="en-US"/>
        </w:rPr>
        <w:t xml:space="preserve"> </w:t>
      </w:r>
      <w:r w:rsidR="00E5010F">
        <w:rPr>
          <w:b/>
          <w:bCs/>
          <w:lang w:val="en-US"/>
        </w:rPr>
        <w:t xml:space="preserve">Effect of </w:t>
      </w:r>
      <w:r w:rsidR="00E5010F" w:rsidRPr="00EE2B14">
        <w:rPr>
          <w:b/>
          <w:bCs/>
          <w:lang w:val="en-US"/>
        </w:rPr>
        <w:t>estradiol</w:t>
      </w:r>
      <w:r w:rsidR="00F26402" w:rsidRPr="00F26402">
        <w:rPr>
          <w:b/>
          <w:bCs/>
          <w:lang w:val="en-US"/>
        </w:rPr>
        <w:t xml:space="preserve">-17 beta-glucuronide </w:t>
      </w:r>
      <w:r w:rsidR="00E5010F">
        <w:rPr>
          <w:b/>
          <w:bCs/>
          <w:lang w:val="en-US"/>
        </w:rPr>
        <w:t>hydrolysis on the bilirubin calibration curve.</w:t>
      </w:r>
      <w:r w:rsidR="00BF16BE">
        <w:rPr>
          <w:lang w:val="en-US"/>
        </w:rPr>
        <w:t xml:space="preserve"> </w:t>
      </w:r>
      <w:r w:rsidR="00EE2B14" w:rsidRPr="00EE2B14">
        <w:rPr>
          <w:lang w:val="en-US"/>
        </w:rPr>
        <w:t xml:space="preserve">Samples (0.2 mL) containing </w:t>
      </w:r>
      <w:r w:rsidR="00EE2B14">
        <w:rPr>
          <w:lang w:val="en-US"/>
        </w:rPr>
        <w:t>different bilirubin (BR) concentrations dissolved in PBS</w:t>
      </w:r>
      <w:r w:rsidR="001215FA">
        <w:rPr>
          <w:lang w:val="en-US"/>
        </w:rPr>
        <w:t>,</w:t>
      </w:r>
      <w:r w:rsidR="00EE2B14">
        <w:rPr>
          <w:lang w:val="en-US"/>
        </w:rPr>
        <w:t xml:space="preserve"> without </w:t>
      </w:r>
      <w:r w:rsidR="001215FA">
        <w:rPr>
          <w:lang w:val="en-US"/>
        </w:rPr>
        <w:t xml:space="preserve">(black) </w:t>
      </w:r>
      <w:r w:rsidR="00EE2B14">
        <w:rPr>
          <w:lang w:val="en-US"/>
        </w:rPr>
        <w:t>and with 0.1</w:t>
      </w:r>
      <w:r w:rsidR="001215FA">
        <w:rPr>
          <w:lang w:val="en-US"/>
        </w:rPr>
        <w:t xml:space="preserve"> </w:t>
      </w:r>
      <w:r w:rsidR="00EE2B14">
        <w:rPr>
          <w:lang w:val="en-US"/>
        </w:rPr>
        <w:t>mM e</w:t>
      </w:r>
      <w:r w:rsidR="00EE2B14" w:rsidRPr="00EE2B14">
        <w:rPr>
          <w:lang w:val="en-US"/>
        </w:rPr>
        <w:t>stradiol</w:t>
      </w:r>
      <w:r w:rsidR="00F26402">
        <w:rPr>
          <w:lang w:val="en-US"/>
        </w:rPr>
        <w:t>-</w:t>
      </w:r>
      <w:r w:rsidR="00F26402" w:rsidRPr="002C73C9">
        <w:rPr>
          <w:lang w:val="en-US"/>
        </w:rPr>
        <w:t>17</w:t>
      </w:r>
      <w:r w:rsidR="00F26402">
        <w:rPr>
          <w:lang w:val="en-US"/>
        </w:rPr>
        <w:t xml:space="preserve"> beta</w:t>
      </w:r>
      <w:r w:rsidR="00F26402" w:rsidRPr="002C73C9">
        <w:rPr>
          <w:lang w:val="en-US"/>
        </w:rPr>
        <w:t>-glucuronide</w:t>
      </w:r>
      <w:r w:rsidR="00F26402">
        <w:rPr>
          <w:lang w:val="en-US"/>
        </w:rPr>
        <w:t xml:space="preserve"> </w:t>
      </w:r>
      <w:r w:rsidR="001215FA">
        <w:rPr>
          <w:lang w:val="en-US"/>
        </w:rPr>
        <w:t>(dark and light green). A series of BR concentrations with E17G was supplemented</w:t>
      </w:r>
      <w:r w:rsidR="00EE2B14" w:rsidRPr="00506205">
        <w:rPr>
          <w:lang w:val="en-US"/>
        </w:rPr>
        <w:t xml:space="preserve"> </w:t>
      </w:r>
      <w:r w:rsidR="00EE2B14">
        <w:rPr>
          <w:lang w:val="en-US"/>
        </w:rPr>
        <w:t xml:space="preserve">with </w:t>
      </w:r>
      <w:r w:rsidR="00EE2B14" w:rsidRPr="0065056E">
        <w:rPr>
          <w:lang w:val="en-US"/>
        </w:rPr>
        <w:t xml:space="preserve">0.01 mL (8 </w:t>
      </w:r>
      <w:r w:rsidR="00EE2B14">
        <w:rPr>
          <w:lang w:val="en-US"/>
        </w:rPr>
        <w:t>IU</w:t>
      </w:r>
      <w:r w:rsidR="00EE2B14" w:rsidRPr="0065056E">
        <w:rPr>
          <w:lang w:val="en-US"/>
        </w:rPr>
        <w:t xml:space="preserve">) </w:t>
      </w:r>
      <w:r w:rsidR="00EE2B14" w:rsidRPr="00506205">
        <w:rPr>
          <w:lang w:val="en-US"/>
        </w:rPr>
        <w:t>β</w:t>
      </w:r>
      <w:r w:rsidR="00EE2B14" w:rsidRPr="0065056E">
        <w:rPr>
          <w:lang w:val="en-US"/>
        </w:rPr>
        <w:t>-Glucuronidase</w:t>
      </w:r>
      <w:r w:rsidR="001215FA">
        <w:rPr>
          <w:lang w:val="en-US"/>
        </w:rPr>
        <w:t xml:space="preserve">. </w:t>
      </w:r>
      <w:r w:rsidR="00EE2B14" w:rsidRPr="0065056E">
        <w:rPr>
          <w:lang w:val="en-US"/>
        </w:rPr>
        <w:t xml:space="preserve"> </w:t>
      </w:r>
      <w:r w:rsidR="001215FA">
        <w:rPr>
          <w:lang w:val="en-US"/>
        </w:rPr>
        <w:t>The</w:t>
      </w:r>
      <w:r w:rsidR="00EE2B14">
        <w:rPr>
          <w:lang w:val="en-US"/>
        </w:rPr>
        <w:t xml:space="preserve"> </w:t>
      </w:r>
      <w:r w:rsidR="00EE2B14" w:rsidRPr="0065056E">
        <w:rPr>
          <w:lang w:val="en-US"/>
        </w:rPr>
        <w:t xml:space="preserve">multi-well plate </w:t>
      </w:r>
      <w:r w:rsidR="001215FA">
        <w:rPr>
          <w:lang w:val="en-US"/>
        </w:rPr>
        <w:t xml:space="preserve">was incubated </w:t>
      </w:r>
      <w:r w:rsidR="00EE2B14" w:rsidRPr="0065056E">
        <w:rPr>
          <w:lang w:val="en-US"/>
        </w:rPr>
        <w:t>at T = 25°C</w:t>
      </w:r>
      <w:r w:rsidR="00EE2B14">
        <w:rPr>
          <w:lang w:val="en-US"/>
        </w:rPr>
        <w:t xml:space="preserve"> for 2h. Fluorescence intensity was recorded </w:t>
      </w:r>
      <w:r w:rsidR="00EE2B14" w:rsidRPr="00E74724">
        <w:rPr>
          <w:lang w:val="en-US"/>
        </w:rPr>
        <w:t xml:space="preserve">at </w:t>
      </w:r>
      <w:proofErr w:type="spellStart"/>
      <w:r w:rsidR="00EE2B14" w:rsidRPr="00E74724">
        <w:rPr>
          <w:lang w:val="en-US"/>
        </w:rPr>
        <w:t>λ</w:t>
      </w:r>
      <w:r w:rsidR="00EE2B14" w:rsidRPr="00E964F7">
        <w:rPr>
          <w:vertAlign w:val="subscript"/>
          <w:lang w:val="en-US"/>
        </w:rPr>
        <w:t>ex</w:t>
      </w:r>
      <w:proofErr w:type="spellEnd"/>
      <w:r w:rsidR="00EE2B14" w:rsidRPr="00E74724">
        <w:rPr>
          <w:lang w:val="en-US"/>
        </w:rPr>
        <w:t xml:space="preserve">= 485 nm and </w:t>
      </w:r>
      <w:proofErr w:type="spellStart"/>
      <w:r w:rsidR="00EE2B14" w:rsidRPr="00E74724">
        <w:rPr>
          <w:lang w:val="en-US"/>
        </w:rPr>
        <w:t>λ</w:t>
      </w:r>
      <w:r w:rsidR="00EE2B14" w:rsidRPr="00E964F7">
        <w:rPr>
          <w:vertAlign w:val="subscript"/>
          <w:lang w:val="en-US"/>
        </w:rPr>
        <w:t>em</w:t>
      </w:r>
      <w:proofErr w:type="spellEnd"/>
      <w:r w:rsidR="00EE2B14" w:rsidRPr="00E74724">
        <w:rPr>
          <w:lang w:val="en-US"/>
        </w:rPr>
        <w:t>=528 nm</w:t>
      </w:r>
      <w:r w:rsidR="00EE2B14" w:rsidRPr="00D27171">
        <w:rPr>
          <w:lang w:val="en-US"/>
        </w:rPr>
        <w:t xml:space="preserve"> </w:t>
      </w:r>
      <w:r w:rsidR="00EE2B14">
        <w:rPr>
          <w:lang w:val="en-US"/>
        </w:rPr>
        <w:t xml:space="preserve">in quadruplicate and </w:t>
      </w:r>
      <w:r w:rsidR="001215FA">
        <w:rPr>
          <w:lang w:val="en-US"/>
        </w:rPr>
        <w:t>average data were fitted by linear regression analysis</w:t>
      </w:r>
      <w:r w:rsidR="00EE2B14" w:rsidRPr="00E74724">
        <w:rPr>
          <w:lang w:val="en-US"/>
        </w:rPr>
        <w:t>.</w:t>
      </w:r>
      <w:r w:rsidR="001215FA">
        <w:rPr>
          <w:lang w:val="en-US"/>
        </w:rPr>
        <w:t xml:space="preserve"> Equations: y</w:t>
      </w:r>
      <w:r w:rsidR="001215FA" w:rsidRPr="001215FA">
        <w:rPr>
          <w:lang w:val="en-US"/>
        </w:rPr>
        <w:t>= 449</w:t>
      </w:r>
      <w:r w:rsidR="007B185D">
        <w:rPr>
          <w:lang w:val="en-US"/>
        </w:rPr>
        <w:t>.</w:t>
      </w:r>
      <w:r w:rsidR="001215FA" w:rsidRPr="001215FA">
        <w:rPr>
          <w:lang w:val="en-US"/>
        </w:rPr>
        <w:t>6</w:t>
      </w:r>
      <w:r w:rsidR="001215FA">
        <w:rPr>
          <w:lang w:val="en-US"/>
        </w:rPr>
        <w:t>x</w:t>
      </w:r>
      <w:r w:rsidR="001215FA" w:rsidRPr="001215FA">
        <w:rPr>
          <w:lang w:val="en-US"/>
        </w:rPr>
        <w:t xml:space="preserve"> </w:t>
      </w:r>
      <w:r w:rsidR="007B185D">
        <w:rPr>
          <w:lang w:val="en-US"/>
        </w:rPr>
        <w:t>–</w:t>
      </w:r>
      <w:r w:rsidR="001215FA" w:rsidRPr="001215FA">
        <w:rPr>
          <w:lang w:val="en-US"/>
        </w:rPr>
        <w:t xml:space="preserve"> 237</w:t>
      </w:r>
      <w:r w:rsidR="007B185D">
        <w:rPr>
          <w:lang w:val="en-US"/>
        </w:rPr>
        <w:t>.</w:t>
      </w:r>
      <w:r w:rsidR="001215FA" w:rsidRPr="001215FA">
        <w:rPr>
          <w:lang w:val="en-US"/>
        </w:rPr>
        <w:t>9</w:t>
      </w:r>
      <w:r w:rsidR="001215FA">
        <w:rPr>
          <w:lang w:val="en-US"/>
        </w:rPr>
        <w:t xml:space="preserve"> (BR); y</w:t>
      </w:r>
      <w:r w:rsidR="001215FA" w:rsidRPr="001215FA">
        <w:rPr>
          <w:lang w:val="en-US"/>
        </w:rPr>
        <w:t xml:space="preserve"> = 466</w:t>
      </w:r>
      <w:r w:rsidR="007B185D">
        <w:rPr>
          <w:lang w:val="en-US"/>
        </w:rPr>
        <w:t>.</w:t>
      </w:r>
      <w:r w:rsidR="001215FA" w:rsidRPr="001215FA">
        <w:rPr>
          <w:lang w:val="en-US"/>
        </w:rPr>
        <w:t>3</w:t>
      </w:r>
      <w:r w:rsidR="001215FA">
        <w:rPr>
          <w:lang w:val="en-US"/>
        </w:rPr>
        <w:t>x</w:t>
      </w:r>
      <w:r w:rsidR="001215FA" w:rsidRPr="001215FA">
        <w:rPr>
          <w:lang w:val="en-US"/>
        </w:rPr>
        <w:t xml:space="preserve"> + 164</w:t>
      </w:r>
      <w:r w:rsidR="007B185D">
        <w:rPr>
          <w:lang w:val="en-US"/>
        </w:rPr>
        <w:t>.</w:t>
      </w:r>
      <w:r w:rsidR="001215FA" w:rsidRPr="001215FA">
        <w:rPr>
          <w:lang w:val="en-US"/>
        </w:rPr>
        <w:t>8</w:t>
      </w:r>
      <w:r w:rsidR="001215FA">
        <w:rPr>
          <w:lang w:val="en-US"/>
        </w:rPr>
        <w:t xml:space="preserve"> (BR + E17G); y</w:t>
      </w:r>
      <w:r w:rsidR="001215FA" w:rsidRPr="001215FA">
        <w:rPr>
          <w:lang w:val="en-US"/>
        </w:rPr>
        <w:t xml:space="preserve"> = 461</w:t>
      </w:r>
      <w:r w:rsidR="007B185D">
        <w:rPr>
          <w:lang w:val="en-US"/>
        </w:rPr>
        <w:t>.</w:t>
      </w:r>
      <w:r w:rsidR="001215FA" w:rsidRPr="001215FA">
        <w:rPr>
          <w:lang w:val="en-US"/>
        </w:rPr>
        <w:t>9</w:t>
      </w:r>
      <w:r w:rsidR="001215FA">
        <w:rPr>
          <w:lang w:val="en-US"/>
        </w:rPr>
        <w:t>x</w:t>
      </w:r>
      <w:r w:rsidR="001215FA" w:rsidRPr="001215FA">
        <w:rPr>
          <w:lang w:val="en-US"/>
        </w:rPr>
        <w:t xml:space="preserve"> </w:t>
      </w:r>
      <w:r w:rsidR="007B185D">
        <w:rPr>
          <w:lang w:val="en-US"/>
        </w:rPr>
        <w:t>–</w:t>
      </w:r>
      <w:r w:rsidR="001215FA" w:rsidRPr="001215FA">
        <w:rPr>
          <w:lang w:val="en-US"/>
        </w:rPr>
        <w:t xml:space="preserve"> 30</w:t>
      </w:r>
      <w:r w:rsidR="007B185D">
        <w:rPr>
          <w:lang w:val="en-US"/>
        </w:rPr>
        <w:t>.</w:t>
      </w:r>
      <w:r w:rsidR="001215FA" w:rsidRPr="001215FA">
        <w:rPr>
          <w:lang w:val="en-US"/>
        </w:rPr>
        <w:t>23</w:t>
      </w:r>
      <w:r w:rsidR="001215FA">
        <w:rPr>
          <w:lang w:val="en-US"/>
        </w:rPr>
        <w:t xml:space="preserve"> (BR + E17G +</w:t>
      </w:r>
      <w:r w:rsidR="001215FA" w:rsidRPr="001215FA">
        <w:rPr>
          <w:lang w:val="en-US"/>
        </w:rPr>
        <w:t xml:space="preserve"> </w:t>
      </w:r>
      <w:r w:rsidR="001215FA" w:rsidRPr="00506205">
        <w:rPr>
          <w:lang w:val="en-US"/>
        </w:rPr>
        <w:t>β</w:t>
      </w:r>
      <w:r w:rsidR="001215FA" w:rsidRPr="0065056E">
        <w:rPr>
          <w:lang w:val="en-US"/>
        </w:rPr>
        <w:t>-Glucuronidase</w:t>
      </w:r>
      <w:r w:rsidR="001215FA">
        <w:rPr>
          <w:lang w:val="en-US"/>
        </w:rPr>
        <w:t>).</w:t>
      </w:r>
    </w:p>
    <w:p w14:paraId="267242D6" w14:textId="77777777" w:rsidR="00D53B45" w:rsidRPr="00EC6355" w:rsidRDefault="00D53B45" w:rsidP="003B76E2">
      <w:pPr>
        <w:jc w:val="both"/>
        <w:rPr>
          <w:lang w:val="en-US"/>
        </w:rPr>
      </w:pPr>
    </w:p>
    <w:p w14:paraId="2D1C27EB" w14:textId="5D0768C2" w:rsidR="00BC74D9" w:rsidRPr="00031A70" w:rsidRDefault="00BC74D9" w:rsidP="003B76E2">
      <w:pPr>
        <w:widowControl w:val="0"/>
        <w:autoSpaceDE w:val="0"/>
        <w:autoSpaceDN w:val="0"/>
        <w:adjustRightInd w:val="0"/>
        <w:jc w:val="both"/>
        <w:rPr>
          <w:sz w:val="28"/>
          <w:szCs w:val="28"/>
          <w:lang w:val="en-US"/>
        </w:rPr>
      </w:pPr>
    </w:p>
    <w:p w14:paraId="4D1EC838" w14:textId="1DD22E30" w:rsidR="002F01D4" w:rsidRPr="00662D80" w:rsidRDefault="002F01D4" w:rsidP="003B76E2">
      <w:pPr>
        <w:jc w:val="both"/>
        <w:rPr>
          <w:color w:val="000000" w:themeColor="text1"/>
          <w:lang w:val="en-US"/>
        </w:rPr>
      </w:pPr>
      <w:r>
        <w:rPr>
          <w:b/>
          <w:bCs/>
          <w:sz w:val="28"/>
          <w:szCs w:val="28"/>
          <w:lang w:val="en-US"/>
        </w:rPr>
        <w:br w:type="page"/>
      </w:r>
    </w:p>
    <w:p w14:paraId="6FCE9AE6" w14:textId="20C26362" w:rsidR="00AD7CB3" w:rsidRPr="00662D80" w:rsidRDefault="00662D80" w:rsidP="003B76E2">
      <w:pPr>
        <w:pStyle w:val="Titolo2"/>
        <w:jc w:val="both"/>
        <w:rPr>
          <w:lang w:val="en-US"/>
        </w:rPr>
      </w:pPr>
      <w:bookmarkStart w:id="20" w:name="_Toc89853427"/>
      <w:r w:rsidRPr="00662D80">
        <w:rPr>
          <w:lang w:val="en-US"/>
        </w:rPr>
        <w:lastRenderedPageBreak/>
        <w:t xml:space="preserve">Fig. S3. </w:t>
      </w:r>
      <w:r w:rsidR="00E44085" w:rsidRPr="00662D80">
        <w:rPr>
          <w:lang w:val="en-US"/>
        </w:rPr>
        <w:t>A</w:t>
      </w:r>
      <w:r w:rsidR="00AD7CB3" w:rsidRPr="00662D80">
        <w:rPr>
          <w:lang w:val="en-US"/>
        </w:rPr>
        <w:t xml:space="preserve">nalysis </w:t>
      </w:r>
      <w:r w:rsidR="007B3D24" w:rsidRPr="00662D80">
        <w:rPr>
          <w:lang w:val="en-US"/>
        </w:rPr>
        <w:t>of bilirubin peaks triggered by the co-injection of bilirubin with cyanidin 3-glucoside</w:t>
      </w:r>
      <w:bookmarkEnd w:id="20"/>
      <w:r w:rsidR="007B3D24" w:rsidRPr="00662D80">
        <w:rPr>
          <w:lang w:val="en-US"/>
        </w:rPr>
        <w:t xml:space="preserve"> </w:t>
      </w:r>
      <w:r w:rsidR="00E44085" w:rsidRPr="00662D80">
        <w:rPr>
          <w:lang w:val="en-US"/>
        </w:rPr>
        <w:t xml:space="preserve"> </w:t>
      </w:r>
    </w:p>
    <w:p w14:paraId="67FC45DC" w14:textId="71126B7A" w:rsidR="00AD7CB3" w:rsidRDefault="00AD7CB3" w:rsidP="003B76E2">
      <w:pPr>
        <w:ind w:left="708"/>
        <w:jc w:val="both"/>
        <w:rPr>
          <w:color w:val="000000" w:themeColor="text1"/>
          <w:lang w:val="en-US"/>
        </w:rPr>
      </w:pPr>
    </w:p>
    <w:p w14:paraId="5ECD8E9F" w14:textId="26B27EBB" w:rsidR="00D655B9" w:rsidRDefault="00B451DE" w:rsidP="003B76E2">
      <w:pPr>
        <w:widowControl w:val="0"/>
        <w:autoSpaceDE w:val="0"/>
        <w:autoSpaceDN w:val="0"/>
        <w:adjustRightInd w:val="0"/>
        <w:jc w:val="both"/>
        <w:rPr>
          <w:lang w:val="en-US"/>
        </w:rPr>
      </w:pPr>
      <w:r>
        <w:rPr>
          <w:noProof/>
          <w:lang w:val="en-US"/>
        </w:rPr>
        <w:drawing>
          <wp:inline distT="0" distB="0" distL="0" distR="0" wp14:anchorId="28B4834F" wp14:editId="1D952FAB">
            <wp:extent cx="5731510" cy="2169969"/>
            <wp:effectExtent l="0" t="0" r="0" b="0"/>
            <wp:docPr id="20"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magine 20"/>
                    <pic:cNvPicPr/>
                  </pic:nvPicPr>
                  <pic:blipFill rotWithShape="1">
                    <a:blip r:embed="rId16" cstate="print">
                      <a:extLst>
                        <a:ext uri="{28A0092B-C50C-407E-A947-70E740481C1C}">
                          <a14:useLocalDpi xmlns:a14="http://schemas.microsoft.com/office/drawing/2010/main" val="0"/>
                        </a:ext>
                      </a:extLst>
                    </a:blip>
                    <a:srcRect t="58387"/>
                    <a:stretch/>
                  </pic:blipFill>
                  <pic:spPr bwMode="auto">
                    <a:xfrm>
                      <a:off x="0" y="0"/>
                      <a:ext cx="5731510" cy="2169969"/>
                    </a:xfrm>
                    <a:prstGeom prst="rect">
                      <a:avLst/>
                    </a:prstGeom>
                    <a:ln>
                      <a:noFill/>
                    </a:ln>
                    <a:extLst>
                      <a:ext uri="{53640926-AAD7-44D8-BBD7-CCE9431645EC}">
                        <a14:shadowObscured xmlns:a14="http://schemas.microsoft.com/office/drawing/2010/main"/>
                      </a:ext>
                    </a:extLst>
                  </pic:spPr>
                </pic:pic>
              </a:graphicData>
            </a:graphic>
          </wp:inline>
        </w:drawing>
      </w:r>
    </w:p>
    <w:p w14:paraId="0EE552AA" w14:textId="4D13494F" w:rsidR="00D655B9" w:rsidRPr="00E414AB" w:rsidRDefault="00D655B9" w:rsidP="003B76E2">
      <w:pPr>
        <w:jc w:val="both"/>
        <w:rPr>
          <w:lang w:val="en-US"/>
        </w:rPr>
      </w:pPr>
      <w:r w:rsidRPr="006364BC">
        <w:rPr>
          <w:b/>
          <w:bCs/>
          <w:lang w:val="en-US"/>
        </w:rPr>
        <w:t>Fig. S</w:t>
      </w:r>
      <w:r w:rsidR="00662D80">
        <w:rPr>
          <w:b/>
          <w:bCs/>
          <w:lang w:val="en-US"/>
        </w:rPr>
        <w:t>3</w:t>
      </w:r>
      <w:r w:rsidRPr="006364BC">
        <w:rPr>
          <w:b/>
          <w:bCs/>
          <w:lang w:val="en-US"/>
        </w:rPr>
        <w:t>.</w:t>
      </w:r>
      <w:r w:rsidRPr="006364BC">
        <w:rPr>
          <w:lang w:val="en-US"/>
        </w:rPr>
        <w:t xml:space="preserve"> </w:t>
      </w:r>
      <w:r w:rsidR="00E31E05">
        <w:rPr>
          <w:b/>
          <w:bCs/>
          <w:lang w:val="en-US"/>
        </w:rPr>
        <w:t>Bilirubin</w:t>
      </w:r>
      <w:r w:rsidRPr="006364BC">
        <w:rPr>
          <w:b/>
          <w:bCs/>
          <w:lang w:val="en-US"/>
        </w:rPr>
        <w:t xml:space="preserve"> peaks in the hepatic venous effluent resulting from repeated intra-portal </w:t>
      </w:r>
      <w:proofErr w:type="spellStart"/>
      <w:r w:rsidRPr="006364BC">
        <w:rPr>
          <w:b/>
          <w:bCs/>
          <w:lang w:val="en-US"/>
        </w:rPr>
        <w:t>boli</w:t>
      </w:r>
      <w:proofErr w:type="spellEnd"/>
      <w:r w:rsidRPr="006364BC">
        <w:rPr>
          <w:b/>
          <w:bCs/>
          <w:lang w:val="en-US"/>
        </w:rPr>
        <w:t xml:space="preserve"> of </w:t>
      </w:r>
      <w:r w:rsidR="00E31E05">
        <w:rPr>
          <w:b/>
          <w:bCs/>
          <w:lang w:val="en-US"/>
        </w:rPr>
        <w:t>bilirubin</w:t>
      </w:r>
      <w:r w:rsidRPr="00F039D6">
        <w:rPr>
          <w:b/>
          <w:bCs/>
          <w:lang w:val="en-US"/>
        </w:rPr>
        <w:t xml:space="preserve"> and </w:t>
      </w:r>
      <w:r w:rsidR="00E31E05">
        <w:rPr>
          <w:b/>
          <w:bCs/>
          <w:lang w:val="en-US"/>
        </w:rPr>
        <w:t>cyanidin 3-glucoside</w:t>
      </w:r>
      <w:r w:rsidRPr="00F039D6">
        <w:rPr>
          <w:lang w:val="en-US"/>
        </w:rPr>
        <w:t>.</w:t>
      </w:r>
      <w:r w:rsidRPr="00F039D6">
        <w:rPr>
          <w:b/>
          <w:bCs/>
          <w:lang w:val="en-US"/>
        </w:rPr>
        <w:t xml:space="preserve"> </w:t>
      </w:r>
      <w:r w:rsidRPr="00F039D6">
        <w:rPr>
          <w:lang w:val="en-US"/>
        </w:rPr>
        <w:t xml:space="preserve">Box plots of </w:t>
      </w:r>
      <w:r w:rsidR="00E31E05">
        <w:rPr>
          <w:lang w:val="en-US"/>
        </w:rPr>
        <w:t>bilirubin (</w:t>
      </w:r>
      <w:r w:rsidRPr="00F039D6">
        <w:rPr>
          <w:lang w:val="en-US"/>
        </w:rPr>
        <w:t>BR</w:t>
      </w:r>
      <w:r w:rsidR="00E31E05">
        <w:rPr>
          <w:lang w:val="en-US"/>
        </w:rPr>
        <w:t>)</w:t>
      </w:r>
      <w:r w:rsidRPr="00F039D6">
        <w:rPr>
          <w:lang w:val="en-US"/>
        </w:rPr>
        <w:t xml:space="preserve"> peak descriptors</w:t>
      </w:r>
      <w:r w:rsidR="00E31E05">
        <w:rPr>
          <w:lang w:val="en-US"/>
        </w:rPr>
        <w:t xml:space="preserve">: </w:t>
      </w:r>
      <w:r w:rsidR="002B73A2" w:rsidRPr="00F039D6">
        <w:rPr>
          <w:lang w:val="en-US"/>
        </w:rPr>
        <w:t>(</w:t>
      </w:r>
      <w:r w:rsidR="007D0547">
        <w:rPr>
          <w:b/>
          <w:bCs/>
          <w:lang w:val="en-US"/>
        </w:rPr>
        <w:t>A</w:t>
      </w:r>
      <w:r w:rsidR="002B73A2" w:rsidRPr="00F039D6">
        <w:rPr>
          <w:lang w:val="en-US"/>
        </w:rPr>
        <w:t>)</w:t>
      </w:r>
      <w:r w:rsidR="002B73A2">
        <w:rPr>
          <w:lang w:val="en-US"/>
        </w:rPr>
        <w:t xml:space="preserve"> </w:t>
      </w:r>
      <w:r w:rsidRPr="002B73A2">
        <w:rPr>
          <w:b/>
          <w:bCs/>
          <w:lang w:val="en-US"/>
        </w:rPr>
        <w:t>area</w:t>
      </w:r>
      <w:r w:rsidRPr="00F039D6">
        <w:rPr>
          <w:lang w:val="en-US"/>
        </w:rPr>
        <w:t xml:space="preserve"> (AUC)</w:t>
      </w:r>
      <w:r w:rsidR="00E31E05">
        <w:rPr>
          <w:lang w:val="en-US"/>
        </w:rPr>
        <w:t>,</w:t>
      </w:r>
      <w:r w:rsidRPr="00F039D6">
        <w:rPr>
          <w:lang w:val="en-US"/>
        </w:rPr>
        <w:t xml:space="preserve"> </w:t>
      </w:r>
      <w:r w:rsidR="002B73A2" w:rsidRPr="00F039D6">
        <w:rPr>
          <w:lang w:val="en-US"/>
        </w:rPr>
        <w:t>(</w:t>
      </w:r>
      <w:r w:rsidR="007D0547">
        <w:rPr>
          <w:b/>
          <w:bCs/>
          <w:lang w:val="en-US"/>
        </w:rPr>
        <w:t>B</w:t>
      </w:r>
      <w:r w:rsidR="002B73A2" w:rsidRPr="00F039D6">
        <w:rPr>
          <w:lang w:val="en-US"/>
        </w:rPr>
        <w:t>)</w:t>
      </w:r>
      <w:r w:rsidR="002B73A2">
        <w:rPr>
          <w:lang w:val="en-US"/>
        </w:rPr>
        <w:t xml:space="preserve"> </w:t>
      </w:r>
      <w:r w:rsidRPr="002B73A2">
        <w:rPr>
          <w:b/>
          <w:bCs/>
          <w:lang w:val="en-US"/>
        </w:rPr>
        <w:t>height</w:t>
      </w:r>
      <w:r w:rsidRPr="00F039D6">
        <w:rPr>
          <w:lang w:val="en-US"/>
        </w:rPr>
        <w:t xml:space="preserve"> (</w:t>
      </w:r>
      <w:proofErr w:type="spellStart"/>
      <w:r w:rsidRPr="00F039D6">
        <w:rPr>
          <w:lang w:val="en-US"/>
        </w:rPr>
        <w:t>C</w:t>
      </w:r>
      <w:r w:rsidRPr="00F039D6">
        <w:rPr>
          <w:vertAlign w:val="subscript"/>
          <w:lang w:val="en-US"/>
        </w:rPr>
        <w:t>max</w:t>
      </w:r>
      <w:proofErr w:type="spellEnd"/>
      <w:r w:rsidRPr="00F039D6">
        <w:rPr>
          <w:lang w:val="en-US"/>
        </w:rPr>
        <w:t>)</w:t>
      </w:r>
      <w:r w:rsidR="00E31E05">
        <w:rPr>
          <w:lang w:val="en-US"/>
        </w:rPr>
        <w:t>,</w:t>
      </w:r>
      <w:r w:rsidRPr="00F039D6">
        <w:rPr>
          <w:lang w:val="en-US"/>
        </w:rPr>
        <w:t xml:space="preserve"> and </w:t>
      </w:r>
      <w:r w:rsidR="002B73A2" w:rsidRPr="00F039D6">
        <w:rPr>
          <w:lang w:val="en-US"/>
        </w:rPr>
        <w:t>(</w:t>
      </w:r>
      <w:r w:rsidR="007D0547">
        <w:rPr>
          <w:b/>
          <w:bCs/>
          <w:lang w:val="en-US"/>
        </w:rPr>
        <w:t>C</w:t>
      </w:r>
      <w:r w:rsidR="002B73A2" w:rsidRPr="00F039D6">
        <w:rPr>
          <w:lang w:val="en-US"/>
        </w:rPr>
        <w:t xml:space="preserve">) </w:t>
      </w:r>
      <w:r w:rsidRPr="002B73A2">
        <w:rPr>
          <w:b/>
          <w:bCs/>
          <w:lang w:val="en-US"/>
        </w:rPr>
        <w:t>time</w:t>
      </w:r>
      <w:r w:rsidRPr="00F039D6">
        <w:rPr>
          <w:lang w:val="en-US"/>
        </w:rPr>
        <w:t xml:space="preserve"> to reach </w:t>
      </w:r>
      <w:proofErr w:type="spellStart"/>
      <w:r w:rsidRPr="00F039D6">
        <w:rPr>
          <w:lang w:val="en-US"/>
        </w:rPr>
        <w:t>C</w:t>
      </w:r>
      <w:r w:rsidRPr="00F039D6">
        <w:rPr>
          <w:vertAlign w:val="subscript"/>
          <w:lang w:val="en-US"/>
        </w:rPr>
        <w:t>max</w:t>
      </w:r>
      <w:proofErr w:type="spellEnd"/>
      <w:r w:rsidRPr="00F039D6">
        <w:rPr>
          <w:b/>
          <w:bCs/>
          <w:lang w:val="en-US"/>
        </w:rPr>
        <w:t xml:space="preserve"> </w:t>
      </w:r>
      <w:r w:rsidRPr="00F039D6">
        <w:rPr>
          <w:lang w:val="en-US"/>
        </w:rPr>
        <w:t>(</w:t>
      </w:r>
      <w:proofErr w:type="spellStart"/>
      <w:r w:rsidRPr="00F039D6">
        <w:rPr>
          <w:lang w:val="en-US"/>
        </w:rPr>
        <w:t>T</w:t>
      </w:r>
      <w:r w:rsidRPr="00F039D6">
        <w:rPr>
          <w:vertAlign w:val="subscript"/>
          <w:lang w:val="en-US"/>
        </w:rPr>
        <w:t>max</w:t>
      </w:r>
      <w:proofErr w:type="spellEnd"/>
      <w:r w:rsidRPr="00F039D6">
        <w:rPr>
          <w:lang w:val="en-US"/>
        </w:rPr>
        <w:t>)</w:t>
      </w:r>
      <w:r w:rsidR="002B73A2">
        <w:rPr>
          <w:lang w:val="en-US"/>
        </w:rPr>
        <w:t>.</w:t>
      </w:r>
      <w:r w:rsidRPr="00F039D6">
        <w:rPr>
          <w:b/>
          <w:bCs/>
          <w:lang w:val="en-US"/>
        </w:rPr>
        <w:t xml:space="preserve"> </w:t>
      </w:r>
      <w:r w:rsidRPr="00F039D6">
        <w:rPr>
          <w:lang w:val="en-US"/>
        </w:rPr>
        <w:t xml:space="preserve">BR peaks resulted from sequential </w:t>
      </w:r>
      <w:proofErr w:type="spellStart"/>
      <w:r w:rsidRPr="00F039D6">
        <w:rPr>
          <w:lang w:val="en-US"/>
        </w:rPr>
        <w:t>boli</w:t>
      </w:r>
      <w:proofErr w:type="spellEnd"/>
      <w:r w:rsidRPr="00F039D6">
        <w:rPr>
          <w:lang w:val="en-US"/>
        </w:rPr>
        <w:t xml:space="preserve"> of 0.05 mM BR and 2 mM </w:t>
      </w:r>
      <w:r w:rsidR="00E31E05" w:rsidRPr="00E31E05">
        <w:rPr>
          <w:lang w:val="en-US"/>
        </w:rPr>
        <w:t>cyanidin 3-glucoside</w:t>
      </w:r>
      <w:r w:rsidR="00E31E05" w:rsidRPr="00F039D6">
        <w:rPr>
          <w:lang w:val="en-US"/>
        </w:rPr>
        <w:t xml:space="preserve"> </w:t>
      </w:r>
      <w:r w:rsidR="00E31E05">
        <w:rPr>
          <w:lang w:val="en-US"/>
        </w:rPr>
        <w:t>(</w:t>
      </w:r>
      <w:r w:rsidRPr="00F039D6">
        <w:rPr>
          <w:lang w:val="en-US"/>
        </w:rPr>
        <w:t>C3G</w:t>
      </w:r>
      <w:r w:rsidR="00E31E05">
        <w:rPr>
          <w:lang w:val="en-US"/>
        </w:rPr>
        <w:t>)</w:t>
      </w:r>
      <w:r w:rsidRPr="00F039D6">
        <w:rPr>
          <w:lang w:val="en-US"/>
        </w:rPr>
        <w:t xml:space="preserve"> (liver</w:t>
      </w:r>
      <w:r w:rsidR="00E31E05">
        <w:rPr>
          <w:lang w:val="en-US"/>
        </w:rPr>
        <w:t>s:</w:t>
      </w:r>
      <w:r w:rsidRPr="00F039D6">
        <w:rPr>
          <w:lang w:val="en-US"/>
        </w:rPr>
        <w:t xml:space="preserve"> n = 18 for 1</w:t>
      </w:r>
      <w:r w:rsidRPr="00F039D6">
        <w:rPr>
          <w:vertAlign w:val="superscript"/>
          <w:lang w:val="en-US"/>
        </w:rPr>
        <w:t>st</w:t>
      </w:r>
      <w:r w:rsidRPr="00F039D6">
        <w:rPr>
          <w:lang w:val="en-US"/>
        </w:rPr>
        <w:t xml:space="preserve"> bolus; n = 15 for 2</w:t>
      </w:r>
      <w:r w:rsidRPr="00F039D6">
        <w:rPr>
          <w:vertAlign w:val="superscript"/>
          <w:lang w:val="en-US"/>
        </w:rPr>
        <w:t>nd</w:t>
      </w:r>
      <w:r w:rsidRPr="00F039D6">
        <w:rPr>
          <w:lang w:val="en-US"/>
        </w:rPr>
        <w:t xml:space="preserve"> bolus; n = 10 for 3</w:t>
      </w:r>
      <w:r w:rsidRPr="00F039D6">
        <w:rPr>
          <w:vertAlign w:val="superscript"/>
          <w:lang w:val="en-US"/>
        </w:rPr>
        <w:t xml:space="preserve">rd </w:t>
      </w:r>
      <w:r w:rsidRPr="00F039D6">
        <w:rPr>
          <w:lang w:val="en-US"/>
        </w:rPr>
        <w:t>bolus; n = 9 for 4</w:t>
      </w:r>
      <w:r w:rsidRPr="00F039D6">
        <w:rPr>
          <w:vertAlign w:val="superscript"/>
          <w:lang w:val="en-US"/>
        </w:rPr>
        <w:t>th</w:t>
      </w:r>
      <w:r w:rsidRPr="00F039D6">
        <w:rPr>
          <w:lang w:val="en-US"/>
        </w:rPr>
        <w:t xml:space="preserve"> bolus).</w:t>
      </w:r>
      <w:r w:rsidRPr="00E414AB">
        <w:rPr>
          <w:lang w:val="en-US"/>
        </w:rPr>
        <w:t xml:space="preserve"> </w:t>
      </w:r>
      <w:r>
        <w:rPr>
          <w:lang w:val="en-US"/>
        </w:rPr>
        <w:t xml:space="preserve"> </w:t>
      </w:r>
    </w:p>
    <w:p w14:paraId="6AB20893" w14:textId="788CE05A" w:rsidR="00D655B9" w:rsidRDefault="00D655B9" w:rsidP="003B76E2">
      <w:pPr>
        <w:ind w:left="708"/>
        <w:jc w:val="both"/>
        <w:rPr>
          <w:color w:val="000000" w:themeColor="text1"/>
          <w:lang w:val="en-US"/>
        </w:rPr>
      </w:pPr>
    </w:p>
    <w:p w14:paraId="4F87E7E9" w14:textId="266A126E" w:rsidR="00D655B9" w:rsidRDefault="00D655B9" w:rsidP="003B76E2">
      <w:pPr>
        <w:ind w:left="708"/>
        <w:jc w:val="both"/>
        <w:rPr>
          <w:color w:val="000000" w:themeColor="text1"/>
          <w:lang w:val="en-US"/>
        </w:rPr>
      </w:pPr>
    </w:p>
    <w:p w14:paraId="4E51CEF1" w14:textId="07F7E3D8" w:rsidR="00D655B9" w:rsidRDefault="00D655B9" w:rsidP="003B76E2">
      <w:pPr>
        <w:ind w:left="708"/>
        <w:jc w:val="both"/>
        <w:rPr>
          <w:color w:val="000000" w:themeColor="text1"/>
          <w:lang w:val="en-US"/>
        </w:rPr>
      </w:pPr>
    </w:p>
    <w:p w14:paraId="6A8F0C60" w14:textId="77777777" w:rsidR="00065D06" w:rsidRDefault="00065D06" w:rsidP="003B76E2">
      <w:pPr>
        <w:jc w:val="both"/>
        <w:rPr>
          <w:b/>
          <w:bCs/>
          <w:sz w:val="28"/>
          <w:szCs w:val="28"/>
          <w:lang w:val="en-US"/>
        </w:rPr>
      </w:pPr>
      <w:r>
        <w:rPr>
          <w:b/>
          <w:bCs/>
          <w:sz w:val="28"/>
          <w:szCs w:val="28"/>
          <w:lang w:val="en-US"/>
        </w:rPr>
        <w:br w:type="page"/>
      </w:r>
    </w:p>
    <w:p w14:paraId="2F6EE711" w14:textId="221021A2" w:rsidR="00065D06" w:rsidRPr="00150439" w:rsidRDefault="00150439" w:rsidP="003B76E2">
      <w:pPr>
        <w:pStyle w:val="Titolo2"/>
        <w:jc w:val="both"/>
        <w:rPr>
          <w:lang w:val="en-US"/>
        </w:rPr>
      </w:pPr>
      <w:bookmarkStart w:id="21" w:name="_Toc89853428"/>
      <w:r w:rsidRPr="00150439">
        <w:rPr>
          <w:lang w:val="en-US"/>
        </w:rPr>
        <w:lastRenderedPageBreak/>
        <w:t>Fig. S4.</w:t>
      </w:r>
      <w:r w:rsidR="00065D06" w:rsidRPr="00150439">
        <w:rPr>
          <w:lang w:val="en-US"/>
        </w:rPr>
        <w:t xml:space="preserve"> Analysis of bilirubin peaks triggered by the co-injection of bilirubin with cyanidin 3-glucoside or pravastatin</w:t>
      </w:r>
      <w:bookmarkEnd w:id="21"/>
      <w:r w:rsidR="00065D06" w:rsidRPr="00150439">
        <w:rPr>
          <w:lang w:val="en-US"/>
        </w:rPr>
        <w:t xml:space="preserve"> </w:t>
      </w:r>
    </w:p>
    <w:p w14:paraId="4BEC9BFA" w14:textId="77777777" w:rsidR="00D655B9" w:rsidRDefault="00D655B9" w:rsidP="003B76E2">
      <w:pPr>
        <w:ind w:left="708"/>
        <w:jc w:val="both"/>
        <w:rPr>
          <w:color w:val="000000" w:themeColor="text1"/>
          <w:lang w:val="en-US"/>
        </w:rPr>
      </w:pPr>
    </w:p>
    <w:p w14:paraId="5EFEA891" w14:textId="4199B9B6" w:rsidR="008E3595" w:rsidRPr="003C36E9" w:rsidRDefault="00103ADD" w:rsidP="003B76E2">
      <w:pPr>
        <w:jc w:val="both"/>
        <w:rPr>
          <w:color w:val="000000" w:themeColor="text1"/>
          <w:lang w:val="en-US"/>
        </w:rPr>
      </w:pPr>
      <w:r>
        <w:rPr>
          <w:noProof/>
          <w:color w:val="000000" w:themeColor="text1"/>
          <w:lang w:val="en-US"/>
        </w:rPr>
        <w:drawing>
          <wp:inline distT="0" distB="0" distL="0" distR="0" wp14:anchorId="4176539C" wp14:editId="73FAA9E3">
            <wp:extent cx="5731510" cy="5172075"/>
            <wp:effectExtent l="0" t="0" r="0" b="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magine 10"/>
                    <pic:cNvPicPr/>
                  </pic:nvPicPr>
                  <pic:blipFill rotWithShape="1">
                    <a:blip r:embed="rId17" cstate="print">
                      <a:extLst>
                        <a:ext uri="{28A0092B-C50C-407E-A947-70E740481C1C}">
                          <a14:useLocalDpi xmlns:a14="http://schemas.microsoft.com/office/drawing/2010/main" val="0"/>
                        </a:ext>
                      </a:extLst>
                    </a:blip>
                    <a:srcRect t="28382"/>
                    <a:stretch/>
                  </pic:blipFill>
                  <pic:spPr bwMode="auto">
                    <a:xfrm>
                      <a:off x="0" y="0"/>
                      <a:ext cx="5731510" cy="5172075"/>
                    </a:xfrm>
                    <a:prstGeom prst="rect">
                      <a:avLst/>
                    </a:prstGeom>
                    <a:ln>
                      <a:noFill/>
                    </a:ln>
                    <a:extLst>
                      <a:ext uri="{53640926-AAD7-44D8-BBD7-CCE9431645EC}">
                        <a14:shadowObscured xmlns:a14="http://schemas.microsoft.com/office/drawing/2010/main"/>
                      </a:ext>
                    </a:extLst>
                  </pic:spPr>
                </pic:pic>
              </a:graphicData>
            </a:graphic>
          </wp:inline>
        </w:drawing>
      </w:r>
    </w:p>
    <w:p w14:paraId="6A959A6A" w14:textId="77777777" w:rsidR="008E3595" w:rsidRDefault="008E3595" w:rsidP="003B76E2">
      <w:pPr>
        <w:jc w:val="both"/>
        <w:rPr>
          <w:lang w:val="en-US"/>
        </w:rPr>
      </w:pPr>
    </w:p>
    <w:p w14:paraId="36C03FE8" w14:textId="0C003978" w:rsidR="003C36E9" w:rsidRDefault="008E3595" w:rsidP="003B76E2">
      <w:pPr>
        <w:jc w:val="both"/>
        <w:rPr>
          <w:lang w:val="en-US"/>
        </w:rPr>
      </w:pPr>
      <w:r w:rsidRPr="006364BC">
        <w:rPr>
          <w:b/>
          <w:bCs/>
          <w:lang w:val="en-US"/>
        </w:rPr>
        <w:t>Fig. S</w:t>
      </w:r>
      <w:r w:rsidR="00150439">
        <w:rPr>
          <w:b/>
          <w:bCs/>
          <w:lang w:val="en-US"/>
        </w:rPr>
        <w:t>4</w:t>
      </w:r>
      <w:r w:rsidRPr="006364BC">
        <w:rPr>
          <w:b/>
          <w:bCs/>
          <w:lang w:val="en-US"/>
        </w:rPr>
        <w:t>.</w:t>
      </w:r>
      <w:r w:rsidRPr="00F46211">
        <w:rPr>
          <w:lang w:val="en-US"/>
        </w:rPr>
        <w:t xml:space="preserve"> </w:t>
      </w:r>
      <w:r w:rsidRPr="00F46211">
        <w:rPr>
          <w:b/>
          <w:bCs/>
          <w:lang w:val="en-US"/>
        </w:rPr>
        <w:t xml:space="preserve">The effect of </w:t>
      </w:r>
      <w:r w:rsidR="00655603" w:rsidRPr="00655603">
        <w:rPr>
          <w:b/>
          <w:bCs/>
          <w:lang w:val="en-US"/>
        </w:rPr>
        <w:t xml:space="preserve">cyanidin 3-glucoside or pravastatin </w:t>
      </w:r>
      <w:r w:rsidRPr="00F46211">
        <w:rPr>
          <w:b/>
          <w:bCs/>
          <w:lang w:val="en-US"/>
        </w:rPr>
        <w:t>on BR peaks in the hepatic venous effluent</w:t>
      </w:r>
      <w:r w:rsidRPr="00F46211">
        <w:rPr>
          <w:lang w:val="en-US"/>
        </w:rPr>
        <w:t>.</w:t>
      </w:r>
      <w:r w:rsidRPr="00F46211">
        <w:rPr>
          <w:b/>
          <w:bCs/>
          <w:lang w:val="en-US"/>
        </w:rPr>
        <w:t xml:space="preserve"> </w:t>
      </w:r>
      <w:r w:rsidRPr="00F46211">
        <w:rPr>
          <w:lang w:val="en-US"/>
        </w:rPr>
        <w:t xml:space="preserve">Box plots of </w:t>
      </w:r>
      <w:r w:rsidR="00655603">
        <w:rPr>
          <w:lang w:val="en-US"/>
        </w:rPr>
        <w:t>bilirubin (</w:t>
      </w:r>
      <w:r w:rsidRPr="00F46211">
        <w:rPr>
          <w:lang w:val="en-US"/>
        </w:rPr>
        <w:t>BR</w:t>
      </w:r>
      <w:r w:rsidR="00655603">
        <w:rPr>
          <w:lang w:val="en-US"/>
        </w:rPr>
        <w:t>)</w:t>
      </w:r>
      <w:r w:rsidRPr="00F46211">
        <w:rPr>
          <w:lang w:val="en-US"/>
        </w:rPr>
        <w:t xml:space="preserve"> peak descriptors</w:t>
      </w:r>
      <w:r w:rsidR="00655603">
        <w:rPr>
          <w:lang w:val="en-US"/>
        </w:rPr>
        <w:t xml:space="preserve">: </w:t>
      </w:r>
      <w:r w:rsidR="004E48E2" w:rsidRPr="00F46211">
        <w:rPr>
          <w:lang w:val="en-US"/>
        </w:rPr>
        <w:t>(</w:t>
      </w:r>
      <w:r w:rsidR="007D0547">
        <w:rPr>
          <w:b/>
          <w:bCs/>
          <w:lang w:val="en-US"/>
        </w:rPr>
        <w:t>A</w:t>
      </w:r>
      <w:r w:rsidR="004E48E2" w:rsidRPr="00F46211">
        <w:rPr>
          <w:lang w:val="en-US"/>
        </w:rPr>
        <w:t>)</w:t>
      </w:r>
      <w:r w:rsidR="004E48E2">
        <w:rPr>
          <w:lang w:val="en-US"/>
        </w:rPr>
        <w:t xml:space="preserve"> </w:t>
      </w:r>
      <w:r w:rsidRPr="004E48E2">
        <w:rPr>
          <w:b/>
          <w:bCs/>
          <w:lang w:val="en-US"/>
        </w:rPr>
        <w:t>areas</w:t>
      </w:r>
      <w:r w:rsidRPr="00F46211">
        <w:rPr>
          <w:lang w:val="en-US"/>
        </w:rPr>
        <w:t xml:space="preserve"> (AUC)</w:t>
      </w:r>
      <w:r w:rsidR="00655603">
        <w:rPr>
          <w:lang w:val="en-US"/>
        </w:rPr>
        <w:t xml:space="preserve">, </w:t>
      </w:r>
      <w:r w:rsidR="004E48E2" w:rsidRPr="00F46211">
        <w:rPr>
          <w:lang w:val="en-US"/>
        </w:rPr>
        <w:t>(</w:t>
      </w:r>
      <w:r w:rsidR="007D0547">
        <w:rPr>
          <w:b/>
          <w:bCs/>
          <w:lang w:val="en-US"/>
        </w:rPr>
        <w:t>B</w:t>
      </w:r>
      <w:r w:rsidR="004E48E2" w:rsidRPr="00F46211">
        <w:rPr>
          <w:lang w:val="en-US"/>
        </w:rPr>
        <w:t>)</w:t>
      </w:r>
      <w:r w:rsidR="004E48E2">
        <w:rPr>
          <w:lang w:val="en-US"/>
        </w:rPr>
        <w:t xml:space="preserve"> </w:t>
      </w:r>
      <w:r w:rsidRPr="004E48E2">
        <w:rPr>
          <w:b/>
          <w:bCs/>
          <w:lang w:val="en-US"/>
        </w:rPr>
        <w:t>heights</w:t>
      </w:r>
      <w:r w:rsidRPr="00F46211">
        <w:rPr>
          <w:lang w:val="en-US"/>
        </w:rPr>
        <w:t xml:space="preserve"> (</w:t>
      </w:r>
      <w:proofErr w:type="spellStart"/>
      <w:r w:rsidRPr="00F46211">
        <w:rPr>
          <w:lang w:val="en-US"/>
        </w:rPr>
        <w:t>C</w:t>
      </w:r>
      <w:r w:rsidRPr="00F46211">
        <w:rPr>
          <w:vertAlign w:val="subscript"/>
          <w:lang w:val="en-US"/>
        </w:rPr>
        <w:t>max</w:t>
      </w:r>
      <w:proofErr w:type="spellEnd"/>
      <w:r w:rsidRPr="00F46211">
        <w:rPr>
          <w:lang w:val="en-US"/>
        </w:rPr>
        <w:t>)</w:t>
      </w:r>
      <w:r w:rsidR="00655603">
        <w:rPr>
          <w:lang w:val="en-US"/>
        </w:rPr>
        <w:t>,</w:t>
      </w:r>
      <w:r w:rsidRPr="00F46211">
        <w:rPr>
          <w:lang w:val="en-US"/>
        </w:rPr>
        <w:t xml:space="preserve"> and </w:t>
      </w:r>
      <w:r w:rsidR="004E48E2" w:rsidRPr="00F46211">
        <w:rPr>
          <w:lang w:val="en-US"/>
        </w:rPr>
        <w:t>(</w:t>
      </w:r>
      <w:r w:rsidR="007D0547">
        <w:rPr>
          <w:b/>
          <w:bCs/>
          <w:lang w:val="en-US"/>
        </w:rPr>
        <w:t>C</w:t>
      </w:r>
      <w:r w:rsidR="004E48E2" w:rsidRPr="00F46211">
        <w:rPr>
          <w:lang w:val="en-US"/>
        </w:rPr>
        <w:t>)</w:t>
      </w:r>
      <w:r w:rsidR="004E48E2">
        <w:rPr>
          <w:lang w:val="en-US"/>
        </w:rPr>
        <w:t xml:space="preserve"> </w:t>
      </w:r>
      <w:r w:rsidRPr="004E48E2">
        <w:rPr>
          <w:b/>
          <w:bCs/>
          <w:lang w:val="en-US"/>
        </w:rPr>
        <w:t>time</w:t>
      </w:r>
      <w:r w:rsidRPr="00F46211">
        <w:rPr>
          <w:lang w:val="en-US"/>
        </w:rPr>
        <w:t xml:space="preserve"> to reach </w:t>
      </w:r>
      <w:proofErr w:type="spellStart"/>
      <w:r w:rsidRPr="00F46211">
        <w:rPr>
          <w:lang w:val="en-US"/>
        </w:rPr>
        <w:t>C</w:t>
      </w:r>
      <w:r w:rsidRPr="00F46211">
        <w:rPr>
          <w:vertAlign w:val="subscript"/>
          <w:lang w:val="en-US"/>
        </w:rPr>
        <w:t>max</w:t>
      </w:r>
      <w:proofErr w:type="spellEnd"/>
      <w:r w:rsidRPr="00F46211">
        <w:rPr>
          <w:b/>
          <w:bCs/>
          <w:lang w:val="en-US"/>
        </w:rPr>
        <w:t xml:space="preserve"> </w:t>
      </w:r>
      <w:r w:rsidRPr="00F46211">
        <w:rPr>
          <w:lang w:val="en-US"/>
        </w:rPr>
        <w:t>(</w:t>
      </w:r>
      <w:proofErr w:type="spellStart"/>
      <w:r w:rsidRPr="00F46211">
        <w:rPr>
          <w:lang w:val="en-US"/>
        </w:rPr>
        <w:t>T</w:t>
      </w:r>
      <w:r w:rsidRPr="00F46211">
        <w:rPr>
          <w:vertAlign w:val="subscript"/>
          <w:lang w:val="en-US"/>
        </w:rPr>
        <w:t>max</w:t>
      </w:r>
      <w:proofErr w:type="spellEnd"/>
      <w:r w:rsidRPr="00F46211">
        <w:rPr>
          <w:lang w:val="en-US"/>
        </w:rPr>
        <w:t xml:space="preserve">). BR peaks resulted from </w:t>
      </w:r>
      <w:proofErr w:type="spellStart"/>
      <w:r w:rsidRPr="00F46211">
        <w:rPr>
          <w:lang w:val="en-US"/>
        </w:rPr>
        <w:t>boli</w:t>
      </w:r>
      <w:proofErr w:type="spellEnd"/>
      <w:r w:rsidRPr="00F46211">
        <w:rPr>
          <w:lang w:val="en-US"/>
        </w:rPr>
        <w:t xml:space="preserve"> of 0.05 mM BR without (empty symbols) or with either 2 mM </w:t>
      </w:r>
      <w:r w:rsidR="00655603" w:rsidRPr="00655603">
        <w:rPr>
          <w:lang w:val="en-US"/>
        </w:rPr>
        <w:t>cyanidin 3-glucoside</w:t>
      </w:r>
      <w:r w:rsidR="00655603" w:rsidRPr="00655603">
        <w:rPr>
          <w:b/>
          <w:bCs/>
          <w:lang w:val="en-US"/>
        </w:rPr>
        <w:t xml:space="preserve"> </w:t>
      </w:r>
      <w:r w:rsidR="00655603">
        <w:rPr>
          <w:lang w:val="en-US"/>
        </w:rPr>
        <w:t>(</w:t>
      </w:r>
      <w:r w:rsidRPr="00F46211">
        <w:rPr>
          <w:lang w:val="en-US"/>
        </w:rPr>
        <w:t>C3G</w:t>
      </w:r>
      <w:r w:rsidR="00655603">
        <w:rPr>
          <w:lang w:val="en-US"/>
        </w:rPr>
        <w:t>)</w:t>
      </w:r>
      <w:r w:rsidRPr="00F46211">
        <w:rPr>
          <w:lang w:val="en-US"/>
        </w:rPr>
        <w:t xml:space="preserve"> (livers</w:t>
      </w:r>
      <w:r w:rsidR="00655603">
        <w:rPr>
          <w:lang w:val="en-US"/>
        </w:rPr>
        <w:t>,</w:t>
      </w:r>
      <w:r w:rsidRPr="00F46211">
        <w:rPr>
          <w:lang w:val="en-US"/>
        </w:rPr>
        <w:t xml:space="preserve"> n = 21; peak areas</w:t>
      </w:r>
      <w:r w:rsidR="00655603">
        <w:rPr>
          <w:lang w:val="en-US"/>
        </w:rPr>
        <w:t>,</w:t>
      </w:r>
      <w:r w:rsidRPr="00F46211">
        <w:rPr>
          <w:lang w:val="en-US"/>
        </w:rPr>
        <w:t xml:space="preserve"> n = 6</w:t>
      </w:r>
      <w:r>
        <w:rPr>
          <w:lang w:val="en-US"/>
        </w:rPr>
        <w:t>8</w:t>
      </w:r>
      <w:r w:rsidRPr="00F46211">
        <w:rPr>
          <w:lang w:val="en-US"/>
        </w:rPr>
        <w:t xml:space="preserve">) or 6 mM </w:t>
      </w:r>
      <w:r w:rsidR="00655603">
        <w:rPr>
          <w:lang w:val="en-US"/>
        </w:rPr>
        <w:t>pravastatin (</w:t>
      </w:r>
      <w:r w:rsidRPr="00F46211">
        <w:rPr>
          <w:lang w:val="en-US"/>
        </w:rPr>
        <w:t>PRV</w:t>
      </w:r>
      <w:r w:rsidR="00655603">
        <w:rPr>
          <w:lang w:val="en-US"/>
        </w:rPr>
        <w:t>)</w:t>
      </w:r>
      <w:r w:rsidRPr="00F46211">
        <w:rPr>
          <w:lang w:val="en-US"/>
        </w:rPr>
        <w:t xml:space="preserve"> (closed symbols) (livers</w:t>
      </w:r>
      <w:r w:rsidR="00655603">
        <w:rPr>
          <w:lang w:val="en-US"/>
        </w:rPr>
        <w:t>,</w:t>
      </w:r>
      <w:r w:rsidRPr="00F46211">
        <w:rPr>
          <w:lang w:val="en-US"/>
        </w:rPr>
        <w:t xml:space="preserve"> n = 6; peak areas</w:t>
      </w:r>
      <w:r w:rsidR="00655603">
        <w:rPr>
          <w:lang w:val="en-US"/>
        </w:rPr>
        <w:t>,</w:t>
      </w:r>
      <w:r w:rsidRPr="00F46211">
        <w:rPr>
          <w:lang w:val="en-US"/>
        </w:rPr>
        <w:t xml:space="preserve"> n = 21). </w:t>
      </w:r>
      <w:r w:rsidR="007D0547" w:rsidRPr="007D0547">
        <w:rPr>
          <w:b/>
          <w:bCs/>
          <w:lang w:val="en-US"/>
        </w:rPr>
        <w:t>(D)</w:t>
      </w:r>
      <w:r w:rsidR="003C36E9">
        <w:rPr>
          <w:b/>
          <w:bCs/>
          <w:lang w:val="en-US"/>
        </w:rPr>
        <w:t xml:space="preserve"> </w:t>
      </w:r>
      <w:r w:rsidR="003C36E9">
        <w:rPr>
          <w:lang w:val="en-US"/>
        </w:rPr>
        <w:t>D</w:t>
      </w:r>
      <w:r w:rsidR="003C36E9" w:rsidRPr="005B6F95">
        <w:rPr>
          <w:lang w:val="en-US"/>
        </w:rPr>
        <w:t xml:space="preserve">escriptive table of the </w:t>
      </w:r>
      <w:r w:rsidR="00103ADD">
        <w:rPr>
          <w:lang w:val="en-US"/>
        </w:rPr>
        <w:t xml:space="preserve">peak parameter </w:t>
      </w:r>
      <w:r w:rsidR="003C36E9" w:rsidRPr="005B6F95">
        <w:rPr>
          <w:lang w:val="en-US"/>
        </w:rPr>
        <w:t>statistics</w:t>
      </w:r>
      <w:r w:rsidR="00103ADD">
        <w:rPr>
          <w:lang w:val="en-US"/>
        </w:rPr>
        <w:t>.</w:t>
      </w:r>
    </w:p>
    <w:p w14:paraId="0851C940" w14:textId="0860756F" w:rsidR="008E3595" w:rsidRDefault="008E3595" w:rsidP="003B76E2">
      <w:pPr>
        <w:jc w:val="both"/>
        <w:rPr>
          <w:lang w:val="en-US"/>
        </w:rPr>
      </w:pPr>
    </w:p>
    <w:p w14:paraId="0FC68B99" w14:textId="77777777" w:rsidR="00821C3E" w:rsidRDefault="00821C3E" w:rsidP="003B76E2">
      <w:pPr>
        <w:jc w:val="both"/>
        <w:rPr>
          <w:b/>
          <w:bCs/>
          <w:sz w:val="28"/>
          <w:szCs w:val="28"/>
          <w:lang w:val="en-US"/>
        </w:rPr>
      </w:pPr>
      <w:r>
        <w:rPr>
          <w:b/>
          <w:bCs/>
          <w:sz w:val="28"/>
          <w:szCs w:val="28"/>
          <w:lang w:val="en-US"/>
        </w:rPr>
        <w:br w:type="page"/>
      </w:r>
    </w:p>
    <w:p w14:paraId="3CA655C0" w14:textId="6725FAC2" w:rsidR="005E3649" w:rsidRPr="001C57E2" w:rsidRDefault="001C57E2" w:rsidP="003B76E2">
      <w:pPr>
        <w:pStyle w:val="Titolo2"/>
        <w:jc w:val="both"/>
        <w:rPr>
          <w:lang w:val="en-US"/>
        </w:rPr>
      </w:pPr>
      <w:bookmarkStart w:id="22" w:name="_Toc89853429"/>
      <w:r w:rsidRPr="001C57E2">
        <w:rPr>
          <w:lang w:val="en-US"/>
        </w:rPr>
        <w:lastRenderedPageBreak/>
        <w:t>Fig. S5.</w:t>
      </w:r>
      <w:r w:rsidR="00821C3E" w:rsidRPr="001C57E2">
        <w:rPr>
          <w:lang w:val="en-US"/>
        </w:rPr>
        <w:t xml:space="preserve"> </w:t>
      </w:r>
      <w:r w:rsidR="00C5555E" w:rsidRPr="001C57E2">
        <w:rPr>
          <w:lang w:val="en-US"/>
        </w:rPr>
        <w:t>The reciprocal influence of cyanidin 3-glucoside and bilirubin o</w:t>
      </w:r>
      <w:r w:rsidR="00B5010C" w:rsidRPr="001C57E2">
        <w:rPr>
          <w:lang w:val="en-US"/>
        </w:rPr>
        <w:t>n</w:t>
      </w:r>
      <w:r w:rsidR="00C5555E" w:rsidRPr="001C57E2">
        <w:rPr>
          <w:lang w:val="en-US"/>
        </w:rPr>
        <w:t xml:space="preserve"> the bilirubin peak</w:t>
      </w:r>
      <w:r w:rsidR="00B5010C" w:rsidRPr="001C57E2">
        <w:rPr>
          <w:lang w:val="en-US"/>
        </w:rPr>
        <w:t xml:space="preserve"> </w:t>
      </w:r>
      <w:r w:rsidR="00C5555E" w:rsidRPr="001C57E2">
        <w:rPr>
          <w:lang w:val="en-US"/>
        </w:rPr>
        <w:t>s</w:t>
      </w:r>
      <w:r w:rsidR="00B5010C" w:rsidRPr="001C57E2">
        <w:rPr>
          <w:lang w:val="en-US"/>
        </w:rPr>
        <w:t>ize</w:t>
      </w:r>
      <w:bookmarkEnd w:id="22"/>
    </w:p>
    <w:p w14:paraId="5826FC29" w14:textId="77777777" w:rsidR="00026979" w:rsidRDefault="00026979" w:rsidP="003B76E2">
      <w:pPr>
        <w:widowControl w:val="0"/>
        <w:autoSpaceDE w:val="0"/>
        <w:autoSpaceDN w:val="0"/>
        <w:adjustRightInd w:val="0"/>
        <w:jc w:val="both"/>
        <w:rPr>
          <w:lang w:val="en-US"/>
        </w:rPr>
      </w:pPr>
    </w:p>
    <w:p w14:paraId="44A24F93" w14:textId="6192CF49" w:rsidR="008E3595" w:rsidRDefault="00026979" w:rsidP="003B76E2">
      <w:pPr>
        <w:widowControl w:val="0"/>
        <w:autoSpaceDE w:val="0"/>
        <w:autoSpaceDN w:val="0"/>
        <w:adjustRightInd w:val="0"/>
        <w:jc w:val="both"/>
        <w:rPr>
          <w:lang w:val="en-US"/>
        </w:rPr>
      </w:pPr>
      <w:r>
        <w:rPr>
          <w:lang w:val="en-US"/>
        </w:rPr>
        <w:t>A</w:t>
      </w:r>
    </w:p>
    <w:p w14:paraId="16351D6A" w14:textId="30546228" w:rsidR="005E3649" w:rsidRDefault="00031B4F" w:rsidP="003B76E2">
      <w:pPr>
        <w:jc w:val="both"/>
        <w:rPr>
          <w:b/>
          <w:bCs/>
          <w:lang w:val="en-US"/>
        </w:rPr>
      </w:pPr>
      <w:r>
        <w:rPr>
          <w:noProof/>
          <w:lang w:val="en-US"/>
        </w:rPr>
        <w:drawing>
          <wp:inline distT="0" distB="0" distL="0" distR="0" wp14:anchorId="30465839" wp14:editId="73B26D9D">
            <wp:extent cx="5731510" cy="5846445"/>
            <wp:effectExtent l="0" t="0" r="0" b="0"/>
            <wp:docPr id="11" name="Immagine 11"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descr="Immagine che contiene testo&#10;&#10;Descrizione generata automaticamente"/>
                    <pic:cNvPicPr/>
                  </pic:nvPicPr>
                  <pic:blipFill rotWithShape="1">
                    <a:blip r:embed="rId18" cstate="print">
                      <a:extLst>
                        <a:ext uri="{28A0092B-C50C-407E-A947-70E740481C1C}">
                          <a14:useLocalDpi xmlns:a14="http://schemas.microsoft.com/office/drawing/2010/main"/>
                        </a:ext>
                      </a:extLst>
                    </a:blip>
                    <a:srcRect/>
                    <a:stretch/>
                  </pic:blipFill>
                  <pic:spPr bwMode="auto">
                    <a:xfrm>
                      <a:off x="0" y="0"/>
                      <a:ext cx="5731510" cy="5846445"/>
                    </a:xfrm>
                    <a:prstGeom prst="rect">
                      <a:avLst/>
                    </a:prstGeom>
                    <a:ln>
                      <a:noFill/>
                    </a:ln>
                    <a:extLst>
                      <a:ext uri="{53640926-AAD7-44D8-BBD7-CCE9431645EC}">
                        <a14:shadowObscured xmlns:a14="http://schemas.microsoft.com/office/drawing/2010/main"/>
                      </a:ext>
                    </a:extLst>
                  </pic:spPr>
                </pic:pic>
              </a:graphicData>
            </a:graphic>
          </wp:inline>
        </w:drawing>
      </w:r>
    </w:p>
    <w:p w14:paraId="4FF33BF6" w14:textId="1BFA3F8F" w:rsidR="003C36E9" w:rsidRDefault="008E3595" w:rsidP="003B76E2">
      <w:pPr>
        <w:jc w:val="both"/>
        <w:rPr>
          <w:lang w:val="en-US"/>
        </w:rPr>
      </w:pPr>
      <w:r w:rsidRPr="006364BC">
        <w:rPr>
          <w:b/>
          <w:bCs/>
          <w:lang w:val="en-US"/>
        </w:rPr>
        <w:t>Fig. S</w:t>
      </w:r>
      <w:r w:rsidR="001C57E2">
        <w:rPr>
          <w:b/>
          <w:bCs/>
          <w:lang w:val="en-US"/>
        </w:rPr>
        <w:t>5</w:t>
      </w:r>
      <w:r w:rsidR="00012A9C">
        <w:rPr>
          <w:b/>
          <w:bCs/>
          <w:lang w:val="en-US"/>
        </w:rPr>
        <w:t>A</w:t>
      </w:r>
      <w:r w:rsidRPr="00C8482B">
        <w:rPr>
          <w:lang w:val="en-US"/>
        </w:rPr>
        <w:t xml:space="preserve">. </w:t>
      </w:r>
      <w:r w:rsidR="00012A9C" w:rsidRPr="00C8482B">
        <w:rPr>
          <w:b/>
          <w:bCs/>
          <w:lang w:val="en-US"/>
        </w:rPr>
        <w:t xml:space="preserve">The dose-dependent effect of </w:t>
      </w:r>
      <w:r w:rsidR="00655603">
        <w:rPr>
          <w:b/>
          <w:bCs/>
          <w:lang w:val="en-US"/>
        </w:rPr>
        <w:t>cyanidin 3-glucoside</w:t>
      </w:r>
      <w:r w:rsidR="00012A9C" w:rsidRPr="00C8482B">
        <w:rPr>
          <w:b/>
          <w:bCs/>
          <w:lang w:val="en-US"/>
        </w:rPr>
        <w:t xml:space="preserve"> on hepatic uptake of </w:t>
      </w:r>
      <w:r w:rsidR="003F0205">
        <w:rPr>
          <w:b/>
          <w:bCs/>
          <w:lang w:val="en-US"/>
        </w:rPr>
        <w:t>bilirubin</w:t>
      </w:r>
      <w:r w:rsidRPr="00C8482B">
        <w:rPr>
          <w:lang w:val="en-US"/>
        </w:rPr>
        <w:t xml:space="preserve">. </w:t>
      </w:r>
      <w:r w:rsidR="00D507CE" w:rsidRPr="00D507CE">
        <w:rPr>
          <w:b/>
          <w:bCs/>
          <w:lang w:val="en-US"/>
        </w:rPr>
        <w:t>(</w:t>
      </w:r>
      <w:r w:rsidR="007D0547">
        <w:rPr>
          <w:b/>
          <w:bCs/>
          <w:lang w:val="en-US"/>
        </w:rPr>
        <w:t>A</w:t>
      </w:r>
      <w:r w:rsidR="00D507CE" w:rsidRPr="00D507CE">
        <w:rPr>
          <w:b/>
          <w:bCs/>
          <w:lang w:val="en-US"/>
        </w:rPr>
        <w:t>)</w:t>
      </w:r>
      <w:r w:rsidRPr="00C8482B">
        <w:rPr>
          <w:lang w:val="en-US"/>
        </w:rPr>
        <w:t xml:space="preserve"> </w:t>
      </w:r>
      <w:r w:rsidRPr="00D507CE">
        <w:rPr>
          <w:b/>
          <w:bCs/>
          <w:lang w:val="en-US"/>
        </w:rPr>
        <w:t xml:space="preserve">Concentration of </w:t>
      </w:r>
      <w:r w:rsidR="00655603" w:rsidRPr="00D507CE">
        <w:rPr>
          <w:b/>
          <w:bCs/>
          <w:lang w:val="en-US"/>
        </w:rPr>
        <w:t>bilirubin (</w:t>
      </w:r>
      <w:r w:rsidRPr="00D507CE">
        <w:rPr>
          <w:b/>
          <w:bCs/>
          <w:lang w:val="en-US"/>
        </w:rPr>
        <w:t>BR</w:t>
      </w:r>
      <w:r w:rsidR="00655603" w:rsidRPr="00D507CE">
        <w:rPr>
          <w:b/>
          <w:bCs/>
          <w:lang w:val="en-US"/>
        </w:rPr>
        <w:t>)</w:t>
      </w:r>
      <w:r w:rsidRPr="00D507CE">
        <w:rPr>
          <w:b/>
          <w:bCs/>
          <w:lang w:val="en-US"/>
        </w:rPr>
        <w:t xml:space="preserve"> in the venous effluent</w:t>
      </w:r>
      <w:r w:rsidRPr="00C8482B">
        <w:rPr>
          <w:lang w:val="en-US"/>
        </w:rPr>
        <w:t xml:space="preserve"> of one representative isolated perfused rat liver</w:t>
      </w:r>
      <w:r w:rsidR="00655603">
        <w:rPr>
          <w:lang w:val="en-US"/>
        </w:rPr>
        <w:t>,</w:t>
      </w:r>
      <w:r w:rsidRPr="00C8482B">
        <w:rPr>
          <w:lang w:val="en-US"/>
        </w:rPr>
        <w:t xml:space="preserve"> following sequential </w:t>
      </w:r>
      <w:proofErr w:type="spellStart"/>
      <w:r w:rsidRPr="00C8482B">
        <w:rPr>
          <w:lang w:val="en-US"/>
        </w:rPr>
        <w:t>boli</w:t>
      </w:r>
      <w:proofErr w:type="spellEnd"/>
      <w:r w:rsidRPr="00C8482B">
        <w:rPr>
          <w:lang w:val="en-US"/>
        </w:rPr>
        <w:t xml:space="preserve"> of 0.05 mM BR without or with increasing </w:t>
      </w:r>
      <w:r w:rsidR="00655603">
        <w:rPr>
          <w:lang w:val="en-US"/>
        </w:rPr>
        <w:t>cyanidin 3-glucoside (</w:t>
      </w:r>
      <w:r w:rsidRPr="00C8482B">
        <w:rPr>
          <w:lang w:val="en-US"/>
        </w:rPr>
        <w:t>C3G</w:t>
      </w:r>
      <w:r w:rsidR="00655603">
        <w:rPr>
          <w:lang w:val="en-US"/>
        </w:rPr>
        <w:t>)</w:t>
      </w:r>
      <w:r w:rsidRPr="00C8482B">
        <w:rPr>
          <w:lang w:val="en-US"/>
        </w:rPr>
        <w:t xml:space="preserve"> concentrations. </w:t>
      </w:r>
      <w:r w:rsidR="00D507CE" w:rsidRPr="00D507CE">
        <w:rPr>
          <w:b/>
          <w:bCs/>
          <w:lang w:val="en-US"/>
        </w:rPr>
        <w:t>(</w:t>
      </w:r>
      <w:r w:rsidR="007D0547">
        <w:rPr>
          <w:b/>
          <w:bCs/>
          <w:lang w:val="en-US"/>
        </w:rPr>
        <w:t>B</w:t>
      </w:r>
      <w:r w:rsidR="00D507CE" w:rsidRPr="00D507CE">
        <w:rPr>
          <w:b/>
          <w:bCs/>
          <w:lang w:val="en-US"/>
        </w:rPr>
        <w:t>)</w:t>
      </w:r>
      <w:r w:rsidRPr="00D507CE">
        <w:rPr>
          <w:b/>
          <w:bCs/>
          <w:lang w:val="en-US"/>
        </w:rPr>
        <w:t xml:space="preserve"> Box plots of BR peak areas</w:t>
      </w:r>
      <w:r w:rsidRPr="00C8482B">
        <w:rPr>
          <w:lang w:val="en-US"/>
        </w:rPr>
        <w:t xml:space="preserve"> resulting from co-injection of BR with different C3G concentrations (livers</w:t>
      </w:r>
      <w:r w:rsidR="00655603">
        <w:rPr>
          <w:lang w:val="en-US"/>
        </w:rPr>
        <w:t>,</w:t>
      </w:r>
      <w:r w:rsidRPr="00C8482B">
        <w:rPr>
          <w:lang w:val="en-US"/>
        </w:rPr>
        <w:t xml:space="preserve"> n = 7; peak areas/group: 0 mM</w:t>
      </w:r>
      <w:r w:rsidR="00655603">
        <w:rPr>
          <w:lang w:val="en-US"/>
        </w:rPr>
        <w:t>,</w:t>
      </w:r>
      <w:r w:rsidRPr="00C8482B">
        <w:rPr>
          <w:lang w:val="en-US"/>
        </w:rPr>
        <w:t xml:space="preserve"> n = 14; 0.010 mM</w:t>
      </w:r>
      <w:r w:rsidR="00655603">
        <w:rPr>
          <w:lang w:val="en-US"/>
        </w:rPr>
        <w:t>,</w:t>
      </w:r>
      <w:r w:rsidRPr="00C8482B">
        <w:rPr>
          <w:lang w:val="en-US"/>
        </w:rPr>
        <w:t xml:space="preserve"> n = 4; 0.5 mM</w:t>
      </w:r>
      <w:r w:rsidR="00655603">
        <w:rPr>
          <w:lang w:val="en-US"/>
        </w:rPr>
        <w:t>,</w:t>
      </w:r>
      <w:r w:rsidRPr="00C8482B">
        <w:rPr>
          <w:lang w:val="en-US"/>
        </w:rPr>
        <w:t xml:space="preserve"> n = 13; 1 mM</w:t>
      </w:r>
      <w:r w:rsidR="00655603">
        <w:rPr>
          <w:lang w:val="en-US"/>
        </w:rPr>
        <w:t>,</w:t>
      </w:r>
      <w:r w:rsidRPr="00C8482B">
        <w:rPr>
          <w:lang w:val="en-US"/>
        </w:rPr>
        <w:t xml:space="preserve"> n = 13; 2 mM</w:t>
      </w:r>
      <w:r w:rsidR="00655603">
        <w:rPr>
          <w:lang w:val="en-US"/>
        </w:rPr>
        <w:t>,</w:t>
      </w:r>
      <w:r w:rsidRPr="00C8482B">
        <w:rPr>
          <w:lang w:val="en-US"/>
        </w:rPr>
        <w:t xml:space="preserve"> n = 13). </w:t>
      </w:r>
      <w:r w:rsidR="00D507CE" w:rsidRPr="00D507CE">
        <w:rPr>
          <w:b/>
          <w:bCs/>
          <w:lang w:val="en-US"/>
        </w:rPr>
        <w:t>(</w:t>
      </w:r>
      <w:r w:rsidR="007D0547">
        <w:rPr>
          <w:b/>
          <w:bCs/>
          <w:lang w:val="en-US"/>
        </w:rPr>
        <w:t>C)</w:t>
      </w:r>
      <w:r w:rsidRPr="00D507CE">
        <w:rPr>
          <w:b/>
          <w:bCs/>
          <w:lang w:val="en-US"/>
        </w:rPr>
        <w:t xml:space="preserve"> </w:t>
      </w:r>
      <w:r w:rsidR="00C5555E" w:rsidRPr="00D507CE">
        <w:rPr>
          <w:b/>
          <w:bCs/>
          <w:lang w:val="en-US"/>
        </w:rPr>
        <w:t>The dependence of the BR peak size on C3G concentration</w:t>
      </w:r>
      <w:r w:rsidR="00C5555E" w:rsidRPr="00C8482B">
        <w:rPr>
          <w:lang w:val="en-US"/>
        </w:rPr>
        <w:t xml:space="preserve"> </w:t>
      </w:r>
      <w:r w:rsidR="00C5555E">
        <w:rPr>
          <w:lang w:val="en-US"/>
        </w:rPr>
        <w:t>in the bolus of 0.05 mM BR</w:t>
      </w:r>
      <w:r w:rsidRPr="00134122">
        <w:rPr>
          <w:lang w:val="en-US"/>
        </w:rPr>
        <w:t>.</w:t>
      </w:r>
      <w:r w:rsidR="005E3649">
        <w:rPr>
          <w:lang w:val="en-US"/>
        </w:rPr>
        <w:t xml:space="preserve"> </w:t>
      </w:r>
      <w:r w:rsidR="00A3703F">
        <w:rPr>
          <w:lang w:val="en-US"/>
        </w:rPr>
        <w:t xml:space="preserve"> </w:t>
      </w:r>
    </w:p>
    <w:p w14:paraId="7DE6A34B" w14:textId="77777777" w:rsidR="00A3703F" w:rsidRDefault="00A3703F" w:rsidP="003B76E2">
      <w:pPr>
        <w:jc w:val="both"/>
        <w:rPr>
          <w:lang w:val="en-US"/>
        </w:rPr>
      </w:pPr>
    </w:p>
    <w:p w14:paraId="6A49B93C" w14:textId="59C39293" w:rsidR="008C0DA1" w:rsidRDefault="008C0DA1" w:rsidP="003B76E2">
      <w:pPr>
        <w:jc w:val="both"/>
        <w:rPr>
          <w:lang w:val="en-US"/>
        </w:rPr>
      </w:pPr>
      <w:r>
        <w:rPr>
          <w:lang w:val="en-US"/>
        </w:rPr>
        <w:t xml:space="preserve">COMMENT: </w:t>
      </w:r>
      <w:r w:rsidR="00E37FD8">
        <w:t>In this set of 3 experiments, increasing concentrations of C3G were tested in the BR boli in the same liver, yielding a linear dose-response up to 2 mM C3G</w:t>
      </w:r>
      <w:r>
        <w:rPr>
          <w:lang w:val="en-US"/>
        </w:rPr>
        <w:t>.</w:t>
      </w:r>
    </w:p>
    <w:p w14:paraId="3EDAE5D9" w14:textId="77777777" w:rsidR="007D0547" w:rsidRPr="00E37FD8" w:rsidRDefault="007D0547" w:rsidP="003B76E2">
      <w:pPr>
        <w:jc w:val="both"/>
      </w:pPr>
    </w:p>
    <w:p w14:paraId="237B547E" w14:textId="77777777" w:rsidR="008C0DA1" w:rsidRDefault="008C0DA1" w:rsidP="003B76E2">
      <w:pPr>
        <w:jc w:val="both"/>
        <w:rPr>
          <w:lang w:val="en-US"/>
        </w:rPr>
      </w:pPr>
    </w:p>
    <w:p w14:paraId="62CA8756" w14:textId="4B8E70AD" w:rsidR="003C36E9" w:rsidRDefault="00026979" w:rsidP="003B76E2">
      <w:pPr>
        <w:jc w:val="both"/>
        <w:rPr>
          <w:lang w:val="en-US"/>
        </w:rPr>
      </w:pPr>
      <w:r>
        <w:rPr>
          <w:lang w:val="en-US"/>
        </w:rPr>
        <w:lastRenderedPageBreak/>
        <w:t>B</w:t>
      </w:r>
    </w:p>
    <w:p w14:paraId="7A005C06" w14:textId="1814FB20" w:rsidR="003C36E9" w:rsidRDefault="00012A9C" w:rsidP="003B76E2">
      <w:pPr>
        <w:jc w:val="both"/>
        <w:rPr>
          <w:lang w:val="en-US"/>
        </w:rPr>
      </w:pPr>
      <w:r>
        <w:rPr>
          <w:b/>
          <w:bCs/>
          <w:noProof/>
          <w:lang w:val="en-US"/>
        </w:rPr>
        <w:drawing>
          <wp:inline distT="0" distB="0" distL="0" distR="0" wp14:anchorId="77F2B79D" wp14:editId="357AFCB2">
            <wp:extent cx="2373303" cy="5732895"/>
            <wp:effectExtent l="0" t="0" r="0" b="0"/>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magine 14"/>
                    <pic:cNvPicPr/>
                  </pic:nvPicPr>
                  <pic:blipFill rotWithShape="1">
                    <a:blip r:embed="rId19" cstate="print">
                      <a:extLst>
                        <a:ext uri="{28A0092B-C50C-407E-A947-70E740481C1C}">
                          <a14:useLocalDpi xmlns:a14="http://schemas.microsoft.com/office/drawing/2010/main" val="0"/>
                        </a:ext>
                      </a:extLst>
                    </a:blip>
                    <a:srcRect l="46077" t="16249"/>
                    <a:stretch/>
                  </pic:blipFill>
                  <pic:spPr bwMode="auto">
                    <a:xfrm rot="16200000">
                      <a:off x="0" y="0"/>
                      <a:ext cx="2447125" cy="5911217"/>
                    </a:xfrm>
                    <a:prstGeom prst="rect">
                      <a:avLst/>
                    </a:prstGeom>
                    <a:ln>
                      <a:noFill/>
                    </a:ln>
                    <a:extLst>
                      <a:ext uri="{53640926-AAD7-44D8-BBD7-CCE9431645EC}">
                        <a14:shadowObscured xmlns:a14="http://schemas.microsoft.com/office/drawing/2010/main"/>
                      </a:ext>
                    </a:extLst>
                  </pic:spPr>
                </pic:pic>
              </a:graphicData>
            </a:graphic>
          </wp:inline>
        </w:drawing>
      </w:r>
    </w:p>
    <w:p w14:paraId="0EC95F1D" w14:textId="776BFA69" w:rsidR="003C36E9" w:rsidRDefault="003C36E9" w:rsidP="003B76E2">
      <w:pPr>
        <w:ind w:left="708"/>
        <w:jc w:val="both"/>
        <w:rPr>
          <w:lang w:val="en-US"/>
        </w:rPr>
      </w:pPr>
    </w:p>
    <w:p w14:paraId="04727866" w14:textId="0FA7AA67" w:rsidR="003C36E9" w:rsidRDefault="00012A9C" w:rsidP="003B76E2">
      <w:pPr>
        <w:jc w:val="both"/>
        <w:rPr>
          <w:lang w:val="en-US"/>
        </w:rPr>
      </w:pPr>
      <w:r w:rsidRPr="006364BC">
        <w:rPr>
          <w:b/>
          <w:bCs/>
          <w:lang w:val="en-US"/>
        </w:rPr>
        <w:t>Fig. S</w:t>
      </w:r>
      <w:r w:rsidR="001C57E2">
        <w:rPr>
          <w:b/>
          <w:bCs/>
          <w:lang w:val="en-US"/>
        </w:rPr>
        <w:t>5</w:t>
      </w:r>
      <w:r>
        <w:rPr>
          <w:b/>
          <w:bCs/>
          <w:lang w:val="en-US"/>
        </w:rPr>
        <w:t>B</w:t>
      </w:r>
      <w:r w:rsidR="00655603">
        <w:rPr>
          <w:lang w:val="en-US"/>
        </w:rPr>
        <w:t xml:space="preserve"> </w:t>
      </w:r>
      <w:r w:rsidR="00655603" w:rsidRPr="00F44955">
        <w:rPr>
          <w:b/>
          <w:bCs/>
          <w:lang w:val="en-US"/>
        </w:rPr>
        <w:t xml:space="preserve">The effect of </w:t>
      </w:r>
      <w:r w:rsidR="00655603">
        <w:rPr>
          <w:b/>
          <w:bCs/>
          <w:lang w:val="en-US"/>
        </w:rPr>
        <w:t>cyanidin 3-glucoside</w:t>
      </w:r>
      <w:r w:rsidR="00655603" w:rsidRPr="00F44955">
        <w:rPr>
          <w:b/>
          <w:bCs/>
          <w:lang w:val="en-US"/>
        </w:rPr>
        <w:t xml:space="preserve"> on the hepatic uptake of </w:t>
      </w:r>
      <w:r w:rsidR="00655603">
        <w:rPr>
          <w:b/>
          <w:bCs/>
          <w:lang w:val="en-US"/>
        </w:rPr>
        <w:t>different bilirubin doses</w:t>
      </w:r>
      <w:r w:rsidR="00655603" w:rsidRPr="00F44955">
        <w:rPr>
          <w:b/>
          <w:bCs/>
          <w:lang w:val="en-US"/>
        </w:rPr>
        <w:t xml:space="preserve">. </w:t>
      </w:r>
      <w:r w:rsidR="00A3703F" w:rsidRPr="00A3703F">
        <w:rPr>
          <w:b/>
          <w:bCs/>
          <w:lang w:val="en-US"/>
        </w:rPr>
        <w:t>(</w:t>
      </w:r>
      <w:r w:rsidR="007D0547">
        <w:rPr>
          <w:b/>
          <w:bCs/>
          <w:lang w:val="en-US"/>
        </w:rPr>
        <w:t>A</w:t>
      </w:r>
      <w:r w:rsidR="00A3703F" w:rsidRPr="00A3703F">
        <w:rPr>
          <w:b/>
          <w:bCs/>
          <w:lang w:val="en-US"/>
        </w:rPr>
        <w:t>)</w:t>
      </w:r>
      <w:r w:rsidR="00655603" w:rsidRPr="00A3703F">
        <w:rPr>
          <w:b/>
          <w:bCs/>
          <w:lang w:val="en-US"/>
        </w:rPr>
        <w:t xml:space="preserve"> Concentrations of bilirubin (BR) in the venous effluent</w:t>
      </w:r>
      <w:r w:rsidR="00655603" w:rsidRPr="00F44955">
        <w:rPr>
          <w:lang w:val="en-US"/>
        </w:rPr>
        <w:t xml:space="preserve"> of a representative isolated perfused rat liver, following sequential intra-portal </w:t>
      </w:r>
      <w:proofErr w:type="spellStart"/>
      <w:r w:rsidR="00655603" w:rsidRPr="00F44955">
        <w:rPr>
          <w:lang w:val="en-US"/>
        </w:rPr>
        <w:t>boli</w:t>
      </w:r>
      <w:proofErr w:type="spellEnd"/>
      <w:r w:rsidR="00655603" w:rsidRPr="00F44955">
        <w:rPr>
          <w:lang w:val="en-US"/>
        </w:rPr>
        <w:t xml:space="preserve"> (</w:t>
      </w:r>
      <w:r w:rsidR="00655603" w:rsidRPr="00B62455">
        <w:rPr>
          <w:lang w:val="en-US"/>
        </w:rPr>
        <w:t>0.2 mL</w:t>
      </w:r>
      <w:r w:rsidR="00655603" w:rsidRPr="00F44955">
        <w:rPr>
          <w:lang w:val="en-US"/>
        </w:rPr>
        <w:t>) of 0.05</w:t>
      </w:r>
      <w:r w:rsidR="00655603">
        <w:rPr>
          <w:lang w:val="en-US"/>
        </w:rPr>
        <w:t>, 0.75</w:t>
      </w:r>
      <w:r w:rsidR="00861025">
        <w:rPr>
          <w:lang w:val="en-US"/>
        </w:rPr>
        <w:t>,</w:t>
      </w:r>
      <w:r w:rsidR="00655603">
        <w:rPr>
          <w:lang w:val="en-US"/>
        </w:rPr>
        <w:t xml:space="preserve"> 0.1</w:t>
      </w:r>
      <w:r w:rsidR="00655603" w:rsidRPr="00F44955">
        <w:rPr>
          <w:lang w:val="en-US"/>
        </w:rPr>
        <w:t xml:space="preserve"> mM BR</w:t>
      </w:r>
      <w:r w:rsidR="00861025">
        <w:rPr>
          <w:lang w:val="en-US"/>
        </w:rPr>
        <w:t>,</w:t>
      </w:r>
      <w:r w:rsidR="00655603" w:rsidRPr="00F44955">
        <w:rPr>
          <w:lang w:val="en-US"/>
        </w:rPr>
        <w:t xml:space="preserve"> without and with 2 mM </w:t>
      </w:r>
      <w:r w:rsidR="00655603" w:rsidRPr="005F21EA">
        <w:rPr>
          <w:lang w:val="en-US"/>
        </w:rPr>
        <w:t>cyanidin 3-glucoside</w:t>
      </w:r>
      <w:r w:rsidR="00655603" w:rsidRPr="00F44955">
        <w:rPr>
          <w:b/>
          <w:bCs/>
          <w:lang w:val="en-US"/>
        </w:rPr>
        <w:t xml:space="preserve"> </w:t>
      </w:r>
      <w:r w:rsidR="00655603">
        <w:rPr>
          <w:lang w:val="en-US"/>
        </w:rPr>
        <w:t>(</w:t>
      </w:r>
      <w:r w:rsidR="00655603" w:rsidRPr="00F44955">
        <w:rPr>
          <w:lang w:val="en-US"/>
        </w:rPr>
        <w:t>C3G</w:t>
      </w:r>
      <w:r w:rsidR="00655603">
        <w:rPr>
          <w:lang w:val="en-US"/>
        </w:rPr>
        <w:t xml:space="preserve">). </w:t>
      </w:r>
      <w:r w:rsidR="00A3703F" w:rsidRPr="00A3703F">
        <w:rPr>
          <w:b/>
          <w:bCs/>
          <w:lang w:val="en-US"/>
        </w:rPr>
        <w:t>(</w:t>
      </w:r>
      <w:r w:rsidR="007D0547">
        <w:rPr>
          <w:b/>
          <w:bCs/>
          <w:lang w:val="en-US"/>
        </w:rPr>
        <w:t>B</w:t>
      </w:r>
      <w:r w:rsidR="00A3703F" w:rsidRPr="00A3703F">
        <w:rPr>
          <w:b/>
          <w:bCs/>
          <w:lang w:val="en-US"/>
        </w:rPr>
        <w:t>)</w:t>
      </w:r>
      <w:r w:rsidR="00655603" w:rsidRPr="00A3703F">
        <w:rPr>
          <w:b/>
          <w:bCs/>
          <w:lang w:val="en-US"/>
        </w:rPr>
        <w:t xml:space="preserve"> Dependence of the BR peak size on the </w:t>
      </w:r>
      <w:r w:rsidR="00861025" w:rsidRPr="00A3703F">
        <w:rPr>
          <w:b/>
          <w:bCs/>
          <w:lang w:val="en-US"/>
        </w:rPr>
        <w:t xml:space="preserve">BR </w:t>
      </w:r>
      <w:r w:rsidR="006C46DE" w:rsidRPr="00A3703F">
        <w:rPr>
          <w:b/>
          <w:bCs/>
          <w:lang w:val="en-US"/>
        </w:rPr>
        <w:t>concentration</w:t>
      </w:r>
      <w:r w:rsidR="006C46DE">
        <w:rPr>
          <w:lang w:val="en-US"/>
        </w:rPr>
        <w:t xml:space="preserve"> in the bolus</w:t>
      </w:r>
      <w:r w:rsidR="00861025">
        <w:rPr>
          <w:lang w:val="en-US"/>
        </w:rPr>
        <w:t>.</w:t>
      </w:r>
    </w:p>
    <w:p w14:paraId="09E063EF" w14:textId="1F4677DA" w:rsidR="003C36E9" w:rsidRDefault="003C36E9" w:rsidP="003B76E2">
      <w:pPr>
        <w:ind w:left="708"/>
        <w:jc w:val="both"/>
        <w:rPr>
          <w:lang w:val="en-US"/>
        </w:rPr>
      </w:pPr>
    </w:p>
    <w:p w14:paraId="3AC20B7F" w14:textId="77777777" w:rsidR="00C7548C" w:rsidRDefault="00C7548C" w:rsidP="003B76E2">
      <w:pPr>
        <w:jc w:val="both"/>
      </w:pPr>
      <w:r>
        <w:t>COMMENT : In this single experiment, increasing concentrations of BR were injected along with the same C3G dose, resulting in BR peaks whose AUC decreased as a nonlinear function of BR concentration. The curve fitted to the data shows that small changes in BR bolus concentrations of 0.05 mM resulted in large changes in BR peak areas, providing evidence for the variable effect size of C3G (see Fig. 1C).</w:t>
      </w:r>
    </w:p>
    <w:p w14:paraId="46B0BECE" w14:textId="07B05D12" w:rsidR="00AA23B3" w:rsidRDefault="00AA23B3" w:rsidP="003B76E2">
      <w:pPr>
        <w:jc w:val="both"/>
        <w:rPr>
          <w:lang w:val="en-US"/>
        </w:rPr>
      </w:pPr>
      <w:r>
        <w:rPr>
          <w:lang w:val="en-US"/>
        </w:rPr>
        <w:br w:type="page"/>
      </w:r>
    </w:p>
    <w:p w14:paraId="35040287" w14:textId="55FADFDA" w:rsidR="003C36E9" w:rsidRPr="00AA23B3" w:rsidRDefault="00AA23B3" w:rsidP="003B76E2">
      <w:pPr>
        <w:pStyle w:val="Titolo2"/>
        <w:jc w:val="both"/>
        <w:rPr>
          <w:lang w:val="en-US"/>
        </w:rPr>
      </w:pPr>
      <w:bookmarkStart w:id="23" w:name="_Toc89853430"/>
      <w:r>
        <w:rPr>
          <w:lang w:val="en-US"/>
        </w:rPr>
        <w:lastRenderedPageBreak/>
        <w:t xml:space="preserve">Fig. S6. </w:t>
      </w:r>
      <w:r w:rsidRPr="00AA23B3">
        <w:rPr>
          <w:lang w:val="en-US"/>
        </w:rPr>
        <w:t>The effect of cyanidin 3-glucoside, malvidin 3-glucoside, and peonidin 3-glucoside on the hepatic uptake of bilirubin</w:t>
      </w:r>
      <w:bookmarkEnd w:id="23"/>
    </w:p>
    <w:p w14:paraId="65587DAB" w14:textId="3F806808" w:rsidR="00C65118" w:rsidRDefault="00C65118" w:rsidP="003B76E2">
      <w:pPr>
        <w:jc w:val="both"/>
        <w:rPr>
          <w:lang w:val="en-US"/>
        </w:rPr>
      </w:pPr>
      <w:r>
        <w:rPr>
          <w:noProof/>
          <w:lang w:val="en-US"/>
        </w:rPr>
        <w:drawing>
          <wp:inline distT="0" distB="0" distL="0" distR="0" wp14:anchorId="3C23C72F" wp14:editId="4C066CB4">
            <wp:extent cx="5731510" cy="3147695"/>
            <wp:effectExtent l="0" t="0" r="0" b="0"/>
            <wp:docPr id="15" name="Immagine 15" descr="Immagine che contiene testo, scu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magine 11" descr="Immagine che contiene testo, scuro&#10;&#10;Descrizione generata automaticament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3147695"/>
                    </a:xfrm>
                    <a:prstGeom prst="rect">
                      <a:avLst/>
                    </a:prstGeom>
                  </pic:spPr>
                </pic:pic>
              </a:graphicData>
            </a:graphic>
          </wp:inline>
        </w:drawing>
      </w:r>
    </w:p>
    <w:p w14:paraId="5A4F7658" w14:textId="649EDCA0" w:rsidR="003C36E9" w:rsidRDefault="003C36E9" w:rsidP="003B76E2">
      <w:pPr>
        <w:ind w:left="708"/>
        <w:jc w:val="both"/>
        <w:rPr>
          <w:lang w:val="en-US"/>
        </w:rPr>
      </w:pPr>
    </w:p>
    <w:p w14:paraId="7EC2BD1F" w14:textId="00C2BE1E" w:rsidR="00C65118" w:rsidRPr="00D311F5" w:rsidRDefault="00C65118" w:rsidP="003B76E2">
      <w:pPr>
        <w:jc w:val="both"/>
        <w:rPr>
          <w:lang w:val="en-US"/>
        </w:rPr>
      </w:pPr>
      <w:r w:rsidRPr="00D311F5">
        <w:rPr>
          <w:b/>
          <w:bCs/>
          <w:lang w:val="en-US"/>
        </w:rPr>
        <w:t xml:space="preserve">Fig. </w:t>
      </w:r>
      <w:r>
        <w:rPr>
          <w:b/>
          <w:bCs/>
          <w:lang w:val="en-US"/>
        </w:rPr>
        <w:t xml:space="preserve">S6. </w:t>
      </w:r>
      <w:r w:rsidRPr="00D311F5">
        <w:rPr>
          <w:b/>
          <w:bCs/>
          <w:lang w:val="en-US"/>
        </w:rPr>
        <w:t>The effect of cyanidin 3-glucoside, malvidin 3-glucoside, and peonidin 3-glucoside on the hepatic uptake of bilirubin.</w:t>
      </w:r>
      <w:r w:rsidRPr="00D311F5">
        <w:rPr>
          <w:rStyle w:val="apple-converted-space"/>
          <w:rFonts w:ascii="Calibri" w:eastAsiaTheme="minorEastAsia" w:hAnsi="Calibri" w:cs="Calibri"/>
          <w:color w:val="FF0000"/>
          <w:sz w:val="22"/>
          <w:szCs w:val="22"/>
          <w:lang w:val="en-US"/>
        </w:rPr>
        <w:t> </w:t>
      </w:r>
      <w:r w:rsidRPr="00D311F5">
        <w:rPr>
          <w:rFonts w:ascii="Calibri" w:hAnsi="Calibri" w:cs="Calibri"/>
          <w:color w:val="000000"/>
          <w:sz w:val="22"/>
          <w:szCs w:val="22"/>
          <w:lang w:val="en-US"/>
        </w:rPr>
        <w:t> </w:t>
      </w:r>
      <w:r w:rsidRPr="00D311F5">
        <w:rPr>
          <w:lang w:val="en-US"/>
        </w:rPr>
        <w:t xml:space="preserve">Concentration of bilirubin in the venous effluent of an isolated perfused rat liver, following sequential </w:t>
      </w:r>
      <w:proofErr w:type="spellStart"/>
      <w:r w:rsidRPr="00D311F5">
        <w:rPr>
          <w:lang w:val="en-US"/>
        </w:rPr>
        <w:t>boli</w:t>
      </w:r>
      <w:proofErr w:type="spellEnd"/>
      <w:r w:rsidRPr="00D311F5">
        <w:rPr>
          <w:lang w:val="en-US"/>
        </w:rPr>
        <w:t xml:space="preserve"> </w:t>
      </w:r>
      <w:r>
        <w:rPr>
          <w:lang w:val="en-US"/>
        </w:rPr>
        <w:t>(</w:t>
      </w:r>
      <w:r w:rsidRPr="00D311F5">
        <w:rPr>
          <w:lang w:val="en-US"/>
        </w:rPr>
        <w:t>0.2 mL</w:t>
      </w:r>
      <w:r>
        <w:rPr>
          <w:lang w:val="en-US"/>
        </w:rPr>
        <w:t>)</w:t>
      </w:r>
      <w:r w:rsidRPr="00D311F5">
        <w:rPr>
          <w:lang w:val="en-US"/>
        </w:rPr>
        <w:t xml:space="preserve"> of 0.05 mM BR without or with 2 mM cyanidin 3-glucoside</w:t>
      </w:r>
      <w:r>
        <w:rPr>
          <w:lang w:val="en-US"/>
        </w:rPr>
        <w:t xml:space="preserve"> (C3G)</w:t>
      </w:r>
      <w:r w:rsidRPr="00D311F5">
        <w:rPr>
          <w:lang w:val="en-US"/>
        </w:rPr>
        <w:t>, malvidin 3-glucoside</w:t>
      </w:r>
      <w:r>
        <w:rPr>
          <w:lang w:val="en-US"/>
        </w:rPr>
        <w:t xml:space="preserve"> (M3G)</w:t>
      </w:r>
      <w:r w:rsidRPr="00D311F5">
        <w:rPr>
          <w:lang w:val="en-US"/>
        </w:rPr>
        <w:t>, peonidin 3-glucoside</w:t>
      </w:r>
      <w:r>
        <w:rPr>
          <w:lang w:val="en-US"/>
        </w:rPr>
        <w:t xml:space="preserve"> (P3G)</w:t>
      </w:r>
      <w:r w:rsidRPr="00D311F5">
        <w:rPr>
          <w:lang w:val="en-US"/>
        </w:rPr>
        <w:t xml:space="preserve">, or </w:t>
      </w:r>
      <w:r w:rsidRPr="00D311F5">
        <w:rPr>
          <w:i/>
          <w:iCs/>
          <w:lang w:val="en-US"/>
        </w:rPr>
        <w:t>trans</w:t>
      </w:r>
      <w:r w:rsidRPr="00D311F5">
        <w:rPr>
          <w:lang w:val="en-US"/>
        </w:rPr>
        <w:t>-resveratrol</w:t>
      </w:r>
      <w:r>
        <w:rPr>
          <w:lang w:val="en-US"/>
        </w:rPr>
        <w:t xml:space="preserve"> (RESV)</w:t>
      </w:r>
      <w:r w:rsidRPr="00D311F5">
        <w:rPr>
          <w:lang w:val="en-US"/>
        </w:rPr>
        <w:t>.</w:t>
      </w:r>
    </w:p>
    <w:p w14:paraId="082B4995" w14:textId="77777777" w:rsidR="00585BFD" w:rsidRDefault="00585BFD" w:rsidP="003B76E2">
      <w:pPr>
        <w:pStyle w:val="Titolo3"/>
        <w:jc w:val="both"/>
        <w:rPr>
          <w:b/>
          <w:bCs/>
          <w:sz w:val="28"/>
          <w:szCs w:val="28"/>
          <w:lang w:val="en-US"/>
        </w:rPr>
      </w:pPr>
    </w:p>
    <w:p w14:paraId="620C1D06" w14:textId="1B2ADBC8" w:rsidR="00AA23B3" w:rsidRPr="0036454D" w:rsidRDefault="0036454D" w:rsidP="003B76E2">
      <w:pPr>
        <w:jc w:val="both"/>
      </w:pPr>
      <w:r>
        <w:t xml:space="preserve">COMMENT : P3G and M3G are the most potent anthocyanins inhibiting the transport activity of bilitranslocase in rat liver plasma membrane vesicles </w:t>
      </w:r>
      <w:r w:rsidR="00AA23B3">
        <w:rPr>
          <w:lang w:val="en-GB"/>
        </w:rPr>
        <w:t>(</w:t>
      </w:r>
      <w:r w:rsidR="00AA23B3" w:rsidRPr="003B1643">
        <w:rPr>
          <w:i/>
          <w:iCs/>
          <w:lang w:val="en-GB"/>
        </w:rPr>
        <w:t>K</w:t>
      </w:r>
      <w:r w:rsidR="00AA23B3" w:rsidRPr="003B1643">
        <w:rPr>
          <w:vertAlign w:val="subscript"/>
          <w:lang w:val="en-GB"/>
        </w:rPr>
        <w:t>i</w:t>
      </w:r>
      <w:r w:rsidR="00AA23B3">
        <w:rPr>
          <w:vertAlign w:val="subscript"/>
          <w:lang w:val="en-GB"/>
        </w:rPr>
        <w:t xml:space="preserve"> </w:t>
      </w:r>
      <w:r w:rsidR="00AA23B3">
        <w:rPr>
          <w:lang w:val="en-GB"/>
        </w:rPr>
        <w:t xml:space="preserve">= 1.8 and 1.4 µM, respectively) </w:t>
      </w:r>
      <w:r w:rsidR="00AA23B3">
        <w:rPr>
          <w:lang w:val="en-GB"/>
        </w:rPr>
        <w:fldChar w:fldCharType="begin" w:fldLock="1"/>
      </w:r>
      <w:r w:rsidR="00D82436">
        <w:rPr>
          <w:lang w:val="en-GB"/>
        </w:rPr>
        <w:instrText>ADDIN CSL_CITATION {"citationItems":[{"id":"ITEM-1","itemData":{"DOI":"10.1016/S0006-291X(02)00927-0","ISBN":"0006-291X (Print) 0006-291X (Linking)","ISSN":"0006-291X (Print) 0006-291X (Linking)","PMID":"12176028","abstract":"Bilitranslocase (TC 2.A.65.1.1) is an organic anion membrane carrier expressed at the sinusoidal domain of the liver plasma membrane and in epithelial cells of the gastric mucosa. Its substrates are sulfobromophthalein, bilirubin, and nicotinic acid. This work reports on the identification of a new class of bilitranslocase substrates, i.e., anthocyanins. Seventeen out thes 20 compounds tested behaved as competitive inhibitors of bilitranslocase transport activity (K(I)=1.4-22 microM). Their structure-activity relationship reveals that mono- and di-glucosyl anthocyanins, the anthocyanin species occurring in food, are better ligands than the corresponding aglycones. Moreover, the first interaction of anthocyanins with the carrier occurs through hydrophilic moieties, such as the 3-glucosyl moiety and the B ring for the monoglucosides, through the 5-glucosyl moiety and the A ring for the diglucosides, and through either the B or the A ring for the aglycones. These findings suggest that bilitranslocase could play a role in the bioavailability of anthocyanins.","author":[{"dropping-particle":"","family":"Passamonti","given":"S","non-dropping-particle":"","parse-names":false,"suffix":""},{"dropping-particle":"","family":"Vrhovsek","given":"U","non-dropping-particle":"","parse-names":false,"suffix":""},{"dropping-particle":"","family":"Mattivi","given":"F","non-dropping-particle":"","parse-names":false,"suffix":""}],"container-title":"Biochem Biophys Res Commun","id":"ITEM-1","issue":"3","issued":{"date-parts":[["2002"]]},"page":"631-636","title":"The interaction of anthocyanins with bilitranslocase","type":"article-journal","volume":"296"},"uris":["http://www.mendeley.com/documents/?uuid=ae536015-d39c-4ff8-9cab-878284107c03"]}],"mendeley":{"formattedCitation":"[33]","plainTextFormattedCitation":"[33]","previouslyFormattedCitation":"[33]"},"properties":{"noteIndex":0},"schema":"https://github.com/citation-style-language/schema/raw/master/csl-citation.json"}</w:instrText>
      </w:r>
      <w:r w:rsidR="00AA23B3">
        <w:rPr>
          <w:lang w:val="en-GB"/>
        </w:rPr>
        <w:fldChar w:fldCharType="separate"/>
      </w:r>
      <w:r w:rsidR="008C0DA1" w:rsidRPr="008C0DA1">
        <w:rPr>
          <w:noProof/>
          <w:lang w:val="en-GB"/>
        </w:rPr>
        <w:t>[33]</w:t>
      </w:r>
      <w:r w:rsidR="00AA23B3">
        <w:rPr>
          <w:lang w:val="en-GB"/>
        </w:rPr>
        <w:fldChar w:fldCharType="end"/>
      </w:r>
      <w:r w:rsidR="00AA23B3">
        <w:rPr>
          <w:lang w:val="en-GB"/>
        </w:rPr>
        <w:t xml:space="preserve">. </w:t>
      </w:r>
      <w:r w:rsidR="001651E9">
        <w:t>Therefore, they were expected to act like C3G. Indeed, M3G showed the same effect on the uptake of BR as C3G, albeit with lower efficacy</w:t>
      </w:r>
      <w:r w:rsidR="001651E9" w:rsidRPr="00CA52E7">
        <w:rPr>
          <w:lang w:val="en-US"/>
        </w:rPr>
        <w:t xml:space="preserve"> </w:t>
      </w:r>
      <w:r w:rsidR="00AA23B3" w:rsidRPr="004108A3">
        <w:rPr>
          <w:lang w:val="en-GB"/>
        </w:rPr>
        <w:t>(AUC</w:t>
      </w:r>
      <w:r w:rsidR="00AA23B3" w:rsidRPr="00FC6B8F">
        <w:rPr>
          <w:vertAlign w:val="subscript"/>
          <w:lang w:val="en-GB"/>
        </w:rPr>
        <w:t>C3G</w:t>
      </w:r>
      <w:r w:rsidR="00AA23B3" w:rsidRPr="004108A3">
        <w:rPr>
          <w:lang w:val="en-GB"/>
        </w:rPr>
        <w:t>/AUC</w:t>
      </w:r>
      <w:r w:rsidR="00AA23B3" w:rsidRPr="00FC6B8F">
        <w:rPr>
          <w:vertAlign w:val="subscript"/>
          <w:lang w:val="en-GB"/>
        </w:rPr>
        <w:t>M3G</w:t>
      </w:r>
      <w:r w:rsidR="00AA23B3" w:rsidRPr="004E7DCE">
        <w:rPr>
          <w:lang w:val="en-US"/>
        </w:rPr>
        <w:t> </w:t>
      </w:r>
      <w:r w:rsidR="00AA23B3" w:rsidRPr="004108A3">
        <w:rPr>
          <w:lang w:val="en-GB"/>
        </w:rPr>
        <w:t>=</w:t>
      </w:r>
      <w:r w:rsidR="00AA23B3">
        <w:rPr>
          <w:lang w:val="en-GB"/>
        </w:rPr>
        <w:t xml:space="preserve"> </w:t>
      </w:r>
      <w:r w:rsidR="00AA23B3" w:rsidRPr="004108A3">
        <w:rPr>
          <w:lang w:val="en-GB"/>
        </w:rPr>
        <w:t>1.70</w:t>
      </w:r>
      <w:r w:rsidR="00AA23B3">
        <w:rPr>
          <w:lang w:val="en-GB"/>
        </w:rPr>
        <w:t>).</w:t>
      </w:r>
      <w:r w:rsidR="00AA23B3" w:rsidRPr="004108A3">
        <w:rPr>
          <w:lang w:val="en-US"/>
        </w:rPr>
        <w:t xml:space="preserve"> </w:t>
      </w:r>
      <w:r w:rsidR="00AA23B3">
        <w:rPr>
          <w:lang w:val="en-GB"/>
        </w:rPr>
        <w:t xml:space="preserve">On the contrary, P3G was essentially inactive on BR uptake. </w:t>
      </w:r>
      <w:r w:rsidR="00CA52E7">
        <w:t>Assuming that the transporter targeted by anthocyanins in intact liver and in plasma membrane vesicles is the same, the differential effect of P3G in the two preparations could be due to the property of P3G to bind the transporter only at the intracellular vestibule of the transport site, which is obviously inaccessible in the intact organ but accessible in vesicles</w:t>
      </w:r>
      <w:r w:rsidR="00CA52E7" w:rsidRPr="00CA52E7">
        <w:rPr>
          <w:lang w:val="en-US"/>
        </w:rPr>
        <w:t>,</w:t>
      </w:r>
      <w:r w:rsidR="00CA52E7">
        <w:rPr>
          <w:lang w:val="en-US"/>
        </w:rPr>
        <w:t xml:space="preserve"> </w:t>
      </w:r>
      <w:r w:rsidR="00AA23B3">
        <w:rPr>
          <w:lang w:val="en-GB"/>
        </w:rPr>
        <w:t xml:space="preserve">which are </w:t>
      </w:r>
      <w:r w:rsidR="00AA23B3" w:rsidRPr="00764D3F">
        <w:rPr>
          <w:lang w:val="en-US"/>
        </w:rPr>
        <w:t xml:space="preserve">randomly oriented to the medium (right-side out and inside out). </w:t>
      </w:r>
      <w:r w:rsidR="00CA52E7">
        <w:t>If this were the case, we would have to infer that the BR transporter is bidirectional, at least with the BSP substrate.</w:t>
      </w:r>
      <w:r w:rsidR="00AA23B3">
        <w:rPr>
          <w:lang w:val="en-US"/>
        </w:rPr>
        <w:t xml:space="preserve"> </w:t>
      </w:r>
      <w:r w:rsidR="00AA23B3">
        <w:rPr>
          <w:lang w:val="en-GB"/>
        </w:rPr>
        <w:t>With the last bolus</w:t>
      </w:r>
      <w:r w:rsidR="00CA52E7">
        <w:rPr>
          <w:lang w:val="en-GB"/>
        </w:rPr>
        <w:t>,</w:t>
      </w:r>
      <w:r w:rsidR="00AA23B3">
        <w:rPr>
          <w:lang w:val="en-GB"/>
        </w:rPr>
        <w:t xml:space="preserve"> we co-injected BR with </w:t>
      </w:r>
      <w:r w:rsidR="00AA23B3">
        <w:rPr>
          <w:i/>
          <w:iCs/>
          <w:lang w:val="en-GB"/>
        </w:rPr>
        <w:t>trans-</w:t>
      </w:r>
      <w:r w:rsidR="00AA23B3">
        <w:rPr>
          <w:lang w:val="en-GB"/>
        </w:rPr>
        <w:t xml:space="preserve">resveratrol, a molecule </w:t>
      </w:r>
      <w:r w:rsidR="00CA52E7">
        <w:rPr>
          <w:lang w:val="en-GB"/>
        </w:rPr>
        <w:t xml:space="preserve">that is </w:t>
      </w:r>
      <w:r w:rsidR="00AA23B3">
        <w:rPr>
          <w:lang w:val="en-GB"/>
        </w:rPr>
        <w:t xml:space="preserve">inactive in the </w:t>
      </w:r>
      <w:r w:rsidR="00AA23B3" w:rsidRPr="00B236A4">
        <w:rPr>
          <w:lang w:val="en-GB"/>
        </w:rPr>
        <w:t>electrogenic BSP transport</w:t>
      </w:r>
      <w:r w:rsidR="00AA23B3">
        <w:rPr>
          <w:lang w:val="en-GB"/>
        </w:rPr>
        <w:t xml:space="preserve"> assay of bilitranslocase activity in vesicles </w:t>
      </w:r>
      <w:r w:rsidR="00AA23B3">
        <w:rPr>
          <w:lang w:val="en-GB"/>
        </w:rPr>
        <w:fldChar w:fldCharType="begin" w:fldLock="1"/>
      </w:r>
      <w:r w:rsidR="00D82436">
        <w:rPr>
          <w:lang w:val="en-GB"/>
        </w:rPr>
        <w:instrText>ADDIN CSL_CITATION {"citationItems":[{"id":"ITEM-1","itemData":{"DOI":"10.1016/j.aca.2011.07.004","ISSN":"1873-4324 (Electronic)","PMID":"21962375","abstract":"The transport activity of a membrane protein, bilitranslocase (T.C. # 2.A.65.1.1), which acts as a transporter of bilirubin from blood to liver cells, was experimentally determined for a large set of various endogenous compounds, drugs, purine and pyrimidine derivatives. On these grounds, the structure-activity models were developed following the OECD principles of QSAR models and their predictive ability for new chemicals was evaluated. The applicability domain of the models was estimated by Euclidean distances criteria according to the applied modeling method. The selection of the most influential structural variables was an important stage in the adopted modeling methodology. The interpretation of selected variables was performed in order to get an insight into the mechanism of transport through the cell membrane via bilitranslocase. Validation of the optimized models was performed by a previously determined validation set. The classification model was build to separate active from inactive compounds. The resulting accuracy, sensitivity, and specificity were 0.73, 0.89, and 0.64, respectively. Only active compounds were used to develop a predictive model for bilitranslocase inhibition constants. The model showed good predictive ability; Root Mean Squared error of the validation set, RMS(V)=0.29 log units.","author":[{"dropping-particle":"","family":"Zuperl","given":"Spela","non-dropping-particle":"","parse-names":false,"suffix":""},{"dropping-particle":"","family":"Fornasaro","given":"Stefano","non-dropping-particle":"","parse-names":false,"suffix":""},{"dropping-particle":"","family":"Novic","given":"Marjana","non-dropping-particle":"","parse-names":false,"suffix":""},{"dropping-particle":"","family":"Passamonti","given":"Sabina","non-dropping-particle":"","parse-names":false,"suffix":""}],"container-title":"Analytica chimica acta","id":"ITEM-1","issue":"1-2","issued":{"date-parts":[["2011","10"]]},"language":"eng","page":"322-333","publisher-place":"Netherlands","title":"Experimental determination and prediction of bilitranslocase transport activity.","type":"article-journal","volume":"705"},"uris":["http://www.mendeley.com/documents/?uuid=449fdc25-b67c-49a6-8c8a-cc1349e02422"]}],"mendeley":{"formattedCitation":"[5]","plainTextFormattedCitation":"[5]","previouslyFormattedCitation":"[5]"},"properties":{"noteIndex":0},"schema":"https://github.com/citation-style-language/schema/raw/master/csl-citation.json"}</w:instrText>
      </w:r>
      <w:r w:rsidR="00AA23B3">
        <w:rPr>
          <w:lang w:val="en-GB"/>
        </w:rPr>
        <w:fldChar w:fldCharType="separate"/>
      </w:r>
      <w:r w:rsidR="008C0DA1" w:rsidRPr="008C0DA1">
        <w:rPr>
          <w:noProof/>
          <w:lang w:val="en-GB"/>
        </w:rPr>
        <w:t>[5]</w:t>
      </w:r>
      <w:r w:rsidR="00AA23B3">
        <w:rPr>
          <w:lang w:val="en-GB"/>
        </w:rPr>
        <w:fldChar w:fldCharType="end"/>
      </w:r>
      <w:r w:rsidR="00AA23B3">
        <w:rPr>
          <w:lang w:val="en-GB"/>
        </w:rPr>
        <w:t xml:space="preserve"> and in this preparation.  </w:t>
      </w:r>
    </w:p>
    <w:p w14:paraId="05C26D37" w14:textId="77777777" w:rsidR="00AA23B3" w:rsidRDefault="00AA23B3" w:rsidP="003B76E2">
      <w:pPr>
        <w:ind w:left="708"/>
        <w:jc w:val="both"/>
        <w:rPr>
          <w:lang w:val="en-US"/>
        </w:rPr>
      </w:pPr>
    </w:p>
    <w:p w14:paraId="109C1951" w14:textId="0EE47807" w:rsidR="00BF63BD" w:rsidRDefault="00BF63BD" w:rsidP="003B76E2">
      <w:pPr>
        <w:jc w:val="both"/>
        <w:rPr>
          <w:b/>
          <w:bCs/>
          <w:sz w:val="28"/>
          <w:szCs w:val="28"/>
          <w:lang w:val="en-US"/>
        </w:rPr>
      </w:pPr>
      <w:r>
        <w:rPr>
          <w:b/>
          <w:bCs/>
          <w:sz w:val="28"/>
          <w:szCs w:val="28"/>
          <w:lang w:val="en-US"/>
        </w:rPr>
        <w:br w:type="page"/>
      </w:r>
    </w:p>
    <w:p w14:paraId="7CC86E54" w14:textId="77777777" w:rsidR="00AA23B3" w:rsidRDefault="00AA23B3" w:rsidP="003B76E2">
      <w:pPr>
        <w:jc w:val="both"/>
        <w:rPr>
          <w:b/>
          <w:bCs/>
          <w:sz w:val="28"/>
          <w:szCs w:val="28"/>
          <w:lang w:val="en-US"/>
        </w:rPr>
      </w:pPr>
    </w:p>
    <w:p w14:paraId="5595F96B" w14:textId="1AEA7F63" w:rsidR="00710B8F" w:rsidRPr="001C57E2" w:rsidRDefault="001C57E2" w:rsidP="003B76E2">
      <w:pPr>
        <w:pStyle w:val="Titolo2"/>
        <w:jc w:val="both"/>
        <w:rPr>
          <w:lang w:val="en-US"/>
        </w:rPr>
      </w:pPr>
      <w:bookmarkStart w:id="24" w:name="_Toc89853431"/>
      <w:r w:rsidRPr="001C57E2">
        <w:rPr>
          <w:lang w:val="en-US"/>
        </w:rPr>
        <w:t>Fig. S</w:t>
      </w:r>
      <w:r w:rsidR="00AA23B3">
        <w:rPr>
          <w:lang w:val="en-US"/>
        </w:rPr>
        <w:t>7</w:t>
      </w:r>
      <w:r w:rsidRPr="001C57E2">
        <w:rPr>
          <w:lang w:val="en-US"/>
        </w:rPr>
        <w:t>.</w:t>
      </w:r>
      <w:r w:rsidR="00BF63BD" w:rsidRPr="001C57E2">
        <w:rPr>
          <w:lang w:val="en-US"/>
        </w:rPr>
        <w:t xml:space="preserve"> </w:t>
      </w:r>
      <w:r w:rsidR="004010CE" w:rsidRPr="001C57E2">
        <w:rPr>
          <w:lang w:val="en-US"/>
        </w:rPr>
        <w:t xml:space="preserve">The effect of </w:t>
      </w:r>
      <w:r w:rsidR="00BC1A25" w:rsidRPr="001C57E2">
        <w:rPr>
          <w:lang w:val="en-US"/>
        </w:rPr>
        <w:t>estradiol</w:t>
      </w:r>
      <w:r w:rsidR="00997703">
        <w:rPr>
          <w:lang w:val="en-US"/>
        </w:rPr>
        <w:t>-</w:t>
      </w:r>
      <w:r w:rsidR="00BC1A25" w:rsidRPr="001C57E2">
        <w:rPr>
          <w:lang w:val="en-US"/>
        </w:rPr>
        <w:t>17</w:t>
      </w:r>
      <w:r w:rsidR="00997703">
        <w:rPr>
          <w:lang w:val="en-US"/>
        </w:rPr>
        <w:t xml:space="preserve"> beta-</w:t>
      </w:r>
      <w:r w:rsidR="00BC1A25" w:rsidRPr="001C57E2">
        <w:rPr>
          <w:lang w:val="en-US"/>
        </w:rPr>
        <w:t>glucuronide</w:t>
      </w:r>
      <w:r w:rsidR="00997703">
        <w:rPr>
          <w:lang w:val="en-US"/>
        </w:rPr>
        <w:t xml:space="preserve"> </w:t>
      </w:r>
      <w:r w:rsidR="00BC1A25" w:rsidRPr="001C57E2">
        <w:rPr>
          <w:lang w:val="en-US"/>
        </w:rPr>
        <w:t xml:space="preserve">and </w:t>
      </w:r>
      <w:r w:rsidR="00923E5F" w:rsidRPr="001C57E2">
        <w:rPr>
          <w:lang w:val="en-US"/>
        </w:rPr>
        <w:t>pravastatin</w:t>
      </w:r>
      <w:r w:rsidR="004010CE" w:rsidRPr="001C57E2">
        <w:rPr>
          <w:lang w:val="en-US"/>
        </w:rPr>
        <w:t xml:space="preserve"> on the hepatic uptake of </w:t>
      </w:r>
      <w:r w:rsidR="008B10A0" w:rsidRPr="001C57E2">
        <w:rPr>
          <w:lang w:val="en-US"/>
        </w:rPr>
        <w:t>bilirubin</w:t>
      </w:r>
      <w:r w:rsidR="004010CE" w:rsidRPr="001C57E2">
        <w:rPr>
          <w:lang w:val="en-US"/>
        </w:rPr>
        <w:t xml:space="preserve"> or </w:t>
      </w:r>
      <w:r w:rsidR="008B10A0" w:rsidRPr="001C57E2">
        <w:rPr>
          <w:lang w:val="en-US"/>
        </w:rPr>
        <w:t>bilirubin glucuronide</w:t>
      </w:r>
      <w:bookmarkEnd w:id="24"/>
    </w:p>
    <w:p w14:paraId="1C23A1D0" w14:textId="5F7ACD0E" w:rsidR="009A0797" w:rsidRPr="00ED05FA" w:rsidRDefault="001C57E2" w:rsidP="003B76E2">
      <w:pPr>
        <w:jc w:val="both"/>
        <w:rPr>
          <w:b/>
          <w:bCs/>
          <w:sz w:val="28"/>
          <w:szCs w:val="28"/>
          <w:lang w:val="en-US"/>
        </w:rPr>
      </w:pPr>
      <w:r>
        <w:rPr>
          <w:b/>
          <w:bCs/>
          <w:sz w:val="28"/>
          <w:szCs w:val="28"/>
          <w:lang w:val="en-US"/>
        </w:rPr>
        <w:t>A</w:t>
      </w:r>
    </w:p>
    <w:p w14:paraId="226FC350" w14:textId="3181814D" w:rsidR="00FF0CAE" w:rsidRPr="00ED05FA" w:rsidRDefault="00FF0CAE" w:rsidP="003B76E2">
      <w:pPr>
        <w:jc w:val="both"/>
        <w:rPr>
          <w:highlight w:val="yellow"/>
          <w:lang w:val="en-US"/>
        </w:rPr>
      </w:pPr>
      <w:r>
        <w:rPr>
          <w:noProof/>
          <w:lang w:val="en-US"/>
        </w:rPr>
        <w:drawing>
          <wp:inline distT="0" distB="0" distL="0" distR="0" wp14:anchorId="3505C2A8" wp14:editId="5DD09B5A">
            <wp:extent cx="5828741" cy="2709746"/>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rotWithShape="1">
                    <a:blip r:embed="rId21" cstate="print">
                      <a:extLst>
                        <a:ext uri="{28A0092B-C50C-407E-A947-70E740481C1C}">
                          <a14:useLocalDpi xmlns:a14="http://schemas.microsoft.com/office/drawing/2010/main" val="0"/>
                        </a:ext>
                      </a:extLst>
                    </a:blip>
                    <a:srcRect l="6810" t="66649"/>
                    <a:stretch/>
                  </pic:blipFill>
                  <pic:spPr bwMode="auto">
                    <a:xfrm>
                      <a:off x="0" y="0"/>
                      <a:ext cx="5845464" cy="2717521"/>
                    </a:xfrm>
                    <a:prstGeom prst="rect">
                      <a:avLst/>
                    </a:prstGeom>
                    <a:ln>
                      <a:noFill/>
                    </a:ln>
                    <a:extLst>
                      <a:ext uri="{53640926-AAD7-44D8-BBD7-CCE9431645EC}">
                        <a14:shadowObscured xmlns:a14="http://schemas.microsoft.com/office/drawing/2010/main"/>
                      </a:ext>
                    </a:extLst>
                  </pic:spPr>
                </pic:pic>
              </a:graphicData>
            </a:graphic>
          </wp:inline>
        </w:drawing>
      </w:r>
    </w:p>
    <w:p w14:paraId="3FC1D1D2" w14:textId="0B6CE23A" w:rsidR="00710B8F" w:rsidRDefault="00710B8F" w:rsidP="003B76E2">
      <w:pPr>
        <w:jc w:val="both"/>
        <w:rPr>
          <w:lang w:val="en-US"/>
        </w:rPr>
      </w:pPr>
      <w:r w:rsidRPr="009A0797">
        <w:rPr>
          <w:b/>
          <w:bCs/>
          <w:lang w:val="en-US"/>
        </w:rPr>
        <w:t>Fig S</w:t>
      </w:r>
      <w:r w:rsidR="00AA23B3">
        <w:rPr>
          <w:b/>
          <w:bCs/>
          <w:lang w:val="en-US"/>
        </w:rPr>
        <w:t>7</w:t>
      </w:r>
      <w:r w:rsidRPr="009A0797">
        <w:rPr>
          <w:b/>
          <w:bCs/>
          <w:lang w:val="en-US"/>
        </w:rPr>
        <w:t>A.</w:t>
      </w:r>
      <w:r w:rsidRPr="009A0797">
        <w:rPr>
          <w:lang w:val="en-US"/>
        </w:rPr>
        <w:t xml:space="preserve"> </w:t>
      </w:r>
      <w:r w:rsidRPr="009A0797">
        <w:rPr>
          <w:b/>
          <w:bCs/>
          <w:lang w:val="en-US"/>
        </w:rPr>
        <w:t>The effect of cyanidin 3-glucoside and estradiol</w:t>
      </w:r>
      <w:r w:rsidR="00997703">
        <w:rPr>
          <w:lang w:val="en-US"/>
        </w:rPr>
        <w:t>-</w:t>
      </w:r>
      <w:r w:rsidR="00997703" w:rsidRPr="00997703">
        <w:rPr>
          <w:b/>
          <w:bCs/>
          <w:lang w:val="en-US"/>
        </w:rPr>
        <w:t>17 beta-glucuronide</w:t>
      </w:r>
      <w:r w:rsidR="00997703">
        <w:rPr>
          <w:lang w:val="en-US"/>
        </w:rPr>
        <w:t xml:space="preserve"> </w:t>
      </w:r>
      <w:r w:rsidRPr="009A0797">
        <w:rPr>
          <w:b/>
          <w:bCs/>
          <w:lang w:val="en-US"/>
        </w:rPr>
        <w:t>on the hepatic uptake of bilirubin or bilirubin glucuronide</w:t>
      </w:r>
      <w:r w:rsidRPr="009A0797">
        <w:rPr>
          <w:lang w:val="en-US"/>
        </w:rPr>
        <w:t>. Descriptive table of the peak parameter statistics.</w:t>
      </w:r>
    </w:p>
    <w:p w14:paraId="04B34689" w14:textId="099B432E" w:rsidR="00710B8F" w:rsidRDefault="00710B8F" w:rsidP="003B76E2">
      <w:pPr>
        <w:ind w:left="708"/>
        <w:jc w:val="both"/>
        <w:rPr>
          <w:lang w:val="en-US"/>
        </w:rPr>
      </w:pPr>
    </w:p>
    <w:p w14:paraId="54E6796B" w14:textId="62BE0336" w:rsidR="00710B8F" w:rsidRDefault="00710B8F" w:rsidP="003B76E2">
      <w:pPr>
        <w:jc w:val="both"/>
        <w:rPr>
          <w:b/>
          <w:bCs/>
          <w:sz w:val="28"/>
          <w:szCs w:val="28"/>
          <w:lang w:val="en-US"/>
        </w:rPr>
      </w:pPr>
    </w:p>
    <w:p w14:paraId="2E8E2827" w14:textId="5A8E42BF" w:rsidR="001C57E2" w:rsidRDefault="001C57E2" w:rsidP="003B76E2">
      <w:pPr>
        <w:jc w:val="both"/>
        <w:rPr>
          <w:b/>
          <w:bCs/>
          <w:sz w:val="28"/>
          <w:szCs w:val="28"/>
          <w:lang w:val="en-US"/>
        </w:rPr>
      </w:pPr>
    </w:p>
    <w:p w14:paraId="1EA36D15" w14:textId="0C3D3544" w:rsidR="001C57E2" w:rsidRDefault="001C57E2" w:rsidP="003B76E2">
      <w:pPr>
        <w:jc w:val="both"/>
        <w:rPr>
          <w:b/>
          <w:bCs/>
          <w:sz w:val="28"/>
          <w:szCs w:val="28"/>
          <w:lang w:val="en-US"/>
        </w:rPr>
      </w:pPr>
    </w:p>
    <w:p w14:paraId="23312C73" w14:textId="6B2C8283" w:rsidR="001C57E2" w:rsidRDefault="001C57E2" w:rsidP="003B76E2">
      <w:pPr>
        <w:jc w:val="both"/>
        <w:rPr>
          <w:b/>
          <w:bCs/>
          <w:sz w:val="28"/>
          <w:szCs w:val="28"/>
          <w:lang w:val="en-US"/>
        </w:rPr>
      </w:pPr>
    </w:p>
    <w:p w14:paraId="2597D8B9" w14:textId="14367B84" w:rsidR="001C57E2" w:rsidRDefault="001C57E2" w:rsidP="003B76E2">
      <w:pPr>
        <w:jc w:val="both"/>
        <w:rPr>
          <w:b/>
          <w:bCs/>
          <w:sz w:val="28"/>
          <w:szCs w:val="28"/>
          <w:lang w:val="en-US"/>
        </w:rPr>
      </w:pPr>
    </w:p>
    <w:p w14:paraId="092D2E8E" w14:textId="5A1164B2" w:rsidR="001C57E2" w:rsidRDefault="001C57E2" w:rsidP="003B76E2">
      <w:pPr>
        <w:jc w:val="both"/>
        <w:rPr>
          <w:b/>
          <w:bCs/>
          <w:sz w:val="28"/>
          <w:szCs w:val="28"/>
          <w:lang w:val="en-US"/>
        </w:rPr>
      </w:pPr>
    </w:p>
    <w:p w14:paraId="6850D57B" w14:textId="24BF5EDF" w:rsidR="001C57E2" w:rsidRDefault="001C57E2" w:rsidP="003B76E2">
      <w:pPr>
        <w:jc w:val="both"/>
        <w:rPr>
          <w:b/>
          <w:bCs/>
          <w:sz w:val="28"/>
          <w:szCs w:val="28"/>
          <w:lang w:val="en-US"/>
        </w:rPr>
      </w:pPr>
    </w:p>
    <w:p w14:paraId="5CA74F80" w14:textId="573373D8" w:rsidR="001C57E2" w:rsidRDefault="001C57E2" w:rsidP="003B76E2">
      <w:pPr>
        <w:jc w:val="both"/>
        <w:rPr>
          <w:b/>
          <w:bCs/>
          <w:sz w:val="28"/>
          <w:szCs w:val="28"/>
          <w:lang w:val="en-US"/>
        </w:rPr>
      </w:pPr>
    </w:p>
    <w:p w14:paraId="6BF0090C" w14:textId="52EFB8DE" w:rsidR="001C57E2" w:rsidRDefault="001C57E2" w:rsidP="003B76E2">
      <w:pPr>
        <w:jc w:val="both"/>
        <w:rPr>
          <w:b/>
          <w:bCs/>
          <w:sz w:val="28"/>
          <w:szCs w:val="28"/>
          <w:lang w:val="en-US"/>
        </w:rPr>
      </w:pPr>
    </w:p>
    <w:p w14:paraId="51940B3E" w14:textId="28F757D0" w:rsidR="001C57E2" w:rsidRDefault="001C57E2" w:rsidP="003B76E2">
      <w:pPr>
        <w:jc w:val="both"/>
        <w:rPr>
          <w:b/>
          <w:bCs/>
          <w:sz w:val="28"/>
          <w:szCs w:val="28"/>
          <w:lang w:val="en-US"/>
        </w:rPr>
      </w:pPr>
    </w:p>
    <w:p w14:paraId="33F0953D" w14:textId="32692774" w:rsidR="001C57E2" w:rsidRDefault="001C57E2" w:rsidP="003B76E2">
      <w:pPr>
        <w:jc w:val="both"/>
        <w:rPr>
          <w:b/>
          <w:bCs/>
          <w:sz w:val="28"/>
          <w:szCs w:val="28"/>
          <w:lang w:val="en-US"/>
        </w:rPr>
      </w:pPr>
    </w:p>
    <w:p w14:paraId="071B4B09" w14:textId="4DF52346" w:rsidR="001C57E2" w:rsidRDefault="001C57E2" w:rsidP="003B76E2">
      <w:pPr>
        <w:jc w:val="both"/>
        <w:rPr>
          <w:b/>
          <w:bCs/>
          <w:sz w:val="28"/>
          <w:szCs w:val="28"/>
          <w:lang w:val="en-US"/>
        </w:rPr>
      </w:pPr>
    </w:p>
    <w:p w14:paraId="50570D25" w14:textId="2656EB4A" w:rsidR="001C57E2" w:rsidRDefault="001C57E2" w:rsidP="003B76E2">
      <w:pPr>
        <w:jc w:val="both"/>
        <w:rPr>
          <w:b/>
          <w:bCs/>
          <w:sz w:val="28"/>
          <w:szCs w:val="28"/>
          <w:lang w:val="en-US"/>
        </w:rPr>
      </w:pPr>
    </w:p>
    <w:p w14:paraId="6F8D3AAA" w14:textId="1D857EC5" w:rsidR="001C57E2" w:rsidRDefault="001C57E2" w:rsidP="003B76E2">
      <w:pPr>
        <w:jc w:val="both"/>
        <w:rPr>
          <w:b/>
          <w:bCs/>
          <w:sz w:val="28"/>
          <w:szCs w:val="28"/>
          <w:lang w:val="en-US"/>
        </w:rPr>
      </w:pPr>
    </w:p>
    <w:p w14:paraId="255D0D48" w14:textId="0E66384E" w:rsidR="001C57E2" w:rsidRDefault="001C57E2" w:rsidP="003B76E2">
      <w:pPr>
        <w:jc w:val="both"/>
        <w:rPr>
          <w:b/>
          <w:bCs/>
          <w:sz w:val="28"/>
          <w:szCs w:val="28"/>
          <w:lang w:val="en-US"/>
        </w:rPr>
      </w:pPr>
    </w:p>
    <w:p w14:paraId="028ACDE0" w14:textId="77CE8D86" w:rsidR="001C57E2" w:rsidRDefault="001C57E2" w:rsidP="003B76E2">
      <w:pPr>
        <w:jc w:val="both"/>
        <w:rPr>
          <w:b/>
          <w:bCs/>
          <w:sz w:val="28"/>
          <w:szCs w:val="28"/>
          <w:lang w:val="en-US"/>
        </w:rPr>
      </w:pPr>
    </w:p>
    <w:p w14:paraId="4A1852E7" w14:textId="20AF38B4" w:rsidR="001C57E2" w:rsidRDefault="001C57E2" w:rsidP="003B76E2">
      <w:pPr>
        <w:jc w:val="both"/>
        <w:rPr>
          <w:b/>
          <w:bCs/>
          <w:sz w:val="28"/>
          <w:szCs w:val="28"/>
          <w:lang w:val="en-US"/>
        </w:rPr>
      </w:pPr>
    </w:p>
    <w:p w14:paraId="7D1F1379" w14:textId="153E2FD4" w:rsidR="001C57E2" w:rsidRDefault="001C57E2" w:rsidP="003B76E2">
      <w:pPr>
        <w:jc w:val="both"/>
        <w:rPr>
          <w:b/>
          <w:bCs/>
          <w:sz w:val="28"/>
          <w:szCs w:val="28"/>
          <w:lang w:val="en-US"/>
        </w:rPr>
      </w:pPr>
    </w:p>
    <w:p w14:paraId="0DBD983C" w14:textId="0F40514B" w:rsidR="001C57E2" w:rsidRDefault="001C57E2" w:rsidP="003B76E2">
      <w:pPr>
        <w:jc w:val="both"/>
        <w:rPr>
          <w:b/>
          <w:bCs/>
          <w:sz w:val="28"/>
          <w:szCs w:val="28"/>
          <w:lang w:val="en-US"/>
        </w:rPr>
      </w:pPr>
    </w:p>
    <w:p w14:paraId="317B7314" w14:textId="603C6B68" w:rsidR="001C57E2" w:rsidRDefault="001C57E2" w:rsidP="003B76E2">
      <w:pPr>
        <w:jc w:val="both"/>
        <w:rPr>
          <w:b/>
          <w:bCs/>
          <w:sz w:val="28"/>
          <w:szCs w:val="28"/>
          <w:lang w:val="en-US"/>
        </w:rPr>
      </w:pPr>
    </w:p>
    <w:p w14:paraId="08F1578A" w14:textId="5E853827" w:rsidR="001C57E2" w:rsidRDefault="001C57E2" w:rsidP="003B76E2">
      <w:pPr>
        <w:jc w:val="both"/>
        <w:rPr>
          <w:b/>
          <w:bCs/>
          <w:sz w:val="28"/>
          <w:szCs w:val="28"/>
          <w:lang w:val="en-US"/>
        </w:rPr>
      </w:pPr>
    </w:p>
    <w:p w14:paraId="37C8134D" w14:textId="0F94B599" w:rsidR="001C57E2" w:rsidRDefault="001C57E2" w:rsidP="003B76E2">
      <w:pPr>
        <w:jc w:val="both"/>
        <w:rPr>
          <w:b/>
          <w:bCs/>
          <w:sz w:val="28"/>
          <w:szCs w:val="28"/>
          <w:lang w:val="en-US"/>
        </w:rPr>
      </w:pPr>
    </w:p>
    <w:p w14:paraId="57076009" w14:textId="4D9DE710" w:rsidR="001C57E2" w:rsidRDefault="001C57E2" w:rsidP="003B76E2">
      <w:pPr>
        <w:jc w:val="both"/>
        <w:rPr>
          <w:b/>
          <w:bCs/>
          <w:sz w:val="28"/>
          <w:szCs w:val="28"/>
          <w:lang w:val="en-US"/>
        </w:rPr>
      </w:pPr>
    </w:p>
    <w:p w14:paraId="3DB63059" w14:textId="319FC8DB" w:rsidR="001C57E2" w:rsidRPr="004010CE" w:rsidRDefault="001C57E2" w:rsidP="003B76E2">
      <w:pPr>
        <w:jc w:val="both"/>
        <w:rPr>
          <w:b/>
          <w:bCs/>
          <w:sz w:val="28"/>
          <w:szCs w:val="28"/>
          <w:lang w:val="en-US"/>
        </w:rPr>
      </w:pPr>
      <w:r>
        <w:rPr>
          <w:b/>
          <w:bCs/>
          <w:sz w:val="28"/>
          <w:szCs w:val="28"/>
          <w:lang w:val="en-US"/>
        </w:rPr>
        <w:t>B</w:t>
      </w:r>
    </w:p>
    <w:p w14:paraId="3D82D4DF" w14:textId="6A9C3F47" w:rsidR="003C36E9" w:rsidRPr="00134122" w:rsidRDefault="00C87208" w:rsidP="003B76E2">
      <w:pPr>
        <w:ind w:left="708"/>
        <w:jc w:val="both"/>
        <w:rPr>
          <w:lang w:val="en-US"/>
        </w:rPr>
      </w:pPr>
      <w:r>
        <w:rPr>
          <w:noProof/>
          <w:lang w:val="en-US"/>
        </w:rPr>
        <w:drawing>
          <wp:inline distT="0" distB="0" distL="0" distR="0" wp14:anchorId="07347637" wp14:editId="6FD07D79">
            <wp:extent cx="5407915" cy="7183120"/>
            <wp:effectExtent l="0" t="0" r="0" b="5080"/>
            <wp:docPr id="8" name="Immagine 8"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8" descr="Immagine che contiene testo&#10;&#10;Descrizione generata automaticamente"/>
                    <pic:cNvPicPr/>
                  </pic:nvPicPr>
                  <pic:blipFill rotWithShape="1">
                    <a:blip r:embed="rId22" cstate="print">
                      <a:extLst>
                        <a:ext uri="{28A0092B-C50C-407E-A947-70E740481C1C}">
                          <a14:useLocalDpi xmlns:a14="http://schemas.microsoft.com/office/drawing/2010/main" val="0"/>
                        </a:ext>
                      </a:extLst>
                    </a:blip>
                    <a:srcRect l="5643" t="3879"/>
                    <a:stretch/>
                  </pic:blipFill>
                  <pic:spPr bwMode="auto">
                    <a:xfrm>
                      <a:off x="0" y="0"/>
                      <a:ext cx="5408113" cy="7183383"/>
                    </a:xfrm>
                    <a:prstGeom prst="rect">
                      <a:avLst/>
                    </a:prstGeom>
                    <a:ln>
                      <a:noFill/>
                    </a:ln>
                    <a:extLst>
                      <a:ext uri="{53640926-AAD7-44D8-BBD7-CCE9431645EC}">
                        <a14:shadowObscured xmlns:a14="http://schemas.microsoft.com/office/drawing/2010/main"/>
                      </a:ext>
                    </a:extLst>
                  </pic:spPr>
                </pic:pic>
              </a:graphicData>
            </a:graphic>
          </wp:inline>
        </w:drawing>
      </w:r>
    </w:p>
    <w:p w14:paraId="05D20D50" w14:textId="77777777" w:rsidR="00BC1A25" w:rsidRDefault="00BC1A25" w:rsidP="003B76E2">
      <w:pPr>
        <w:jc w:val="both"/>
        <w:rPr>
          <w:b/>
          <w:bCs/>
          <w:lang w:val="en-US"/>
        </w:rPr>
      </w:pPr>
    </w:p>
    <w:p w14:paraId="1B3A2939" w14:textId="336EC542" w:rsidR="00BC1A25" w:rsidRDefault="008E3595" w:rsidP="003B76E2">
      <w:pPr>
        <w:jc w:val="both"/>
        <w:rPr>
          <w:lang w:val="en-US"/>
        </w:rPr>
      </w:pPr>
      <w:r w:rsidRPr="009A0797">
        <w:rPr>
          <w:b/>
          <w:bCs/>
          <w:lang w:val="en-US"/>
        </w:rPr>
        <w:t>Fig S</w:t>
      </w:r>
      <w:r w:rsidR="00AA23B3">
        <w:rPr>
          <w:b/>
          <w:bCs/>
          <w:lang w:val="en-US"/>
        </w:rPr>
        <w:t>7</w:t>
      </w:r>
      <w:r w:rsidR="00710B8F" w:rsidRPr="009A0797">
        <w:rPr>
          <w:b/>
          <w:bCs/>
          <w:lang w:val="en-US"/>
        </w:rPr>
        <w:t>B</w:t>
      </w:r>
      <w:r w:rsidRPr="009A0797">
        <w:rPr>
          <w:b/>
          <w:bCs/>
          <w:lang w:val="en-US"/>
        </w:rPr>
        <w:t>.</w:t>
      </w:r>
      <w:r w:rsidRPr="00C8482B">
        <w:rPr>
          <w:lang w:val="en-US"/>
        </w:rPr>
        <w:t xml:space="preserve"> </w:t>
      </w:r>
      <w:r w:rsidRPr="00C8482B">
        <w:rPr>
          <w:b/>
          <w:bCs/>
          <w:lang w:val="en-US"/>
        </w:rPr>
        <w:t xml:space="preserve">The effect of </w:t>
      </w:r>
      <w:r w:rsidR="00923E5F">
        <w:rPr>
          <w:b/>
          <w:bCs/>
          <w:lang w:val="en-US"/>
        </w:rPr>
        <w:t>cyanidin 3-glucoside and pravastatin</w:t>
      </w:r>
      <w:r w:rsidRPr="00C8482B">
        <w:rPr>
          <w:b/>
          <w:bCs/>
          <w:lang w:val="en-US"/>
        </w:rPr>
        <w:t xml:space="preserve"> on the hepatic uptake of </w:t>
      </w:r>
      <w:r w:rsidR="008B10A0" w:rsidRPr="008B10A0">
        <w:rPr>
          <w:b/>
          <w:bCs/>
          <w:lang w:val="en-US"/>
        </w:rPr>
        <w:t>bilirubin or bilirubin glucuronide</w:t>
      </w:r>
      <w:r w:rsidRPr="00C8482B">
        <w:rPr>
          <w:lang w:val="en-US"/>
        </w:rPr>
        <w:t xml:space="preserve">. </w:t>
      </w:r>
      <w:r w:rsidR="00D926EB" w:rsidRPr="00D926EB">
        <w:rPr>
          <w:b/>
          <w:bCs/>
          <w:lang w:val="en-US"/>
        </w:rPr>
        <w:t>(</w:t>
      </w:r>
      <w:r w:rsidR="007D0547">
        <w:rPr>
          <w:b/>
          <w:bCs/>
          <w:lang w:val="en-US"/>
        </w:rPr>
        <w:t>A</w:t>
      </w:r>
      <w:r w:rsidR="00D926EB" w:rsidRPr="00D926EB">
        <w:rPr>
          <w:b/>
          <w:bCs/>
          <w:lang w:val="en-US"/>
        </w:rPr>
        <w:t>)</w:t>
      </w:r>
      <w:r w:rsidRPr="00C8482B">
        <w:rPr>
          <w:b/>
          <w:bCs/>
          <w:lang w:val="en-US"/>
        </w:rPr>
        <w:t xml:space="preserve"> </w:t>
      </w:r>
      <w:r w:rsidRPr="00D926EB">
        <w:rPr>
          <w:b/>
          <w:bCs/>
          <w:lang w:val="en-US"/>
        </w:rPr>
        <w:t xml:space="preserve">Concentrations of </w:t>
      </w:r>
      <w:r w:rsidR="007D0547">
        <w:rPr>
          <w:b/>
          <w:bCs/>
          <w:lang w:val="en-US"/>
        </w:rPr>
        <w:t xml:space="preserve">bilirubin and bilirubin glucuronide </w:t>
      </w:r>
      <w:r w:rsidRPr="00D926EB">
        <w:rPr>
          <w:b/>
          <w:bCs/>
          <w:lang w:val="en-US"/>
        </w:rPr>
        <w:t>in the venous effluent</w:t>
      </w:r>
      <w:r w:rsidRPr="00C8482B">
        <w:rPr>
          <w:lang w:val="en-US"/>
        </w:rPr>
        <w:t xml:space="preserve"> of a representative isolated perfused rat liver</w:t>
      </w:r>
      <w:r w:rsidR="00966E50">
        <w:rPr>
          <w:lang w:val="en-US"/>
        </w:rPr>
        <w:t xml:space="preserve">, </w:t>
      </w:r>
      <w:r w:rsidRPr="00C8482B">
        <w:rPr>
          <w:lang w:val="en-US"/>
        </w:rPr>
        <w:t xml:space="preserve">following sequential </w:t>
      </w:r>
      <w:proofErr w:type="spellStart"/>
      <w:r w:rsidRPr="00C8482B">
        <w:rPr>
          <w:lang w:val="en-US"/>
        </w:rPr>
        <w:t>boli</w:t>
      </w:r>
      <w:proofErr w:type="spellEnd"/>
      <w:r>
        <w:rPr>
          <w:lang w:val="en-US"/>
        </w:rPr>
        <w:t xml:space="preserve"> </w:t>
      </w:r>
      <w:r w:rsidRPr="00C8482B">
        <w:rPr>
          <w:lang w:val="en-US"/>
        </w:rPr>
        <w:t xml:space="preserve">of 0.05 mM BR without or with either 2 mM </w:t>
      </w:r>
      <w:r w:rsidR="00923E5F">
        <w:rPr>
          <w:lang w:val="en-US"/>
        </w:rPr>
        <w:t>cyanidin 3-glucoside (</w:t>
      </w:r>
      <w:r w:rsidRPr="00C8482B">
        <w:rPr>
          <w:lang w:val="en-US"/>
        </w:rPr>
        <w:t>C3G</w:t>
      </w:r>
      <w:r w:rsidR="00923E5F">
        <w:rPr>
          <w:lang w:val="en-US"/>
        </w:rPr>
        <w:t>)</w:t>
      </w:r>
      <w:r w:rsidRPr="00C8482B">
        <w:rPr>
          <w:lang w:val="en-US"/>
        </w:rPr>
        <w:t xml:space="preserve"> or 6 mM </w:t>
      </w:r>
      <w:r w:rsidR="00923E5F">
        <w:rPr>
          <w:lang w:val="en-US"/>
        </w:rPr>
        <w:t>pravastatin (</w:t>
      </w:r>
      <w:r w:rsidRPr="00C8482B">
        <w:rPr>
          <w:lang w:val="en-US"/>
        </w:rPr>
        <w:t>PRV</w:t>
      </w:r>
      <w:r w:rsidR="00923E5F">
        <w:rPr>
          <w:lang w:val="en-US"/>
        </w:rPr>
        <w:t>)</w:t>
      </w:r>
      <w:r w:rsidR="007D0547">
        <w:rPr>
          <w:lang w:val="en-US"/>
        </w:rPr>
        <w:t>; bilirubin (</w:t>
      </w:r>
      <w:r w:rsidR="007D0547" w:rsidRPr="007D0547">
        <w:rPr>
          <w:lang w:val="en-US"/>
        </w:rPr>
        <w:t>BR</w:t>
      </w:r>
      <w:r w:rsidR="007D0547">
        <w:rPr>
          <w:lang w:val="en-US"/>
        </w:rPr>
        <w:t>)</w:t>
      </w:r>
      <w:r w:rsidR="007D0547" w:rsidRPr="007D0547">
        <w:rPr>
          <w:lang w:val="en-US"/>
        </w:rPr>
        <w:t xml:space="preserve"> </w:t>
      </w:r>
      <w:r w:rsidR="007D0547" w:rsidRPr="007D0547">
        <w:rPr>
          <w:lang w:val="en-US"/>
        </w:rPr>
        <w:t xml:space="preserve">in </w:t>
      </w:r>
      <w:r w:rsidR="007D0547" w:rsidRPr="007D0547">
        <w:rPr>
          <w:lang w:val="en-US"/>
        </w:rPr>
        <w:t xml:space="preserve">red </w:t>
      </w:r>
      <w:r w:rsidR="007D0547" w:rsidRPr="007D0547">
        <w:rPr>
          <w:lang w:val="en-US"/>
        </w:rPr>
        <w:t xml:space="preserve">and </w:t>
      </w:r>
      <w:r w:rsidR="007D0547">
        <w:rPr>
          <w:lang w:val="en-US"/>
        </w:rPr>
        <w:t>bilirubin glucuronide (</w:t>
      </w:r>
      <w:r w:rsidR="007D0547" w:rsidRPr="007D0547">
        <w:rPr>
          <w:lang w:val="en-US"/>
        </w:rPr>
        <w:t>BRG</w:t>
      </w:r>
      <w:r w:rsidR="007D0547">
        <w:rPr>
          <w:lang w:val="en-US"/>
        </w:rPr>
        <w:t>)</w:t>
      </w:r>
      <w:r w:rsidR="007D0547" w:rsidRPr="007D0547">
        <w:rPr>
          <w:lang w:val="en-US"/>
        </w:rPr>
        <w:t xml:space="preserve"> </w:t>
      </w:r>
      <w:r w:rsidR="007D0547" w:rsidRPr="007D0547">
        <w:rPr>
          <w:lang w:val="en-US"/>
        </w:rPr>
        <w:t>in blue</w:t>
      </w:r>
      <w:r w:rsidRPr="00C8482B">
        <w:rPr>
          <w:lang w:val="en-GB"/>
        </w:rPr>
        <w:t xml:space="preserve">. </w:t>
      </w:r>
      <w:r w:rsidR="00D926EB" w:rsidRPr="00D926EB">
        <w:rPr>
          <w:b/>
          <w:bCs/>
          <w:lang w:val="en-GB"/>
        </w:rPr>
        <w:t>(</w:t>
      </w:r>
      <w:r w:rsidR="007D0547">
        <w:rPr>
          <w:b/>
          <w:bCs/>
          <w:lang w:val="en-GB"/>
        </w:rPr>
        <w:t>B</w:t>
      </w:r>
      <w:r w:rsidR="00D926EB" w:rsidRPr="00D926EB">
        <w:rPr>
          <w:b/>
          <w:bCs/>
          <w:lang w:val="en-GB"/>
        </w:rPr>
        <w:t>)</w:t>
      </w:r>
      <w:r w:rsidRPr="00D926EB">
        <w:rPr>
          <w:b/>
          <w:bCs/>
          <w:lang w:val="en-GB"/>
        </w:rPr>
        <w:t xml:space="preserve"> </w:t>
      </w:r>
      <w:r w:rsidRPr="00D926EB">
        <w:rPr>
          <w:b/>
          <w:bCs/>
          <w:lang w:val="en-US"/>
        </w:rPr>
        <w:t>Box plots of peak areas</w:t>
      </w:r>
      <w:r w:rsidRPr="00C8482B">
        <w:rPr>
          <w:lang w:val="en-US"/>
        </w:rPr>
        <w:t xml:space="preserve"> of either BR (in red) or BRG (in blue)</w:t>
      </w:r>
      <w:r w:rsidR="00966E50">
        <w:rPr>
          <w:lang w:val="en-US"/>
        </w:rPr>
        <w:t>,</w:t>
      </w:r>
      <w:r w:rsidRPr="00C8482B">
        <w:rPr>
          <w:lang w:val="en-US"/>
        </w:rPr>
        <w:t xml:space="preserve"> resulting from </w:t>
      </w:r>
      <w:proofErr w:type="spellStart"/>
      <w:r w:rsidRPr="00C8482B">
        <w:rPr>
          <w:lang w:val="en-US"/>
        </w:rPr>
        <w:t>boli</w:t>
      </w:r>
      <w:proofErr w:type="spellEnd"/>
      <w:r w:rsidRPr="00C8482B">
        <w:rPr>
          <w:lang w:val="en-US"/>
        </w:rPr>
        <w:t xml:space="preserve"> of 0.05 mM BR </w:t>
      </w:r>
      <w:r w:rsidRPr="00C8482B">
        <w:rPr>
          <w:lang w:val="en-US"/>
        </w:rPr>
        <w:lastRenderedPageBreak/>
        <w:t>without (empty symbols) or with 6 mM C3G (closed symbols)</w:t>
      </w:r>
      <w:r w:rsidR="00966E50">
        <w:rPr>
          <w:lang w:val="en-US"/>
        </w:rPr>
        <w:t xml:space="preserve"> </w:t>
      </w:r>
      <w:r w:rsidRPr="00C8482B">
        <w:rPr>
          <w:lang w:val="en-US"/>
        </w:rPr>
        <w:t>(n livers = 2</w:t>
      </w:r>
      <w:r w:rsidR="00966E50">
        <w:rPr>
          <w:lang w:val="en-US"/>
        </w:rPr>
        <w:t>,</w:t>
      </w:r>
      <w:r w:rsidRPr="00C8482B">
        <w:rPr>
          <w:lang w:val="en-US"/>
        </w:rPr>
        <w:t xml:space="preserve"> n peak areas = 5). </w:t>
      </w:r>
      <w:r w:rsidR="009D55DF" w:rsidRPr="009D55DF">
        <w:rPr>
          <w:b/>
          <w:bCs/>
          <w:lang w:val="en-US"/>
        </w:rPr>
        <w:t>(</w:t>
      </w:r>
      <w:r w:rsidR="007D0547">
        <w:rPr>
          <w:b/>
          <w:bCs/>
          <w:lang w:val="en-US"/>
        </w:rPr>
        <w:t>C</w:t>
      </w:r>
      <w:r w:rsidR="009D55DF" w:rsidRPr="009D55DF">
        <w:rPr>
          <w:b/>
          <w:bCs/>
          <w:lang w:val="en-US"/>
        </w:rPr>
        <w:t>)</w:t>
      </w:r>
      <w:r w:rsidRPr="009D55DF">
        <w:rPr>
          <w:b/>
          <w:bCs/>
          <w:lang w:val="en-US"/>
        </w:rPr>
        <w:t xml:space="preserve"> Frequency analysis</w:t>
      </w:r>
      <w:r w:rsidRPr="00C8482B">
        <w:rPr>
          <w:lang w:val="en-US"/>
        </w:rPr>
        <w:t xml:space="preserve"> of the effect size of PRV inhibition of hepatic BR uptake. The effect size is calculated as ratio of each peak area resulting from co-injection of BR with PRV (AUC</w:t>
      </w:r>
      <w:r w:rsidRPr="00C8482B">
        <w:rPr>
          <w:vertAlign w:val="subscript"/>
          <w:lang w:val="en-US"/>
        </w:rPr>
        <w:t>PRV</w:t>
      </w:r>
      <w:r w:rsidRPr="00C8482B">
        <w:rPr>
          <w:lang w:val="en-US"/>
        </w:rPr>
        <w:t>) vs respective control BR peak area (</w:t>
      </w:r>
      <w:proofErr w:type="spellStart"/>
      <w:r w:rsidRPr="00C8482B">
        <w:rPr>
          <w:lang w:val="en-US"/>
        </w:rPr>
        <w:t>AUC</w:t>
      </w:r>
      <w:r w:rsidRPr="00C8482B">
        <w:rPr>
          <w:vertAlign w:val="subscript"/>
          <w:lang w:val="en-US"/>
        </w:rPr>
        <w:t>Ctrl</w:t>
      </w:r>
      <w:proofErr w:type="spellEnd"/>
      <w:r w:rsidRPr="00C8482B">
        <w:rPr>
          <w:lang w:val="en-US"/>
        </w:rPr>
        <w:t xml:space="preserve">). </w:t>
      </w:r>
      <w:r w:rsidR="009D55DF" w:rsidRPr="009D55DF">
        <w:rPr>
          <w:b/>
          <w:bCs/>
          <w:lang w:val="en-US"/>
        </w:rPr>
        <w:t>(</w:t>
      </w:r>
      <w:r w:rsidR="007D0547">
        <w:rPr>
          <w:b/>
          <w:bCs/>
          <w:lang w:val="en-US"/>
        </w:rPr>
        <w:t>D</w:t>
      </w:r>
      <w:r w:rsidR="009D55DF" w:rsidRPr="009D55DF">
        <w:rPr>
          <w:b/>
          <w:bCs/>
          <w:lang w:val="en-US"/>
        </w:rPr>
        <w:t>)</w:t>
      </w:r>
      <w:r w:rsidR="00BC1A25" w:rsidRPr="009D55DF">
        <w:rPr>
          <w:b/>
          <w:bCs/>
          <w:lang w:val="en-US"/>
        </w:rPr>
        <w:t xml:space="preserve"> </w:t>
      </w:r>
      <w:r w:rsidR="009D55DF">
        <w:rPr>
          <w:b/>
          <w:bCs/>
          <w:lang w:val="en-US"/>
        </w:rPr>
        <w:t>P</w:t>
      </w:r>
      <w:r w:rsidR="00BC1A25" w:rsidRPr="009D55DF">
        <w:rPr>
          <w:b/>
          <w:bCs/>
          <w:lang w:val="en-US"/>
        </w:rPr>
        <w:t>eak parameter statistics</w:t>
      </w:r>
      <w:r w:rsidR="00BC1A25" w:rsidRPr="009A0797">
        <w:rPr>
          <w:lang w:val="en-US"/>
        </w:rPr>
        <w:t>.</w:t>
      </w:r>
    </w:p>
    <w:p w14:paraId="0F03DB32" w14:textId="5225066E" w:rsidR="00710B8F" w:rsidRDefault="00710B8F" w:rsidP="003B76E2">
      <w:pPr>
        <w:ind w:left="708"/>
        <w:jc w:val="both"/>
        <w:rPr>
          <w:lang w:val="en-US"/>
        </w:rPr>
      </w:pPr>
    </w:p>
    <w:p w14:paraId="717490AF" w14:textId="1AC461E4" w:rsidR="00710B8F" w:rsidRDefault="00710B8F" w:rsidP="003B76E2">
      <w:pPr>
        <w:ind w:left="708"/>
        <w:jc w:val="both"/>
        <w:rPr>
          <w:lang w:val="en-US"/>
        </w:rPr>
      </w:pPr>
    </w:p>
    <w:p w14:paraId="7AEC21D2" w14:textId="77777777" w:rsidR="00710B8F" w:rsidRDefault="00710B8F" w:rsidP="003B76E2">
      <w:pPr>
        <w:ind w:left="708"/>
        <w:jc w:val="both"/>
        <w:rPr>
          <w:lang w:val="en-US"/>
        </w:rPr>
      </w:pPr>
    </w:p>
    <w:p w14:paraId="73CBD662" w14:textId="00F4537E" w:rsidR="008E3595" w:rsidRDefault="008E3595" w:rsidP="003B76E2">
      <w:pPr>
        <w:jc w:val="both"/>
        <w:rPr>
          <w:lang w:val="en-US"/>
        </w:rPr>
      </w:pPr>
    </w:p>
    <w:p w14:paraId="6DEC7119" w14:textId="77777777" w:rsidR="008E3595" w:rsidRDefault="008E3595" w:rsidP="003B76E2">
      <w:pPr>
        <w:ind w:left="708"/>
        <w:jc w:val="both"/>
        <w:rPr>
          <w:lang w:val="en-US"/>
        </w:rPr>
      </w:pPr>
    </w:p>
    <w:p w14:paraId="22BBC3E5" w14:textId="77777777" w:rsidR="008E3595" w:rsidRDefault="008E3595" w:rsidP="003B76E2">
      <w:pPr>
        <w:ind w:left="708"/>
        <w:jc w:val="both"/>
        <w:rPr>
          <w:lang w:val="en-US"/>
        </w:rPr>
      </w:pPr>
    </w:p>
    <w:p w14:paraId="1856ECC1" w14:textId="77777777" w:rsidR="008E3595" w:rsidRDefault="008E3595" w:rsidP="003B76E2">
      <w:pPr>
        <w:ind w:left="708"/>
        <w:jc w:val="both"/>
        <w:rPr>
          <w:lang w:val="en-US"/>
        </w:rPr>
      </w:pPr>
    </w:p>
    <w:p w14:paraId="59C5634E" w14:textId="2C521788" w:rsidR="008E3595" w:rsidRDefault="008E3595" w:rsidP="003B76E2">
      <w:pPr>
        <w:ind w:left="708"/>
        <w:jc w:val="both"/>
        <w:rPr>
          <w:lang w:val="en-US"/>
        </w:rPr>
      </w:pPr>
    </w:p>
    <w:p w14:paraId="645D8B14" w14:textId="0BB855D9" w:rsidR="004B6BBA" w:rsidRDefault="004B6BBA" w:rsidP="003B76E2">
      <w:pPr>
        <w:ind w:left="708"/>
        <w:jc w:val="both"/>
        <w:rPr>
          <w:lang w:val="en-US"/>
        </w:rPr>
      </w:pPr>
    </w:p>
    <w:p w14:paraId="39C22945" w14:textId="77777777" w:rsidR="00A207F7" w:rsidRDefault="00A207F7" w:rsidP="003B76E2">
      <w:pPr>
        <w:ind w:left="708"/>
        <w:jc w:val="both"/>
        <w:rPr>
          <w:lang w:val="en-US"/>
        </w:rPr>
      </w:pPr>
    </w:p>
    <w:p w14:paraId="1DDBE4F7" w14:textId="77777777" w:rsidR="00A124B8" w:rsidRDefault="00A124B8" w:rsidP="003B76E2">
      <w:pPr>
        <w:jc w:val="both"/>
        <w:rPr>
          <w:color w:val="FF0000"/>
          <w:lang w:val="en-US"/>
        </w:rPr>
      </w:pPr>
    </w:p>
    <w:p w14:paraId="2A093D19" w14:textId="5C740B60" w:rsidR="00710B8F" w:rsidRDefault="00710B8F" w:rsidP="003B76E2">
      <w:pPr>
        <w:jc w:val="both"/>
        <w:rPr>
          <w:b/>
          <w:bCs/>
          <w:sz w:val="28"/>
          <w:szCs w:val="28"/>
          <w:lang w:val="en-US"/>
        </w:rPr>
      </w:pPr>
      <w:r>
        <w:rPr>
          <w:b/>
          <w:bCs/>
          <w:sz w:val="28"/>
          <w:szCs w:val="28"/>
          <w:lang w:val="en-US"/>
        </w:rPr>
        <w:br w:type="page"/>
      </w:r>
    </w:p>
    <w:p w14:paraId="6FFDB7E8" w14:textId="124BA112" w:rsidR="00441799" w:rsidRPr="007A47A0" w:rsidRDefault="007A47A0" w:rsidP="003B76E2">
      <w:pPr>
        <w:pStyle w:val="Titolo2"/>
        <w:jc w:val="both"/>
        <w:rPr>
          <w:lang w:val="en-US"/>
        </w:rPr>
      </w:pPr>
      <w:bookmarkStart w:id="25" w:name="_Toc89853432"/>
      <w:r w:rsidRPr="00585BFD">
        <w:rPr>
          <w:lang w:val="en-US"/>
        </w:rPr>
        <w:lastRenderedPageBreak/>
        <w:t>Fig. S</w:t>
      </w:r>
      <w:r w:rsidR="000A1A07" w:rsidRPr="00585BFD">
        <w:rPr>
          <w:lang w:val="en-US"/>
        </w:rPr>
        <w:t>8</w:t>
      </w:r>
      <w:r w:rsidRPr="00585BFD">
        <w:rPr>
          <w:lang w:val="en-US"/>
        </w:rPr>
        <w:t xml:space="preserve">. </w:t>
      </w:r>
      <w:r w:rsidR="007E07F8" w:rsidRPr="00585BFD">
        <w:rPr>
          <w:lang w:val="en-US"/>
        </w:rPr>
        <w:t>The</w:t>
      </w:r>
      <w:r w:rsidR="007E07F8" w:rsidRPr="007A47A0">
        <w:rPr>
          <w:lang w:val="en-US"/>
        </w:rPr>
        <w:t xml:space="preserve"> effect of pravastatin o</w:t>
      </w:r>
      <w:r w:rsidR="00CB739B" w:rsidRPr="007A47A0">
        <w:rPr>
          <w:lang w:val="en-US"/>
        </w:rPr>
        <w:t>n</w:t>
      </w:r>
      <w:r w:rsidR="007E07F8" w:rsidRPr="007A47A0">
        <w:rPr>
          <w:lang w:val="en-US"/>
        </w:rPr>
        <w:t xml:space="preserve"> the </w:t>
      </w:r>
      <w:r w:rsidR="00CB739B" w:rsidRPr="007A47A0">
        <w:rPr>
          <w:lang w:val="en-US"/>
        </w:rPr>
        <w:t>sinusoidal reuptake</w:t>
      </w:r>
      <w:r w:rsidR="007E07F8" w:rsidRPr="007A47A0">
        <w:rPr>
          <w:lang w:val="en-US"/>
        </w:rPr>
        <w:t xml:space="preserve"> of </w:t>
      </w:r>
      <w:r w:rsidR="00CB739B" w:rsidRPr="007A47A0">
        <w:rPr>
          <w:lang w:val="en-US"/>
        </w:rPr>
        <w:t>bilirubin glucuronide</w:t>
      </w:r>
      <w:bookmarkEnd w:id="25"/>
      <w:r w:rsidR="007E07F8" w:rsidRPr="007A47A0">
        <w:rPr>
          <w:lang w:val="en-US"/>
        </w:rPr>
        <w:t xml:space="preserve"> </w:t>
      </w:r>
      <w:r w:rsidR="00CB739B" w:rsidRPr="007A47A0">
        <w:rPr>
          <w:lang w:val="en-US"/>
        </w:rPr>
        <w:t xml:space="preserve"> </w:t>
      </w:r>
    </w:p>
    <w:p w14:paraId="19E82EBF" w14:textId="77777777" w:rsidR="007E07F8" w:rsidRPr="007E07F8" w:rsidRDefault="007E07F8" w:rsidP="003B76E2">
      <w:pPr>
        <w:jc w:val="both"/>
        <w:rPr>
          <w:b/>
          <w:bCs/>
          <w:sz w:val="28"/>
          <w:szCs w:val="28"/>
          <w:lang w:val="en-US"/>
        </w:rPr>
      </w:pPr>
    </w:p>
    <w:p w14:paraId="1CD70068" w14:textId="7744BFAE" w:rsidR="008E3595" w:rsidRDefault="00A207F7" w:rsidP="003B76E2">
      <w:pPr>
        <w:widowControl w:val="0"/>
        <w:autoSpaceDE w:val="0"/>
        <w:autoSpaceDN w:val="0"/>
        <w:adjustRightInd w:val="0"/>
        <w:ind w:left="480" w:hanging="480"/>
        <w:jc w:val="both"/>
        <w:rPr>
          <w:lang w:val="en-US"/>
        </w:rPr>
      </w:pPr>
      <w:r w:rsidRPr="00A207F7">
        <w:rPr>
          <w:noProof/>
          <w:lang w:val="en-US"/>
        </w:rPr>
        <w:drawing>
          <wp:inline distT="0" distB="0" distL="0" distR="0" wp14:anchorId="237A6F72" wp14:editId="6D5E0466">
            <wp:extent cx="5731510" cy="3198495"/>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31510" cy="3198495"/>
                    </a:xfrm>
                    <a:prstGeom prst="rect">
                      <a:avLst/>
                    </a:prstGeom>
                  </pic:spPr>
                </pic:pic>
              </a:graphicData>
            </a:graphic>
          </wp:inline>
        </w:drawing>
      </w:r>
    </w:p>
    <w:p w14:paraId="7F374CDA" w14:textId="2BB15BE6" w:rsidR="008E3595" w:rsidRDefault="008E3595" w:rsidP="003B76E2">
      <w:pPr>
        <w:pStyle w:val="NormaleWeb"/>
        <w:spacing w:before="0" w:beforeAutospacing="0" w:after="0" w:afterAutospacing="0"/>
        <w:jc w:val="both"/>
        <w:rPr>
          <w:rFonts w:eastAsia="+mn-ea"/>
          <w:color w:val="000000"/>
          <w:lang w:val="en-US"/>
        </w:rPr>
      </w:pPr>
      <w:r w:rsidRPr="00A65908">
        <w:rPr>
          <w:rFonts w:eastAsia="+mn-ea"/>
          <w:b/>
          <w:bCs/>
          <w:color w:val="000000"/>
          <w:lang w:val="en-US"/>
        </w:rPr>
        <w:t>Fig. S</w:t>
      </w:r>
      <w:r w:rsidR="00B346DB">
        <w:rPr>
          <w:rFonts w:eastAsia="+mn-ea"/>
          <w:b/>
          <w:bCs/>
          <w:color w:val="000000"/>
          <w:lang w:val="en-US"/>
        </w:rPr>
        <w:t>8</w:t>
      </w:r>
      <w:r w:rsidR="007A47A0">
        <w:rPr>
          <w:rFonts w:eastAsia="+mn-ea"/>
          <w:b/>
          <w:bCs/>
          <w:color w:val="000000"/>
          <w:lang w:val="en-US"/>
        </w:rPr>
        <w:t>.</w:t>
      </w:r>
      <w:r>
        <w:rPr>
          <w:sz w:val="44"/>
          <w:szCs w:val="44"/>
          <w:lang w:val="en-GB"/>
        </w:rPr>
        <w:t xml:space="preserve"> </w:t>
      </w:r>
      <w:r>
        <w:rPr>
          <w:rFonts w:eastAsia="+mn-ea"/>
          <w:b/>
          <w:bCs/>
          <w:color w:val="000000"/>
          <w:lang w:val="en-US"/>
        </w:rPr>
        <w:t xml:space="preserve">The effects of </w:t>
      </w:r>
      <w:r w:rsidR="00A65908">
        <w:rPr>
          <w:rFonts w:eastAsia="+mn-ea"/>
          <w:b/>
          <w:bCs/>
          <w:color w:val="000000"/>
          <w:lang w:val="en-US"/>
        </w:rPr>
        <w:t xml:space="preserve">pravastatin and </w:t>
      </w:r>
      <w:r w:rsidR="00B51A2B">
        <w:rPr>
          <w:rFonts w:eastAsia="+mn-ea"/>
          <w:b/>
          <w:bCs/>
          <w:color w:val="000000"/>
          <w:lang w:val="en-US"/>
        </w:rPr>
        <w:t>estradiol</w:t>
      </w:r>
      <w:r w:rsidR="00B51A2B" w:rsidRPr="00B51A2B">
        <w:rPr>
          <w:b/>
          <w:bCs/>
          <w:lang w:val="en-US"/>
        </w:rPr>
        <w:t>-17 beta-glucuronide</w:t>
      </w:r>
      <w:r w:rsidR="00B51A2B">
        <w:rPr>
          <w:lang w:val="en-US"/>
        </w:rPr>
        <w:t xml:space="preserve"> </w:t>
      </w:r>
      <w:r>
        <w:rPr>
          <w:rFonts w:eastAsia="+mn-ea"/>
          <w:b/>
          <w:bCs/>
          <w:color w:val="000000"/>
          <w:lang w:val="en-US"/>
        </w:rPr>
        <w:t xml:space="preserve">on hepatic uptake of </w:t>
      </w:r>
      <w:r w:rsidR="00BC221F">
        <w:rPr>
          <w:rFonts w:eastAsia="+mn-ea"/>
          <w:b/>
          <w:bCs/>
          <w:color w:val="000000"/>
          <w:lang w:val="en-US"/>
        </w:rPr>
        <w:t xml:space="preserve">bilirubin </w:t>
      </w:r>
      <w:r>
        <w:rPr>
          <w:rFonts w:eastAsia="+mn-ea"/>
          <w:b/>
          <w:bCs/>
          <w:color w:val="000000"/>
          <w:lang w:val="en-US"/>
        </w:rPr>
        <w:t xml:space="preserve">and </w:t>
      </w:r>
      <w:r w:rsidR="00BC221F">
        <w:rPr>
          <w:rFonts w:eastAsia="+mn-ea"/>
          <w:b/>
          <w:bCs/>
          <w:color w:val="000000"/>
          <w:lang w:val="en-US"/>
        </w:rPr>
        <w:t>bilirubin glucuronide</w:t>
      </w:r>
      <w:r>
        <w:rPr>
          <w:rFonts w:eastAsia="+mn-ea"/>
          <w:b/>
          <w:bCs/>
          <w:color w:val="000000"/>
          <w:lang w:val="en-US"/>
        </w:rPr>
        <w:t xml:space="preserve">. </w:t>
      </w:r>
      <w:r w:rsidR="007D0547" w:rsidRPr="000010A0">
        <w:rPr>
          <w:lang w:val="en-US"/>
        </w:rPr>
        <w:t xml:space="preserve">Concentrations of bilirubin </w:t>
      </w:r>
      <w:r w:rsidR="000010A0">
        <w:rPr>
          <w:lang w:val="en-US"/>
        </w:rPr>
        <w:t xml:space="preserve">(BR, in red) </w:t>
      </w:r>
      <w:r w:rsidR="007D0547" w:rsidRPr="000010A0">
        <w:rPr>
          <w:lang w:val="en-US"/>
        </w:rPr>
        <w:t xml:space="preserve">and bilirubin glucuronide </w:t>
      </w:r>
      <w:r w:rsidR="000010A0">
        <w:rPr>
          <w:lang w:val="en-US"/>
        </w:rPr>
        <w:t xml:space="preserve">(BRG, in blue) </w:t>
      </w:r>
      <w:r w:rsidR="007D0547" w:rsidRPr="000010A0">
        <w:rPr>
          <w:lang w:val="en-US"/>
        </w:rPr>
        <w:t>in the venous effluent</w:t>
      </w:r>
      <w:r>
        <w:rPr>
          <w:rFonts w:eastAsia="+mn-ea"/>
          <w:color w:val="000000"/>
          <w:lang w:val="en-US"/>
        </w:rPr>
        <w:t xml:space="preserve"> </w:t>
      </w:r>
      <w:r w:rsidR="007D0547">
        <w:rPr>
          <w:rFonts w:eastAsia="+mn-ea"/>
          <w:color w:val="000000"/>
          <w:lang w:val="en-US"/>
        </w:rPr>
        <w:t xml:space="preserve">of </w:t>
      </w:r>
      <w:r w:rsidR="00BC221F">
        <w:rPr>
          <w:rFonts w:eastAsia="+mn-ea"/>
          <w:color w:val="000000"/>
          <w:lang w:val="en-US"/>
        </w:rPr>
        <w:t xml:space="preserve">one </w:t>
      </w:r>
      <w:r>
        <w:rPr>
          <w:rFonts w:eastAsia="+mn-ea"/>
          <w:color w:val="000000"/>
          <w:lang w:val="en-US"/>
        </w:rPr>
        <w:t xml:space="preserve">representative isolated perfused rat liver. </w:t>
      </w:r>
      <w:proofErr w:type="spellStart"/>
      <w:r>
        <w:rPr>
          <w:rFonts w:eastAsia="+mn-ea"/>
          <w:color w:val="000000"/>
          <w:lang w:val="en-US"/>
        </w:rPr>
        <w:t>Boli</w:t>
      </w:r>
      <w:proofErr w:type="spellEnd"/>
      <w:r>
        <w:rPr>
          <w:rFonts w:eastAsia="+mn-ea"/>
          <w:color w:val="000000"/>
          <w:lang w:val="en-US"/>
        </w:rPr>
        <w:t xml:space="preserve"> of 6 mM </w:t>
      </w:r>
      <w:r w:rsidR="00441BFF">
        <w:rPr>
          <w:rFonts w:eastAsia="+mn-ea"/>
          <w:color w:val="000000"/>
          <w:lang w:val="en-US"/>
        </w:rPr>
        <w:t>pravastatin (</w:t>
      </w:r>
      <w:r>
        <w:rPr>
          <w:rFonts w:eastAsia="+mn-ea"/>
          <w:color w:val="000000"/>
          <w:lang w:val="en-US"/>
        </w:rPr>
        <w:t>PRV</w:t>
      </w:r>
      <w:r w:rsidR="00441BFF">
        <w:rPr>
          <w:rFonts w:eastAsia="+mn-ea"/>
          <w:color w:val="000000"/>
          <w:lang w:val="en-US"/>
        </w:rPr>
        <w:t>)</w:t>
      </w:r>
      <w:r w:rsidR="00C20014">
        <w:rPr>
          <w:rFonts w:eastAsia="+mn-ea"/>
          <w:color w:val="000000"/>
          <w:lang w:val="en-US"/>
        </w:rPr>
        <w:t xml:space="preserve"> </w:t>
      </w:r>
      <w:r>
        <w:rPr>
          <w:rFonts w:eastAsia="+mn-ea"/>
          <w:color w:val="000000"/>
          <w:lang w:val="en-US"/>
        </w:rPr>
        <w:t>were injected alone (</w:t>
      </w:r>
      <w:proofErr w:type="spellStart"/>
      <w:r>
        <w:rPr>
          <w:rFonts w:eastAsia="+mn-ea"/>
          <w:color w:val="000000"/>
          <w:lang w:val="en-US"/>
        </w:rPr>
        <w:t>boli</w:t>
      </w:r>
      <w:proofErr w:type="spellEnd"/>
      <w:r>
        <w:rPr>
          <w:rFonts w:eastAsia="+mn-ea"/>
          <w:color w:val="000000"/>
          <w:lang w:val="en-US"/>
        </w:rPr>
        <w:t xml:space="preserve"> 2</w:t>
      </w:r>
      <w:r w:rsidR="00C20014">
        <w:rPr>
          <w:rFonts w:eastAsia="+mn-ea"/>
          <w:color w:val="000000"/>
          <w:lang w:val="en-US"/>
        </w:rPr>
        <w:t>-3</w:t>
      </w:r>
      <w:r>
        <w:rPr>
          <w:rFonts w:eastAsia="+mn-ea"/>
          <w:color w:val="000000"/>
          <w:lang w:val="en-US"/>
        </w:rPr>
        <w:t>)</w:t>
      </w:r>
      <w:r w:rsidR="00BC221F">
        <w:rPr>
          <w:rFonts w:eastAsia="+mn-ea"/>
          <w:color w:val="000000"/>
          <w:lang w:val="en-US"/>
        </w:rPr>
        <w:t>,</w:t>
      </w:r>
      <w:r w:rsidR="00C20014">
        <w:rPr>
          <w:rFonts w:eastAsia="+mn-ea"/>
          <w:color w:val="000000"/>
          <w:lang w:val="en-US"/>
        </w:rPr>
        <w:t xml:space="preserve"> before exposing the liver to BR.  After two BR </w:t>
      </w:r>
      <w:proofErr w:type="spellStart"/>
      <w:r w:rsidR="00C20014">
        <w:rPr>
          <w:rFonts w:eastAsia="+mn-ea"/>
          <w:color w:val="000000"/>
          <w:lang w:val="en-US"/>
        </w:rPr>
        <w:t>boli</w:t>
      </w:r>
      <w:proofErr w:type="spellEnd"/>
      <w:r w:rsidR="00C20014">
        <w:rPr>
          <w:rFonts w:eastAsia="+mn-ea"/>
          <w:color w:val="000000"/>
          <w:lang w:val="en-US"/>
        </w:rPr>
        <w:t xml:space="preserve"> (</w:t>
      </w:r>
      <w:r>
        <w:rPr>
          <w:rFonts w:eastAsia="+mn-ea"/>
          <w:color w:val="000000"/>
          <w:lang w:val="en-US"/>
        </w:rPr>
        <w:t>0.05 mM</w:t>
      </w:r>
      <w:r w:rsidR="00C20014">
        <w:rPr>
          <w:rFonts w:eastAsia="+mn-ea"/>
          <w:color w:val="000000"/>
          <w:lang w:val="en-US"/>
        </w:rPr>
        <w:t xml:space="preserve">; </w:t>
      </w:r>
      <w:proofErr w:type="spellStart"/>
      <w:r w:rsidR="00C20014">
        <w:rPr>
          <w:rFonts w:eastAsia="+mn-ea"/>
          <w:color w:val="000000"/>
          <w:lang w:val="en-US"/>
        </w:rPr>
        <w:t>boli</w:t>
      </w:r>
      <w:proofErr w:type="spellEnd"/>
      <w:r w:rsidR="00C20014">
        <w:rPr>
          <w:rFonts w:eastAsia="+mn-ea"/>
          <w:color w:val="000000"/>
          <w:lang w:val="en-US"/>
        </w:rPr>
        <w:t xml:space="preserve"> 7-8)</w:t>
      </w:r>
      <w:r w:rsidR="00BC221F">
        <w:rPr>
          <w:rFonts w:eastAsia="+mn-ea"/>
          <w:color w:val="000000"/>
          <w:lang w:val="en-US"/>
        </w:rPr>
        <w:t>,</w:t>
      </w:r>
      <w:r w:rsidR="00C20014">
        <w:rPr>
          <w:rFonts w:eastAsia="+mn-ea"/>
          <w:color w:val="000000"/>
          <w:lang w:val="en-US"/>
        </w:rPr>
        <w:t xml:space="preserve"> PRV </w:t>
      </w:r>
      <w:proofErr w:type="spellStart"/>
      <w:r w:rsidR="00A65908">
        <w:rPr>
          <w:rFonts w:eastAsia="+mn-ea"/>
          <w:color w:val="000000"/>
          <w:lang w:val="en-US"/>
        </w:rPr>
        <w:t>boli</w:t>
      </w:r>
      <w:proofErr w:type="spellEnd"/>
      <w:r w:rsidR="00A65908">
        <w:rPr>
          <w:rFonts w:eastAsia="+mn-ea"/>
          <w:color w:val="000000"/>
          <w:lang w:val="en-US"/>
        </w:rPr>
        <w:t xml:space="preserve"> </w:t>
      </w:r>
      <w:r w:rsidR="00C20014">
        <w:rPr>
          <w:rFonts w:eastAsia="+mn-ea"/>
          <w:color w:val="000000"/>
          <w:lang w:val="en-US"/>
        </w:rPr>
        <w:t xml:space="preserve">(6 mM) </w:t>
      </w:r>
      <w:r w:rsidR="00A65908">
        <w:rPr>
          <w:rFonts w:eastAsia="+mn-ea"/>
          <w:color w:val="000000"/>
          <w:lang w:val="en-US"/>
        </w:rPr>
        <w:t>were</w:t>
      </w:r>
      <w:r w:rsidR="00C20014">
        <w:rPr>
          <w:rFonts w:eastAsia="+mn-ea"/>
          <w:color w:val="000000"/>
          <w:lang w:val="en-US"/>
        </w:rPr>
        <w:t xml:space="preserve"> injected with BR (0.05 mM; </w:t>
      </w:r>
      <w:proofErr w:type="spellStart"/>
      <w:r w:rsidR="00C20014">
        <w:rPr>
          <w:rFonts w:eastAsia="+mn-ea"/>
          <w:color w:val="000000"/>
          <w:lang w:val="en-US"/>
        </w:rPr>
        <w:t>boli</w:t>
      </w:r>
      <w:proofErr w:type="spellEnd"/>
      <w:r w:rsidR="00C20014">
        <w:rPr>
          <w:rFonts w:eastAsia="+mn-ea"/>
          <w:color w:val="000000"/>
          <w:lang w:val="en-US"/>
        </w:rPr>
        <w:t xml:space="preserve"> </w:t>
      </w:r>
      <w:r>
        <w:rPr>
          <w:rFonts w:eastAsia="+mn-ea"/>
          <w:color w:val="000000"/>
          <w:lang w:val="en-US"/>
        </w:rPr>
        <w:t>9</w:t>
      </w:r>
      <w:r w:rsidR="00C20014">
        <w:rPr>
          <w:rFonts w:eastAsia="+mn-ea"/>
          <w:color w:val="000000"/>
          <w:lang w:val="en-US"/>
        </w:rPr>
        <w:t>-</w:t>
      </w:r>
      <w:r>
        <w:rPr>
          <w:rFonts w:eastAsia="+mn-ea"/>
          <w:color w:val="000000"/>
          <w:lang w:val="en-US"/>
        </w:rPr>
        <w:t>10</w:t>
      </w:r>
      <w:r w:rsidR="00C20014">
        <w:rPr>
          <w:rFonts w:eastAsia="+mn-ea"/>
          <w:color w:val="000000"/>
          <w:lang w:val="en-US"/>
        </w:rPr>
        <w:t xml:space="preserve">) or alone </w:t>
      </w:r>
      <w:r w:rsidR="00A65908">
        <w:rPr>
          <w:rFonts w:eastAsia="+mn-ea"/>
          <w:color w:val="000000"/>
          <w:lang w:val="en-US"/>
        </w:rPr>
        <w:t>(</w:t>
      </w:r>
      <w:proofErr w:type="spellStart"/>
      <w:r w:rsidR="00A65908">
        <w:rPr>
          <w:rFonts w:eastAsia="+mn-ea"/>
          <w:color w:val="000000"/>
          <w:lang w:val="en-US"/>
        </w:rPr>
        <w:t>boli</w:t>
      </w:r>
      <w:proofErr w:type="spellEnd"/>
      <w:r w:rsidR="00A65908">
        <w:rPr>
          <w:rFonts w:eastAsia="+mn-ea"/>
          <w:color w:val="000000"/>
          <w:lang w:val="en-US"/>
        </w:rPr>
        <w:t xml:space="preserve"> 11-12</w:t>
      </w:r>
      <w:r>
        <w:rPr>
          <w:rFonts w:eastAsia="+mn-ea"/>
          <w:color w:val="000000"/>
          <w:lang w:val="en-US"/>
        </w:rPr>
        <w:t>)</w:t>
      </w:r>
      <w:r w:rsidR="00A65908">
        <w:rPr>
          <w:rFonts w:eastAsia="+mn-ea"/>
          <w:color w:val="000000"/>
          <w:lang w:val="en-US"/>
        </w:rPr>
        <w:t xml:space="preserve">. </w:t>
      </w:r>
      <w:proofErr w:type="spellStart"/>
      <w:r w:rsidR="00A65908">
        <w:rPr>
          <w:rFonts w:eastAsia="+mn-ea"/>
          <w:color w:val="000000"/>
          <w:lang w:val="en-US"/>
        </w:rPr>
        <w:t>Boli</w:t>
      </w:r>
      <w:proofErr w:type="spellEnd"/>
      <w:r w:rsidR="00A65908">
        <w:rPr>
          <w:rFonts w:eastAsia="+mn-ea"/>
          <w:color w:val="000000"/>
          <w:lang w:val="en-US"/>
        </w:rPr>
        <w:t xml:space="preserve"> of 1 mM </w:t>
      </w:r>
      <w:r w:rsidR="00B51A2B">
        <w:rPr>
          <w:lang w:val="en-US"/>
        </w:rPr>
        <w:t>estradiol-</w:t>
      </w:r>
      <w:r w:rsidR="00B51A2B" w:rsidRPr="002C73C9">
        <w:rPr>
          <w:lang w:val="en-US"/>
        </w:rPr>
        <w:t>17</w:t>
      </w:r>
      <w:r w:rsidR="00B51A2B">
        <w:rPr>
          <w:lang w:val="en-US"/>
        </w:rPr>
        <w:t xml:space="preserve"> beta</w:t>
      </w:r>
      <w:r w:rsidR="00B51A2B" w:rsidRPr="002C73C9">
        <w:rPr>
          <w:lang w:val="en-US"/>
        </w:rPr>
        <w:t>-glucuronide</w:t>
      </w:r>
      <w:r w:rsidR="00441BFF" w:rsidRPr="002C73C9">
        <w:rPr>
          <w:lang w:val="en-US"/>
        </w:rPr>
        <w:t xml:space="preserve"> </w:t>
      </w:r>
      <w:r w:rsidR="00441BFF">
        <w:rPr>
          <w:lang w:val="en-US"/>
        </w:rPr>
        <w:t>(</w:t>
      </w:r>
      <w:r w:rsidR="00A65908">
        <w:rPr>
          <w:rFonts w:eastAsia="+mn-ea"/>
          <w:color w:val="000000"/>
          <w:lang w:val="en-US"/>
        </w:rPr>
        <w:t>E17G</w:t>
      </w:r>
      <w:r w:rsidR="00441BFF">
        <w:rPr>
          <w:rFonts w:eastAsia="+mn-ea"/>
          <w:color w:val="000000"/>
          <w:lang w:val="en-US"/>
        </w:rPr>
        <w:t>)</w:t>
      </w:r>
      <w:r w:rsidR="00A65908">
        <w:rPr>
          <w:rFonts w:eastAsia="+mn-ea"/>
          <w:color w:val="000000"/>
          <w:lang w:val="en-US"/>
        </w:rPr>
        <w:t xml:space="preserve"> were injected alone or with PRV (6 mM).</w:t>
      </w:r>
      <w:r w:rsidR="007D0547">
        <w:rPr>
          <w:rFonts w:eastAsia="+mn-ea"/>
          <w:color w:val="000000"/>
          <w:lang w:val="en-US"/>
        </w:rPr>
        <w:t xml:space="preserve"> </w:t>
      </w:r>
      <w:r w:rsidR="000010A0">
        <w:rPr>
          <w:lang w:val="en-US"/>
        </w:rPr>
        <w:t xml:space="preserve"> </w:t>
      </w:r>
    </w:p>
    <w:p w14:paraId="69D49BD9" w14:textId="11997C21" w:rsidR="00C20014" w:rsidRDefault="00C20014" w:rsidP="003B76E2">
      <w:pPr>
        <w:pStyle w:val="NormaleWeb"/>
        <w:spacing w:before="0" w:beforeAutospacing="0" w:after="0" w:afterAutospacing="0"/>
        <w:jc w:val="both"/>
        <w:rPr>
          <w:rFonts w:eastAsia="+mn-ea"/>
          <w:color w:val="000000"/>
          <w:lang w:val="en-US"/>
        </w:rPr>
      </w:pPr>
    </w:p>
    <w:p w14:paraId="696925CB" w14:textId="77777777" w:rsidR="009415D8" w:rsidRDefault="009415D8" w:rsidP="003B76E2">
      <w:pPr>
        <w:jc w:val="both"/>
        <w:rPr>
          <w:b/>
          <w:bCs/>
          <w:sz w:val="28"/>
          <w:szCs w:val="28"/>
          <w:lang w:val="en-US"/>
        </w:rPr>
      </w:pPr>
      <w:r>
        <w:rPr>
          <w:b/>
          <w:bCs/>
          <w:sz w:val="28"/>
          <w:szCs w:val="28"/>
          <w:lang w:val="en-US"/>
        </w:rPr>
        <w:br w:type="page"/>
      </w:r>
    </w:p>
    <w:p w14:paraId="363E1724" w14:textId="02EA5C38" w:rsidR="00CB739B" w:rsidRPr="007A47A0" w:rsidRDefault="007A47A0" w:rsidP="003B76E2">
      <w:pPr>
        <w:pStyle w:val="Titolo2"/>
        <w:jc w:val="both"/>
        <w:rPr>
          <w:lang w:val="en-US"/>
        </w:rPr>
      </w:pPr>
      <w:bookmarkStart w:id="26" w:name="_Toc89853433"/>
      <w:r w:rsidRPr="007A47A0">
        <w:rPr>
          <w:lang w:val="en-US"/>
        </w:rPr>
        <w:lastRenderedPageBreak/>
        <w:t>Fig. S</w:t>
      </w:r>
      <w:r w:rsidR="00A8030E">
        <w:rPr>
          <w:lang w:val="en-US"/>
        </w:rPr>
        <w:t>9</w:t>
      </w:r>
      <w:r w:rsidRPr="007A47A0">
        <w:rPr>
          <w:lang w:val="en-US"/>
        </w:rPr>
        <w:t xml:space="preserve">. </w:t>
      </w:r>
      <w:r w:rsidR="00CB739B" w:rsidRPr="007A47A0">
        <w:rPr>
          <w:lang w:val="en-US"/>
        </w:rPr>
        <w:t xml:space="preserve">The effects of indomethacin </w:t>
      </w:r>
      <w:r w:rsidR="0042410A" w:rsidRPr="007A47A0">
        <w:rPr>
          <w:lang w:val="en-US"/>
        </w:rPr>
        <w:t>and</w:t>
      </w:r>
      <w:r w:rsidR="0042410A" w:rsidRPr="007A47A0">
        <w:rPr>
          <w:lang w:val="en-US"/>
        </w:rPr>
        <w:t xml:space="preserve"> </w:t>
      </w:r>
      <w:r w:rsidR="0042410A" w:rsidRPr="007A47A0">
        <w:rPr>
          <w:lang w:val="en-US"/>
        </w:rPr>
        <w:t xml:space="preserve">ketoprofen </w:t>
      </w:r>
      <w:r w:rsidR="00CB739B" w:rsidRPr="007A47A0">
        <w:rPr>
          <w:lang w:val="en-US"/>
        </w:rPr>
        <w:t>of the sinusoidal reuptake of bilirubin glucuronide</w:t>
      </w:r>
      <w:bookmarkEnd w:id="26"/>
      <w:r w:rsidR="00CB739B" w:rsidRPr="007A47A0">
        <w:rPr>
          <w:lang w:val="en-US"/>
        </w:rPr>
        <w:t xml:space="preserve">  </w:t>
      </w:r>
    </w:p>
    <w:p w14:paraId="41695037" w14:textId="098DDDE4" w:rsidR="008E3595" w:rsidRDefault="008E3595" w:rsidP="003B76E2">
      <w:pPr>
        <w:jc w:val="both"/>
        <w:rPr>
          <w:lang w:val="en-US"/>
        </w:rPr>
      </w:pPr>
    </w:p>
    <w:p w14:paraId="6EF808B0" w14:textId="169E4FCE" w:rsidR="00F40D06" w:rsidRDefault="00B01F2F" w:rsidP="003B76E2">
      <w:pPr>
        <w:jc w:val="both"/>
        <w:rPr>
          <w:lang w:val="en-GB"/>
        </w:rPr>
      </w:pPr>
      <w:r>
        <w:rPr>
          <w:noProof/>
          <w:lang w:val="en-GB"/>
        </w:rPr>
        <w:drawing>
          <wp:inline distT="0" distB="0" distL="0" distR="0" wp14:anchorId="526856D8" wp14:editId="38E70F1D">
            <wp:extent cx="5731510" cy="6323330"/>
            <wp:effectExtent l="0" t="0" r="0" b="0"/>
            <wp:docPr id="6" name="Immagine 6"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descr="Immagine che contiene testo&#10;&#10;Descrizione generata automaticament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31510" cy="6323330"/>
                    </a:xfrm>
                    <a:prstGeom prst="rect">
                      <a:avLst/>
                    </a:prstGeom>
                  </pic:spPr>
                </pic:pic>
              </a:graphicData>
            </a:graphic>
          </wp:inline>
        </w:drawing>
      </w:r>
    </w:p>
    <w:p w14:paraId="3C7231E3" w14:textId="21E21D28" w:rsidR="00F40D06" w:rsidRDefault="00F40D06" w:rsidP="003B76E2">
      <w:pPr>
        <w:jc w:val="both"/>
        <w:rPr>
          <w:lang w:val="en-US"/>
        </w:rPr>
      </w:pPr>
      <w:r w:rsidRPr="00C8482B">
        <w:rPr>
          <w:b/>
          <w:bCs/>
          <w:lang w:val="en-US"/>
        </w:rPr>
        <w:t xml:space="preserve">Fig. </w:t>
      </w:r>
      <w:r>
        <w:rPr>
          <w:b/>
          <w:bCs/>
          <w:lang w:val="en-US"/>
        </w:rPr>
        <w:t>S</w:t>
      </w:r>
      <w:r w:rsidR="00A8030E">
        <w:rPr>
          <w:b/>
          <w:bCs/>
          <w:lang w:val="en-US"/>
        </w:rPr>
        <w:t>9.</w:t>
      </w:r>
      <w:r w:rsidRPr="00C8482B">
        <w:rPr>
          <w:lang w:val="en-US"/>
        </w:rPr>
        <w:t xml:space="preserve"> </w:t>
      </w:r>
      <w:r w:rsidRPr="00C8482B">
        <w:rPr>
          <w:b/>
          <w:bCs/>
          <w:lang w:val="en-US"/>
        </w:rPr>
        <w:t xml:space="preserve">The effects of indomethacin and ketoprofen on hepatic uptake of </w:t>
      </w:r>
      <w:r w:rsidR="003F0205">
        <w:rPr>
          <w:b/>
          <w:bCs/>
          <w:lang w:val="en-US"/>
        </w:rPr>
        <w:t>bilirubin</w:t>
      </w:r>
      <w:r w:rsidRPr="00C8482B">
        <w:rPr>
          <w:b/>
          <w:bCs/>
          <w:lang w:val="en-US"/>
        </w:rPr>
        <w:t xml:space="preserve"> and </w:t>
      </w:r>
      <w:r w:rsidR="003F0205">
        <w:rPr>
          <w:b/>
          <w:bCs/>
          <w:lang w:val="en-US"/>
        </w:rPr>
        <w:t>bilirubin glucuronide</w:t>
      </w:r>
      <w:r w:rsidRPr="00C8482B">
        <w:rPr>
          <w:b/>
          <w:bCs/>
          <w:lang w:val="en-US"/>
        </w:rPr>
        <w:t xml:space="preserve">. </w:t>
      </w:r>
      <w:r w:rsidRPr="00C8482B">
        <w:rPr>
          <w:lang w:val="en-US"/>
        </w:rPr>
        <w:t xml:space="preserve">Concentrations of </w:t>
      </w:r>
      <w:r w:rsidR="002D62F1">
        <w:rPr>
          <w:lang w:val="en-US"/>
        </w:rPr>
        <w:t>bilirubin (</w:t>
      </w:r>
      <w:r w:rsidRPr="00C8482B">
        <w:rPr>
          <w:lang w:val="en-US"/>
        </w:rPr>
        <w:t>BR</w:t>
      </w:r>
      <w:r w:rsidR="002D62F1">
        <w:rPr>
          <w:lang w:val="en-US"/>
        </w:rPr>
        <w:t xml:space="preserve">, in </w:t>
      </w:r>
      <w:r w:rsidRPr="00C8482B">
        <w:rPr>
          <w:lang w:val="en-US"/>
        </w:rPr>
        <w:t xml:space="preserve">red) and BRG (blue triangles) in the venous effluent of </w:t>
      </w:r>
      <w:r w:rsidR="002D62F1">
        <w:rPr>
          <w:lang w:val="en-US"/>
        </w:rPr>
        <w:t xml:space="preserve">a </w:t>
      </w:r>
      <w:r w:rsidRPr="00C8482B">
        <w:rPr>
          <w:lang w:val="en-US"/>
        </w:rPr>
        <w:t xml:space="preserve">representative isolated perfused rat liver. </w:t>
      </w:r>
      <w:proofErr w:type="spellStart"/>
      <w:r w:rsidRPr="004B48DE">
        <w:rPr>
          <w:b/>
          <w:bCs/>
          <w:lang w:val="en-US"/>
        </w:rPr>
        <w:t>Boli</w:t>
      </w:r>
      <w:proofErr w:type="spellEnd"/>
      <w:r w:rsidRPr="004B48DE">
        <w:rPr>
          <w:b/>
          <w:bCs/>
          <w:lang w:val="en-US"/>
        </w:rPr>
        <w:t xml:space="preserve"> of </w:t>
      </w:r>
      <w:r w:rsidRPr="004B48DE">
        <w:rPr>
          <w:b/>
          <w:bCs/>
          <w:color w:val="000000" w:themeColor="text1"/>
          <w:lang w:val="en-US"/>
        </w:rPr>
        <w:t>1</w:t>
      </w:r>
      <w:r w:rsidRPr="004B48DE">
        <w:rPr>
          <w:b/>
          <w:bCs/>
          <w:color w:val="FF0000"/>
          <w:lang w:val="en-US"/>
        </w:rPr>
        <w:t xml:space="preserve"> </w:t>
      </w:r>
      <w:r w:rsidRPr="004B48DE">
        <w:rPr>
          <w:b/>
          <w:bCs/>
          <w:lang w:val="en-US"/>
        </w:rPr>
        <w:t>mM indomethacin</w:t>
      </w:r>
      <w:r w:rsidRPr="00C8482B">
        <w:rPr>
          <w:lang w:val="en-US"/>
        </w:rPr>
        <w:t xml:space="preserve"> </w:t>
      </w:r>
      <w:r w:rsidR="0054104E" w:rsidRPr="004B48DE">
        <w:rPr>
          <w:b/>
          <w:bCs/>
          <w:lang w:val="en-US"/>
        </w:rPr>
        <w:t>(</w:t>
      </w:r>
      <w:r w:rsidR="0054104E">
        <w:rPr>
          <w:b/>
          <w:bCs/>
          <w:lang w:val="en-US"/>
        </w:rPr>
        <w:t>A</w:t>
      </w:r>
      <w:r w:rsidR="0054104E" w:rsidRPr="004B48DE">
        <w:rPr>
          <w:b/>
          <w:bCs/>
          <w:lang w:val="en-US"/>
        </w:rPr>
        <w:t xml:space="preserve">) </w:t>
      </w:r>
      <w:r w:rsidRPr="00C8482B">
        <w:rPr>
          <w:lang w:val="en-US"/>
        </w:rPr>
        <w:t xml:space="preserve">or </w:t>
      </w:r>
      <w:r w:rsidRPr="0054104E">
        <w:rPr>
          <w:b/>
          <w:bCs/>
          <w:lang w:val="en-US"/>
        </w:rPr>
        <w:t>1 mM ketoprofen</w:t>
      </w:r>
      <w:r w:rsidRPr="00C8482B">
        <w:rPr>
          <w:lang w:val="en-US"/>
        </w:rPr>
        <w:t xml:space="preserve"> </w:t>
      </w:r>
      <w:r w:rsidR="0054104E" w:rsidRPr="0054104E">
        <w:rPr>
          <w:b/>
          <w:bCs/>
          <w:lang w:val="en-US"/>
        </w:rPr>
        <w:t>(B)</w:t>
      </w:r>
      <w:r w:rsidRPr="00C8482B">
        <w:rPr>
          <w:lang w:val="en-US"/>
        </w:rPr>
        <w:t xml:space="preserve"> were injected alone (</w:t>
      </w:r>
      <w:proofErr w:type="spellStart"/>
      <w:r w:rsidRPr="00C8482B">
        <w:rPr>
          <w:lang w:val="en-US"/>
        </w:rPr>
        <w:t>boli</w:t>
      </w:r>
      <w:proofErr w:type="spellEnd"/>
      <w:r w:rsidRPr="00C8482B">
        <w:rPr>
          <w:lang w:val="en-US"/>
        </w:rPr>
        <w:t xml:space="preserve"> 2</w:t>
      </w:r>
      <w:r w:rsidR="002D62F1">
        <w:rPr>
          <w:lang w:val="en-US"/>
        </w:rPr>
        <w:t>,</w:t>
      </w:r>
      <w:r w:rsidRPr="00C8482B">
        <w:rPr>
          <w:lang w:val="en-US"/>
        </w:rPr>
        <w:t xml:space="preserve"> 4)</w:t>
      </w:r>
      <w:r w:rsidR="002D62F1">
        <w:rPr>
          <w:lang w:val="en-US"/>
        </w:rPr>
        <w:t>, or</w:t>
      </w:r>
      <w:r w:rsidRPr="00C8482B">
        <w:rPr>
          <w:lang w:val="en-US"/>
        </w:rPr>
        <w:t xml:space="preserve"> with 0.05 mM BR (</w:t>
      </w:r>
      <w:proofErr w:type="spellStart"/>
      <w:r w:rsidRPr="00C8482B">
        <w:rPr>
          <w:lang w:val="en-US"/>
        </w:rPr>
        <w:t>boli</w:t>
      </w:r>
      <w:proofErr w:type="spellEnd"/>
      <w:r w:rsidRPr="00C8482B">
        <w:rPr>
          <w:lang w:val="en-US"/>
        </w:rPr>
        <w:t xml:space="preserve"> 6</w:t>
      </w:r>
      <w:r w:rsidR="002D62F1">
        <w:rPr>
          <w:lang w:val="en-US"/>
        </w:rPr>
        <w:t>,</w:t>
      </w:r>
      <w:r w:rsidRPr="00C8482B">
        <w:rPr>
          <w:lang w:val="en-US"/>
        </w:rPr>
        <w:t xml:space="preserve"> 8)</w:t>
      </w:r>
      <w:r w:rsidR="002D62F1">
        <w:rPr>
          <w:lang w:val="en-US"/>
        </w:rPr>
        <w:t>,</w:t>
      </w:r>
      <w:r w:rsidRPr="00C8482B">
        <w:rPr>
          <w:lang w:val="en-US"/>
        </w:rPr>
        <w:t xml:space="preserve"> or with both 0.05 mM BR and 2 mM C3G (bolus 11); bolus 10 is 0.05 mM BR with 2 mM C3G</w:t>
      </w:r>
      <w:r w:rsidR="002D62F1">
        <w:rPr>
          <w:lang w:val="en-US"/>
        </w:rPr>
        <w:t>,</w:t>
      </w:r>
      <w:r w:rsidRPr="00C8482B">
        <w:rPr>
          <w:lang w:val="en-US"/>
        </w:rPr>
        <w:t xml:space="preserve"> as a control of BR uptake.  </w:t>
      </w:r>
    </w:p>
    <w:p w14:paraId="22863099" w14:textId="6611256E" w:rsidR="000D4D30" w:rsidRDefault="000D4D30" w:rsidP="003B76E2">
      <w:pPr>
        <w:jc w:val="both"/>
        <w:rPr>
          <w:lang w:val="en-US"/>
        </w:rPr>
      </w:pPr>
      <w:r>
        <w:rPr>
          <w:lang w:val="en-US"/>
        </w:rPr>
        <w:br w:type="page"/>
      </w:r>
    </w:p>
    <w:p w14:paraId="38D87316" w14:textId="7F9CDE5E" w:rsidR="0093061A" w:rsidRDefault="00BC3C8B" w:rsidP="003B76E2">
      <w:pPr>
        <w:pStyle w:val="Titolo2"/>
        <w:jc w:val="both"/>
        <w:rPr>
          <w:lang w:val="en-US"/>
        </w:rPr>
      </w:pPr>
      <w:bookmarkStart w:id="27" w:name="_Toc89853434"/>
      <w:r w:rsidRPr="007A47A0">
        <w:rPr>
          <w:lang w:val="en-US"/>
        </w:rPr>
        <w:lastRenderedPageBreak/>
        <w:t>Fig. S</w:t>
      </w:r>
      <w:r>
        <w:rPr>
          <w:lang w:val="en-US"/>
        </w:rPr>
        <w:t>10</w:t>
      </w:r>
      <w:r w:rsidRPr="007A47A0">
        <w:rPr>
          <w:lang w:val="en-US"/>
        </w:rPr>
        <w:t xml:space="preserve">. </w:t>
      </w:r>
      <w:r w:rsidR="000D4D30" w:rsidRPr="007E07F8">
        <w:rPr>
          <w:lang w:val="en-US"/>
        </w:rPr>
        <w:t xml:space="preserve">The </w:t>
      </w:r>
      <w:r w:rsidR="00050971">
        <w:rPr>
          <w:lang w:val="en-US"/>
        </w:rPr>
        <w:t xml:space="preserve">quantitative </w:t>
      </w:r>
      <w:r w:rsidR="000D4D30" w:rsidRPr="007E07F8">
        <w:rPr>
          <w:lang w:val="en-US"/>
        </w:rPr>
        <w:t xml:space="preserve">effect of </w:t>
      </w:r>
      <w:r w:rsidR="000D4D30">
        <w:rPr>
          <w:lang w:val="en-US"/>
        </w:rPr>
        <w:t>taurocholate of the sinusoidal reuptake of bilirubin glucuronide</w:t>
      </w:r>
      <w:bookmarkEnd w:id="27"/>
      <w:r w:rsidR="000D4D30">
        <w:rPr>
          <w:lang w:val="en-US"/>
        </w:rPr>
        <w:t xml:space="preserve"> </w:t>
      </w:r>
    </w:p>
    <w:p w14:paraId="61EBD04F" w14:textId="77777777" w:rsidR="00BC3C8B" w:rsidRDefault="000D4D30" w:rsidP="003B76E2">
      <w:pPr>
        <w:jc w:val="both"/>
        <w:rPr>
          <w:b/>
          <w:bCs/>
          <w:sz w:val="28"/>
          <w:szCs w:val="28"/>
          <w:lang w:val="en-US"/>
        </w:rPr>
      </w:pPr>
      <w:r>
        <w:rPr>
          <w:b/>
          <w:bCs/>
          <w:sz w:val="28"/>
          <w:szCs w:val="28"/>
          <w:lang w:val="en-US"/>
        </w:rPr>
        <w:t xml:space="preserve"> </w:t>
      </w:r>
    </w:p>
    <w:p w14:paraId="48186FE5" w14:textId="10492A63" w:rsidR="000D4D30" w:rsidRDefault="00BC3C8B" w:rsidP="003B76E2">
      <w:pPr>
        <w:jc w:val="both"/>
        <w:rPr>
          <w:b/>
          <w:bCs/>
          <w:sz w:val="28"/>
          <w:szCs w:val="28"/>
          <w:lang w:val="en-US"/>
        </w:rPr>
      </w:pPr>
      <w:r>
        <w:rPr>
          <w:b/>
          <w:bCs/>
          <w:sz w:val="28"/>
          <w:szCs w:val="28"/>
          <w:lang w:val="en-US"/>
        </w:rPr>
        <w:t>A</w:t>
      </w:r>
    </w:p>
    <w:p w14:paraId="2EEDD273" w14:textId="0313F44C" w:rsidR="00F40D06" w:rsidRDefault="005A63D8" w:rsidP="003B76E2">
      <w:pPr>
        <w:jc w:val="both"/>
        <w:rPr>
          <w:lang w:val="en-US"/>
        </w:rPr>
      </w:pPr>
      <w:r>
        <w:rPr>
          <w:noProof/>
        </w:rPr>
        <w:drawing>
          <wp:inline distT="0" distB="0" distL="0" distR="0" wp14:anchorId="2F8FC7F9" wp14:editId="6DA39B21">
            <wp:extent cx="5731510" cy="5206899"/>
            <wp:effectExtent l="0" t="0" r="0" b="635"/>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rotWithShape="1">
                    <a:blip r:embed="rId25" cstate="print">
                      <a:extLst>
                        <a:ext uri="{28A0092B-C50C-407E-A947-70E740481C1C}">
                          <a14:useLocalDpi xmlns:a14="http://schemas.microsoft.com/office/drawing/2010/main" val="0"/>
                        </a:ext>
                      </a:extLst>
                    </a:blip>
                    <a:srcRect t="6402" b="35029"/>
                    <a:stretch/>
                  </pic:blipFill>
                  <pic:spPr bwMode="auto">
                    <a:xfrm>
                      <a:off x="0" y="0"/>
                      <a:ext cx="5731510" cy="5206899"/>
                    </a:xfrm>
                    <a:prstGeom prst="rect">
                      <a:avLst/>
                    </a:prstGeom>
                    <a:ln>
                      <a:noFill/>
                    </a:ln>
                    <a:extLst>
                      <a:ext uri="{53640926-AAD7-44D8-BBD7-CCE9431645EC}">
                        <a14:shadowObscured xmlns:a14="http://schemas.microsoft.com/office/drawing/2010/main"/>
                      </a:ext>
                    </a:extLst>
                  </pic:spPr>
                </pic:pic>
              </a:graphicData>
            </a:graphic>
          </wp:inline>
        </w:drawing>
      </w:r>
    </w:p>
    <w:p w14:paraId="1621153F" w14:textId="77777777" w:rsidR="00A461A7" w:rsidRPr="0035404D" w:rsidRDefault="00A461A7" w:rsidP="003B76E2">
      <w:pPr>
        <w:jc w:val="both"/>
        <w:rPr>
          <w:color w:val="FF0000"/>
          <w:lang w:val="en-US"/>
        </w:rPr>
      </w:pPr>
    </w:p>
    <w:p w14:paraId="2B2BECE7" w14:textId="08735859" w:rsidR="00D311ED" w:rsidRDefault="00D311ED" w:rsidP="003B76E2">
      <w:pPr>
        <w:jc w:val="both"/>
        <w:rPr>
          <w:rFonts w:eastAsia="+mn-ea"/>
          <w:color w:val="000000"/>
          <w:lang w:val="en-US"/>
        </w:rPr>
      </w:pPr>
    </w:p>
    <w:p w14:paraId="2AB709E5" w14:textId="04677A46" w:rsidR="00D311ED" w:rsidRPr="00D311ED" w:rsidRDefault="00D311ED" w:rsidP="00D311ED">
      <w:pPr>
        <w:jc w:val="both"/>
        <w:rPr>
          <w:rFonts w:eastAsia="+mn-ea"/>
          <w:color w:val="000000"/>
          <w:lang w:val="en-US"/>
        </w:rPr>
      </w:pPr>
      <w:r w:rsidRPr="00C8482B">
        <w:rPr>
          <w:b/>
          <w:bCs/>
          <w:lang w:val="en-US"/>
        </w:rPr>
        <w:t xml:space="preserve">Fig. </w:t>
      </w:r>
      <w:r>
        <w:rPr>
          <w:b/>
          <w:bCs/>
          <w:lang w:val="en-US"/>
        </w:rPr>
        <w:t>S10A</w:t>
      </w:r>
      <w:r w:rsidRPr="00C8482B">
        <w:rPr>
          <w:lang w:val="en-US"/>
        </w:rPr>
        <w:t xml:space="preserve"> </w:t>
      </w:r>
      <w:r w:rsidRPr="00C8482B">
        <w:rPr>
          <w:b/>
          <w:bCs/>
          <w:lang w:val="en-US"/>
        </w:rPr>
        <w:t xml:space="preserve">The effects of </w:t>
      </w:r>
      <w:r>
        <w:rPr>
          <w:b/>
          <w:bCs/>
          <w:lang w:val="en-US"/>
        </w:rPr>
        <w:t xml:space="preserve">sequential </w:t>
      </w:r>
      <w:proofErr w:type="spellStart"/>
      <w:r>
        <w:rPr>
          <w:b/>
          <w:bCs/>
          <w:lang w:val="en-US"/>
        </w:rPr>
        <w:t>boli</w:t>
      </w:r>
      <w:proofErr w:type="spellEnd"/>
      <w:r>
        <w:rPr>
          <w:b/>
          <w:bCs/>
          <w:lang w:val="en-US"/>
        </w:rPr>
        <w:t xml:space="preserve"> of taurocholate on bilirubin glucuronide in the perfusion effluent</w:t>
      </w:r>
      <w:r w:rsidRPr="00C8482B">
        <w:rPr>
          <w:b/>
          <w:bCs/>
          <w:lang w:val="en-US"/>
        </w:rPr>
        <w:t xml:space="preserve">. </w:t>
      </w:r>
      <w:r>
        <w:rPr>
          <w:lang w:val="en-US"/>
        </w:rPr>
        <w:t>A</w:t>
      </w:r>
      <w:r>
        <w:rPr>
          <w:lang w:val="en-US"/>
        </w:rPr>
        <w:t xml:space="preserve"> </w:t>
      </w:r>
      <w:r w:rsidRPr="00C8482B">
        <w:rPr>
          <w:lang w:val="en-US"/>
        </w:rPr>
        <w:t>representative isolated perfused rat liver</w:t>
      </w:r>
      <w:r>
        <w:rPr>
          <w:lang w:val="en-US"/>
        </w:rPr>
        <w:t xml:space="preserve"> was tested with </w:t>
      </w:r>
      <w:proofErr w:type="spellStart"/>
      <w:r>
        <w:rPr>
          <w:lang w:val="en-US"/>
        </w:rPr>
        <w:t>b</w:t>
      </w:r>
      <w:r>
        <w:rPr>
          <w:lang w:val="en-US"/>
        </w:rPr>
        <w:t>oli</w:t>
      </w:r>
      <w:proofErr w:type="spellEnd"/>
      <w:r>
        <w:rPr>
          <w:lang w:val="en-US"/>
        </w:rPr>
        <w:t xml:space="preserve"> (0.2 mL) of 2 mM TC alone (</w:t>
      </w:r>
      <w:proofErr w:type="spellStart"/>
      <w:r>
        <w:rPr>
          <w:lang w:val="en-US"/>
        </w:rPr>
        <w:t>boli</w:t>
      </w:r>
      <w:proofErr w:type="spellEnd"/>
      <w:r>
        <w:rPr>
          <w:lang w:val="en-US"/>
        </w:rPr>
        <w:t xml:space="preserve"> 3, 5, 7, 9 and 11) or </w:t>
      </w:r>
      <w:r>
        <w:rPr>
          <w:lang w:val="en-US"/>
        </w:rPr>
        <w:t xml:space="preserve">2 mM TC with </w:t>
      </w:r>
      <w:r>
        <w:rPr>
          <w:lang w:val="en-US"/>
        </w:rPr>
        <w:t>2 mM C3G (bolus 6), or 2 mM TC with 0.05 mM bilirubin (BR) (bolus 8 and 10), or 2 mM TC with 1 mM e</w:t>
      </w:r>
      <w:r w:rsidRPr="002C73C9">
        <w:rPr>
          <w:lang w:val="en-US"/>
        </w:rPr>
        <w:t>stradiol</w:t>
      </w:r>
      <w:r>
        <w:rPr>
          <w:lang w:val="en-US"/>
        </w:rPr>
        <w:t>-</w:t>
      </w:r>
      <w:r w:rsidRPr="002C73C9">
        <w:rPr>
          <w:lang w:val="en-US"/>
        </w:rPr>
        <w:t>17</w:t>
      </w:r>
      <w:r>
        <w:rPr>
          <w:lang w:val="en-US"/>
        </w:rPr>
        <w:t xml:space="preserve"> beta</w:t>
      </w:r>
      <w:r w:rsidRPr="002C73C9">
        <w:rPr>
          <w:lang w:val="en-US"/>
        </w:rPr>
        <w:t>-glucuronide</w:t>
      </w:r>
      <w:r>
        <w:rPr>
          <w:lang w:val="en-US"/>
        </w:rPr>
        <w:t xml:space="preserve"> (</w:t>
      </w:r>
      <w:r>
        <w:rPr>
          <w:rFonts w:eastAsia="+mn-ea"/>
          <w:color w:val="000000"/>
          <w:lang w:val="en-US"/>
        </w:rPr>
        <w:t xml:space="preserve">E17G). </w:t>
      </w:r>
      <w:proofErr w:type="spellStart"/>
      <w:r>
        <w:rPr>
          <w:rFonts w:eastAsia="+mn-ea"/>
          <w:color w:val="000000"/>
          <w:lang w:val="en-US"/>
        </w:rPr>
        <w:t>Boli</w:t>
      </w:r>
      <w:proofErr w:type="spellEnd"/>
      <w:r>
        <w:rPr>
          <w:rFonts w:eastAsia="+mn-ea"/>
          <w:color w:val="000000"/>
          <w:lang w:val="en-US"/>
        </w:rPr>
        <w:t xml:space="preserve"> 1 (PBS solution) and 2 (2 mM C3G) were injected to assess the basal concentrations of TC, BR and BRG. </w:t>
      </w:r>
      <w:r>
        <w:rPr>
          <w:rFonts w:eastAsia="+mn-ea"/>
          <w:color w:val="000000"/>
          <w:lang w:val="en-US"/>
        </w:rPr>
        <w:t xml:space="preserve"> The effluent of the perfusion was </w:t>
      </w:r>
      <w:proofErr w:type="spellStart"/>
      <w:r>
        <w:rPr>
          <w:rFonts w:eastAsia="+mn-ea"/>
          <w:color w:val="000000"/>
          <w:lang w:val="en-US"/>
        </w:rPr>
        <w:t>analysed</w:t>
      </w:r>
      <w:proofErr w:type="spellEnd"/>
      <w:r>
        <w:rPr>
          <w:rFonts w:eastAsia="+mn-ea"/>
          <w:color w:val="000000"/>
          <w:lang w:val="en-US"/>
        </w:rPr>
        <w:t xml:space="preserve"> for </w:t>
      </w:r>
      <w:r w:rsidRPr="00D311ED">
        <w:rPr>
          <w:rFonts w:eastAsia="+mn-ea"/>
          <w:b/>
          <w:bCs/>
          <w:color w:val="000000"/>
          <w:lang w:val="en-US"/>
        </w:rPr>
        <w:t xml:space="preserve">(A) </w:t>
      </w:r>
      <w:r w:rsidRPr="00D311ED">
        <w:rPr>
          <w:b/>
          <w:bCs/>
          <w:lang w:val="en-US"/>
        </w:rPr>
        <w:t>Concentrations of taurocholate</w:t>
      </w:r>
      <w:r>
        <w:rPr>
          <w:lang w:val="en-US"/>
        </w:rPr>
        <w:t xml:space="preserve"> (TC)</w:t>
      </w:r>
      <w:r w:rsidRPr="00A461A7">
        <w:rPr>
          <w:lang w:val="en-US"/>
        </w:rPr>
        <w:t xml:space="preserve"> </w:t>
      </w:r>
      <w:r>
        <w:rPr>
          <w:lang w:val="en-US"/>
        </w:rPr>
        <w:t xml:space="preserve">or </w:t>
      </w:r>
      <w:r w:rsidRPr="00D311ED">
        <w:rPr>
          <w:b/>
          <w:bCs/>
          <w:lang w:val="en-US"/>
        </w:rPr>
        <w:t>(</w:t>
      </w:r>
      <w:r w:rsidRPr="00D311ED">
        <w:rPr>
          <w:b/>
          <w:bCs/>
          <w:lang w:val="en-US"/>
        </w:rPr>
        <w:t>B</w:t>
      </w:r>
      <w:r w:rsidRPr="00D311ED">
        <w:rPr>
          <w:b/>
          <w:bCs/>
          <w:lang w:val="en-US"/>
        </w:rPr>
        <w:t xml:space="preserve">) Concentrations </w:t>
      </w:r>
      <w:proofErr w:type="gramStart"/>
      <w:r w:rsidRPr="00D311ED">
        <w:rPr>
          <w:b/>
          <w:bCs/>
          <w:lang w:val="en-US"/>
        </w:rPr>
        <w:t>of  bilirubin</w:t>
      </w:r>
      <w:proofErr w:type="gramEnd"/>
      <w:r w:rsidRPr="00D311ED">
        <w:rPr>
          <w:b/>
          <w:bCs/>
          <w:lang w:val="en-US"/>
        </w:rPr>
        <w:t xml:space="preserve"> and bilirubin glucuronide </w:t>
      </w:r>
      <w:r w:rsidRPr="00D311ED">
        <w:rPr>
          <w:lang w:val="en-US"/>
        </w:rPr>
        <w:t>(BR, red</w:t>
      </w:r>
      <w:r w:rsidRPr="00D311ED">
        <w:rPr>
          <w:lang w:val="en-US"/>
        </w:rPr>
        <w:t>;</w:t>
      </w:r>
      <w:r w:rsidRPr="00D311ED">
        <w:rPr>
          <w:lang w:val="en-US"/>
        </w:rPr>
        <w:t xml:space="preserve"> BRG, blue)</w:t>
      </w:r>
      <w:r>
        <w:rPr>
          <w:lang w:val="en-US"/>
        </w:rPr>
        <w:t>.</w:t>
      </w:r>
    </w:p>
    <w:p w14:paraId="17D9048D" w14:textId="0D1B456F" w:rsidR="00D311ED" w:rsidRDefault="00D311ED" w:rsidP="00D311ED">
      <w:pPr>
        <w:jc w:val="both"/>
        <w:rPr>
          <w:rFonts w:eastAsia="+mn-ea"/>
          <w:color w:val="000000"/>
          <w:lang w:val="en-US"/>
        </w:rPr>
      </w:pPr>
      <w:r>
        <w:rPr>
          <w:lang w:val="en-US"/>
        </w:rPr>
        <w:t xml:space="preserve"> </w:t>
      </w:r>
    </w:p>
    <w:p w14:paraId="4C11148A" w14:textId="77777777" w:rsidR="00D311ED" w:rsidRDefault="00D311ED" w:rsidP="003B76E2">
      <w:pPr>
        <w:jc w:val="both"/>
        <w:rPr>
          <w:rFonts w:eastAsia="+mn-ea"/>
          <w:color w:val="000000"/>
          <w:lang w:val="en-US"/>
        </w:rPr>
      </w:pPr>
    </w:p>
    <w:p w14:paraId="3295AD4D" w14:textId="77777777" w:rsidR="0035404D" w:rsidRDefault="0035404D" w:rsidP="003B76E2">
      <w:pPr>
        <w:jc w:val="both"/>
        <w:rPr>
          <w:rFonts w:eastAsia="+mn-ea"/>
          <w:color w:val="000000"/>
          <w:lang w:val="en-US"/>
        </w:rPr>
      </w:pPr>
    </w:p>
    <w:p w14:paraId="568D7A76" w14:textId="3F93C0E0" w:rsidR="0035404D" w:rsidRDefault="0035404D" w:rsidP="003B76E2">
      <w:pPr>
        <w:jc w:val="both"/>
        <w:rPr>
          <w:rFonts w:eastAsia="+mn-ea"/>
          <w:color w:val="000000"/>
          <w:lang w:val="en-US"/>
        </w:rPr>
      </w:pPr>
    </w:p>
    <w:p w14:paraId="225B2C7D" w14:textId="7184A0AC" w:rsidR="00BC3C8B" w:rsidRDefault="00BC3C8B" w:rsidP="003B76E2">
      <w:pPr>
        <w:jc w:val="both"/>
        <w:rPr>
          <w:rFonts w:eastAsia="+mn-ea"/>
          <w:color w:val="000000"/>
          <w:lang w:val="en-US"/>
        </w:rPr>
      </w:pPr>
    </w:p>
    <w:p w14:paraId="5A2CB8A6" w14:textId="77777777" w:rsidR="00BC3C8B" w:rsidRDefault="00BC3C8B" w:rsidP="003B76E2">
      <w:pPr>
        <w:jc w:val="both"/>
        <w:rPr>
          <w:rFonts w:eastAsia="+mn-ea"/>
          <w:b/>
          <w:bCs/>
          <w:color w:val="000000"/>
          <w:lang w:val="en-US"/>
        </w:rPr>
      </w:pPr>
    </w:p>
    <w:p w14:paraId="5A407C06" w14:textId="77777777" w:rsidR="00BC3C8B" w:rsidRDefault="00BC3C8B" w:rsidP="003B76E2">
      <w:pPr>
        <w:jc w:val="both"/>
        <w:rPr>
          <w:rFonts w:eastAsia="+mn-ea"/>
          <w:b/>
          <w:bCs/>
          <w:color w:val="000000"/>
          <w:lang w:val="en-US"/>
        </w:rPr>
      </w:pPr>
    </w:p>
    <w:p w14:paraId="4B580848" w14:textId="77777777" w:rsidR="00BC3C8B" w:rsidRDefault="00BC3C8B" w:rsidP="003B76E2">
      <w:pPr>
        <w:jc w:val="both"/>
        <w:rPr>
          <w:rFonts w:eastAsia="+mn-ea"/>
          <w:b/>
          <w:bCs/>
          <w:color w:val="000000"/>
          <w:lang w:val="en-US"/>
        </w:rPr>
      </w:pPr>
    </w:p>
    <w:p w14:paraId="50344FD5" w14:textId="18C8F65A" w:rsidR="00BC3C8B" w:rsidRDefault="00BC3C8B" w:rsidP="003B76E2">
      <w:pPr>
        <w:jc w:val="both"/>
        <w:rPr>
          <w:rFonts w:eastAsia="+mn-ea"/>
          <w:b/>
          <w:bCs/>
          <w:color w:val="000000"/>
          <w:lang w:val="en-US"/>
        </w:rPr>
      </w:pPr>
    </w:p>
    <w:p w14:paraId="709FA459" w14:textId="77777777" w:rsidR="00A934D1" w:rsidRDefault="00A934D1" w:rsidP="003B76E2">
      <w:pPr>
        <w:jc w:val="both"/>
        <w:rPr>
          <w:rFonts w:eastAsia="+mn-ea"/>
          <w:b/>
          <w:bCs/>
          <w:color w:val="000000"/>
          <w:lang w:val="en-US"/>
        </w:rPr>
      </w:pPr>
    </w:p>
    <w:p w14:paraId="0814DD53" w14:textId="182B4CF7" w:rsidR="00BC3C8B" w:rsidRPr="00BC3C8B" w:rsidRDefault="00BC3C8B" w:rsidP="003B76E2">
      <w:pPr>
        <w:jc w:val="both"/>
        <w:rPr>
          <w:rFonts w:eastAsia="+mn-ea"/>
          <w:b/>
          <w:bCs/>
          <w:color w:val="000000"/>
          <w:lang w:val="en-US"/>
        </w:rPr>
      </w:pPr>
      <w:r w:rsidRPr="00BC3C8B">
        <w:rPr>
          <w:rFonts w:eastAsia="+mn-ea"/>
          <w:b/>
          <w:bCs/>
          <w:color w:val="000000"/>
          <w:lang w:val="en-US"/>
        </w:rPr>
        <w:t>B</w:t>
      </w:r>
    </w:p>
    <w:p w14:paraId="68ECB1C0" w14:textId="204F4DD0" w:rsidR="0035404D" w:rsidRDefault="005A63D8" w:rsidP="003B76E2">
      <w:pPr>
        <w:jc w:val="both"/>
        <w:rPr>
          <w:rFonts w:eastAsia="+mn-ea"/>
          <w:color w:val="000000"/>
          <w:lang w:val="en-US"/>
        </w:rPr>
      </w:pPr>
      <w:r>
        <w:rPr>
          <w:noProof/>
        </w:rPr>
        <w:drawing>
          <wp:inline distT="0" distB="0" distL="0" distR="0" wp14:anchorId="31A9B0EB" wp14:editId="55F50209">
            <wp:extent cx="5634990" cy="3437564"/>
            <wp:effectExtent l="0" t="0" r="3810" b="4445"/>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rotWithShape="1">
                    <a:blip r:embed="rId26" cstate="print">
                      <a:extLst>
                        <a:ext uri="{28A0092B-C50C-407E-A947-70E740481C1C}">
                          <a14:useLocalDpi xmlns:a14="http://schemas.microsoft.com/office/drawing/2010/main" val="0"/>
                        </a:ext>
                      </a:extLst>
                    </a:blip>
                    <a:srcRect t="62109"/>
                    <a:stretch/>
                  </pic:blipFill>
                  <pic:spPr bwMode="auto">
                    <a:xfrm>
                      <a:off x="0" y="0"/>
                      <a:ext cx="5634990" cy="3437564"/>
                    </a:xfrm>
                    <a:prstGeom prst="rect">
                      <a:avLst/>
                    </a:prstGeom>
                    <a:ln>
                      <a:noFill/>
                    </a:ln>
                    <a:extLst>
                      <a:ext uri="{53640926-AAD7-44D8-BBD7-CCE9431645EC}">
                        <a14:shadowObscured xmlns:a14="http://schemas.microsoft.com/office/drawing/2010/main"/>
                      </a:ext>
                    </a:extLst>
                  </pic:spPr>
                </pic:pic>
              </a:graphicData>
            </a:graphic>
          </wp:inline>
        </w:drawing>
      </w:r>
    </w:p>
    <w:p w14:paraId="1D68E1C8" w14:textId="77777777" w:rsidR="005A63D8" w:rsidRDefault="005A63D8" w:rsidP="003B76E2">
      <w:pPr>
        <w:jc w:val="both"/>
        <w:rPr>
          <w:rFonts w:eastAsia="+mn-ea"/>
          <w:color w:val="000000"/>
          <w:lang w:val="en-US"/>
        </w:rPr>
      </w:pPr>
    </w:p>
    <w:p w14:paraId="582BFEC1" w14:textId="536AAE26" w:rsidR="00A461A7" w:rsidRDefault="0035404D" w:rsidP="003B76E2">
      <w:pPr>
        <w:jc w:val="both"/>
        <w:rPr>
          <w:lang w:val="en-US"/>
        </w:rPr>
      </w:pPr>
      <w:r w:rsidRPr="00C8482B">
        <w:rPr>
          <w:b/>
          <w:bCs/>
          <w:lang w:val="en-US"/>
        </w:rPr>
        <w:t xml:space="preserve">Fig. </w:t>
      </w:r>
      <w:r>
        <w:rPr>
          <w:b/>
          <w:bCs/>
          <w:lang w:val="en-US"/>
        </w:rPr>
        <w:t>S1</w:t>
      </w:r>
      <w:r w:rsidR="006F1D91">
        <w:rPr>
          <w:b/>
          <w:bCs/>
          <w:lang w:val="en-US"/>
        </w:rPr>
        <w:t>0</w:t>
      </w:r>
      <w:r>
        <w:rPr>
          <w:b/>
          <w:bCs/>
          <w:lang w:val="en-US"/>
        </w:rPr>
        <w:t>B</w:t>
      </w:r>
      <w:r w:rsidRPr="00C8482B">
        <w:rPr>
          <w:lang w:val="en-US"/>
        </w:rPr>
        <w:t xml:space="preserve"> </w:t>
      </w:r>
      <w:r w:rsidR="00E66102" w:rsidRPr="0035404D">
        <w:rPr>
          <w:rFonts w:eastAsia="+mn-ea"/>
          <w:b/>
          <w:bCs/>
          <w:color w:val="000000"/>
          <w:lang w:val="en-US"/>
        </w:rPr>
        <w:t>Correlation between</w:t>
      </w:r>
      <w:r w:rsidR="00E66102">
        <w:rPr>
          <w:rFonts w:eastAsia="+mn-ea"/>
          <w:color w:val="000000"/>
          <w:lang w:val="en-US"/>
        </w:rPr>
        <w:t xml:space="preserve"> </w:t>
      </w:r>
      <w:r>
        <w:rPr>
          <w:b/>
          <w:bCs/>
          <w:lang w:val="en-US"/>
        </w:rPr>
        <w:t xml:space="preserve">taurocholate and bilirubin glucuronide in the perfusion effluent. </w:t>
      </w:r>
      <w:r>
        <w:rPr>
          <w:rFonts w:eastAsia="+mn-ea"/>
          <w:color w:val="000000"/>
          <w:lang w:val="en-US"/>
        </w:rPr>
        <w:t xml:space="preserve"> </w:t>
      </w:r>
      <w:r w:rsidR="005A63D8">
        <w:rPr>
          <w:rFonts w:eastAsia="+mn-ea"/>
          <w:color w:val="000000"/>
          <w:lang w:val="en-US"/>
        </w:rPr>
        <w:t xml:space="preserve">Correlation of </w:t>
      </w:r>
      <w:proofErr w:type="spellStart"/>
      <w:r w:rsidR="005A63D8">
        <w:rPr>
          <w:rFonts w:eastAsia="+mn-ea"/>
          <w:color w:val="000000"/>
          <w:lang w:val="en-US"/>
        </w:rPr>
        <w:t>Cmax</w:t>
      </w:r>
      <w:proofErr w:type="spellEnd"/>
      <w:r w:rsidR="005A63D8">
        <w:rPr>
          <w:rFonts w:eastAsia="+mn-ea"/>
          <w:color w:val="000000"/>
          <w:lang w:val="en-US"/>
        </w:rPr>
        <w:t xml:space="preserve"> (</w:t>
      </w:r>
      <w:r w:rsidR="005A63D8" w:rsidRPr="005A63D8">
        <w:rPr>
          <w:rFonts w:eastAsia="+mn-ea"/>
          <w:b/>
          <w:bCs/>
          <w:color w:val="000000"/>
          <w:lang w:val="en-US"/>
        </w:rPr>
        <w:t>a</w:t>
      </w:r>
      <w:r w:rsidR="005A63D8">
        <w:rPr>
          <w:rFonts w:eastAsia="+mn-ea"/>
          <w:color w:val="000000"/>
          <w:lang w:val="en-US"/>
        </w:rPr>
        <w:t>) or AUC (</w:t>
      </w:r>
      <w:r w:rsidR="005A63D8" w:rsidRPr="005A63D8">
        <w:rPr>
          <w:rFonts w:eastAsia="+mn-ea"/>
          <w:b/>
          <w:bCs/>
          <w:color w:val="000000"/>
          <w:lang w:val="en-US"/>
        </w:rPr>
        <w:t>b</w:t>
      </w:r>
      <w:r w:rsidR="005A63D8">
        <w:rPr>
          <w:rFonts w:eastAsia="+mn-ea"/>
          <w:color w:val="000000"/>
          <w:lang w:val="en-US"/>
        </w:rPr>
        <w:t xml:space="preserve">) of </w:t>
      </w:r>
      <w:r>
        <w:rPr>
          <w:rFonts w:eastAsia="+mn-ea"/>
          <w:color w:val="000000"/>
          <w:lang w:val="en-US"/>
        </w:rPr>
        <w:t xml:space="preserve">Bilirubin glucuronide </w:t>
      </w:r>
      <w:r w:rsidR="005A63D8">
        <w:rPr>
          <w:rFonts w:eastAsia="+mn-ea"/>
          <w:color w:val="000000"/>
          <w:lang w:val="en-US"/>
        </w:rPr>
        <w:t>vs taurocholate.</w:t>
      </w:r>
    </w:p>
    <w:p w14:paraId="37A2646E" w14:textId="5E0534F2" w:rsidR="0032641E" w:rsidRPr="007B185D" w:rsidRDefault="0032641E" w:rsidP="003B76E2">
      <w:pPr>
        <w:jc w:val="both"/>
        <w:rPr>
          <w:color w:val="FF0000"/>
          <w:lang w:val="en-US"/>
        </w:rPr>
      </w:pPr>
    </w:p>
    <w:p w14:paraId="46E3C85E" w14:textId="77777777" w:rsidR="001968B8" w:rsidRPr="007B185D" w:rsidRDefault="001968B8" w:rsidP="003B76E2">
      <w:pPr>
        <w:jc w:val="both"/>
        <w:rPr>
          <w:i/>
          <w:iCs/>
          <w:color w:val="000000" w:themeColor="text1"/>
          <w:lang w:val="en-US"/>
        </w:rPr>
      </w:pPr>
      <w:r w:rsidRPr="007B185D">
        <w:rPr>
          <w:i/>
          <w:iCs/>
          <w:color w:val="000000" w:themeColor="text1"/>
          <w:lang w:val="en-US"/>
        </w:rPr>
        <w:br w:type="page"/>
      </w:r>
    </w:p>
    <w:p w14:paraId="1E390FE0" w14:textId="5EF49B0A" w:rsidR="001968B8" w:rsidRPr="00A934D1" w:rsidRDefault="00A934D1" w:rsidP="003B76E2">
      <w:pPr>
        <w:pStyle w:val="Titolo2"/>
        <w:jc w:val="both"/>
        <w:rPr>
          <w:lang w:val="en-US"/>
        </w:rPr>
      </w:pPr>
      <w:bookmarkStart w:id="28" w:name="_Toc89853435"/>
      <w:r w:rsidRPr="007A47A0">
        <w:rPr>
          <w:lang w:val="en-US"/>
        </w:rPr>
        <w:lastRenderedPageBreak/>
        <w:t>Fig. S</w:t>
      </w:r>
      <w:r>
        <w:rPr>
          <w:lang w:val="en-US"/>
        </w:rPr>
        <w:t>11</w:t>
      </w:r>
      <w:r w:rsidRPr="007A47A0">
        <w:rPr>
          <w:lang w:val="en-US"/>
        </w:rPr>
        <w:t xml:space="preserve">. </w:t>
      </w:r>
      <w:r w:rsidR="001968B8" w:rsidRPr="00A934D1">
        <w:rPr>
          <w:lang w:val="en-US"/>
        </w:rPr>
        <w:t>The effects of physiological concentrations of cyanidin 3-glucoside and taurocholate on the hepatic uptake of bilirubin and bilirubin glucuronide</w:t>
      </w:r>
      <w:bookmarkEnd w:id="28"/>
    </w:p>
    <w:p w14:paraId="26688D0F" w14:textId="77777777" w:rsidR="00CF1B77" w:rsidRDefault="00CF1B77" w:rsidP="003B76E2">
      <w:pPr>
        <w:jc w:val="both"/>
        <w:rPr>
          <w:color w:val="000000" w:themeColor="text1"/>
        </w:rPr>
      </w:pPr>
      <w:r w:rsidRPr="007B185D">
        <w:rPr>
          <w:color w:val="000000" w:themeColor="text1"/>
          <w:lang w:val="en-US"/>
        </w:rPr>
        <w:t xml:space="preserve"> </w:t>
      </w:r>
      <w:r>
        <w:rPr>
          <w:noProof/>
          <w:lang w:val="en-US"/>
        </w:rPr>
        <w:drawing>
          <wp:inline distT="0" distB="0" distL="0" distR="0" wp14:anchorId="50A35CB4" wp14:editId="51B93560">
            <wp:extent cx="4353694" cy="6990460"/>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rotWithShape="1">
                    <a:blip r:embed="rId27" cstate="print">
                      <a:extLst>
                        <a:ext uri="{28A0092B-C50C-407E-A947-70E740481C1C}">
                          <a14:useLocalDpi xmlns:a14="http://schemas.microsoft.com/office/drawing/2010/main" val="0"/>
                        </a:ext>
                      </a:extLst>
                    </a:blip>
                    <a:srcRect l="18061"/>
                    <a:stretch/>
                  </pic:blipFill>
                  <pic:spPr bwMode="auto">
                    <a:xfrm>
                      <a:off x="0" y="0"/>
                      <a:ext cx="4374567" cy="7023974"/>
                    </a:xfrm>
                    <a:prstGeom prst="rect">
                      <a:avLst/>
                    </a:prstGeom>
                    <a:ln>
                      <a:noFill/>
                    </a:ln>
                    <a:extLst>
                      <a:ext uri="{53640926-AAD7-44D8-BBD7-CCE9431645EC}">
                        <a14:shadowObscured xmlns:a14="http://schemas.microsoft.com/office/drawing/2010/main"/>
                      </a:ext>
                    </a:extLst>
                  </pic:spPr>
                </pic:pic>
              </a:graphicData>
            </a:graphic>
          </wp:inline>
        </w:drawing>
      </w:r>
    </w:p>
    <w:p w14:paraId="74E32788" w14:textId="51163390" w:rsidR="003C0C91" w:rsidRPr="005744CA" w:rsidRDefault="00CF1B77" w:rsidP="003B76E2">
      <w:pPr>
        <w:jc w:val="both"/>
        <w:rPr>
          <w:b/>
          <w:bCs/>
          <w:lang w:val="en-US"/>
        </w:rPr>
      </w:pPr>
      <w:r w:rsidRPr="00903B53">
        <w:rPr>
          <w:b/>
          <w:bCs/>
          <w:lang w:val="en-US"/>
        </w:rPr>
        <w:t>Fig. S1</w:t>
      </w:r>
      <w:r w:rsidR="006F1D91">
        <w:rPr>
          <w:b/>
          <w:bCs/>
          <w:lang w:val="en-US"/>
        </w:rPr>
        <w:t>1</w:t>
      </w:r>
      <w:r>
        <w:rPr>
          <w:lang w:val="en-US"/>
        </w:rPr>
        <w:t xml:space="preserve"> </w:t>
      </w:r>
      <w:r w:rsidRPr="00C8482B">
        <w:rPr>
          <w:b/>
          <w:bCs/>
          <w:lang w:val="en-US"/>
        </w:rPr>
        <w:t xml:space="preserve">The effects of </w:t>
      </w:r>
      <w:r w:rsidRPr="00903B53">
        <w:rPr>
          <w:b/>
          <w:bCs/>
          <w:lang w:val="en-US"/>
        </w:rPr>
        <w:t>cyanidin 3-glucoside</w:t>
      </w:r>
      <w:r>
        <w:rPr>
          <w:b/>
          <w:bCs/>
          <w:lang w:val="en-US"/>
        </w:rPr>
        <w:t xml:space="preserve"> and</w:t>
      </w:r>
      <w:r w:rsidRPr="00903B53">
        <w:rPr>
          <w:b/>
          <w:bCs/>
          <w:lang w:val="en-US"/>
        </w:rPr>
        <w:t xml:space="preserve"> taurocholate on the hepatic uptake of</w:t>
      </w:r>
      <w:r w:rsidRPr="00CF1B77">
        <w:rPr>
          <w:b/>
          <w:bCs/>
          <w:lang w:val="en-US"/>
        </w:rPr>
        <w:t xml:space="preserve"> </w:t>
      </w:r>
      <w:r w:rsidRPr="00903B53">
        <w:rPr>
          <w:b/>
          <w:bCs/>
          <w:lang w:val="en-US"/>
        </w:rPr>
        <w:t>bilirubin</w:t>
      </w:r>
      <w:r>
        <w:rPr>
          <w:b/>
          <w:bCs/>
          <w:lang w:val="en-US"/>
        </w:rPr>
        <w:t xml:space="preserve"> and bilirubin glucuronide</w:t>
      </w:r>
      <w:r w:rsidR="00B15EC4">
        <w:rPr>
          <w:b/>
          <w:bCs/>
          <w:lang w:val="en-US"/>
        </w:rPr>
        <w:t>.</w:t>
      </w:r>
      <w:r w:rsidR="00B15EC4" w:rsidRPr="00B15EC4">
        <w:rPr>
          <w:lang w:val="en-US"/>
        </w:rPr>
        <w:t xml:space="preserve"> </w:t>
      </w:r>
      <w:r w:rsidR="005744CA">
        <w:rPr>
          <w:lang w:val="en-US"/>
        </w:rPr>
        <w:t xml:space="preserve">An </w:t>
      </w:r>
      <w:r w:rsidR="00B15EC4" w:rsidRPr="00C8482B">
        <w:rPr>
          <w:lang w:val="en-US"/>
        </w:rPr>
        <w:t xml:space="preserve">isolated </w:t>
      </w:r>
      <w:r w:rsidR="005744CA">
        <w:rPr>
          <w:lang w:val="en-US"/>
        </w:rPr>
        <w:t xml:space="preserve">perfused </w:t>
      </w:r>
      <w:r w:rsidR="00B15EC4" w:rsidRPr="00C8482B">
        <w:rPr>
          <w:lang w:val="en-US"/>
        </w:rPr>
        <w:t>rat liver</w:t>
      </w:r>
      <w:r w:rsidR="00B15EC4">
        <w:rPr>
          <w:lang w:val="en-US"/>
        </w:rPr>
        <w:t xml:space="preserve"> </w:t>
      </w:r>
      <w:r w:rsidR="005744CA">
        <w:rPr>
          <w:lang w:val="en-US"/>
        </w:rPr>
        <w:t xml:space="preserve">was tested </w:t>
      </w:r>
      <w:r w:rsidR="00B15EC4">
        <w:rPr>
          <w:lang w:val="en-US"/>
        </w:rPr>
        <w:t>with</w:t>
      </w:r>
      <w:r w:rsidR="00B15EC4">
        <w:rPr>
          <w:lang w:val="en-US"/>
        </w:rPr>
        <w:t xml:space="preserve"> intraportal injection of </w:t>
      </w:r>
      <w:proofErr w:type="spellStart"/>
      <w:r w:rsidR="00B15EC4">
        <w:rPr>
          <w:lang w:val="en-US"/>
        </w:rPr>
        <w:t>b</w:t>
      </w:r>
      <w:r w:rsidR="00B15EC4" w:rsidRPr="00506845">
        <w:rPr>
          <w:lang w:val="en-US"/>
        </w:rPr>
        <w:t>oli</w:t>
      </w:r>
      <w:proofErr w:type="spellEnd"/>
      <w:r w:rsidR="00B15EC4" w:rsidRPr="00506845">
        <w:rPr>
          <w:lang w:val="en-US"/>
        </w:rPr>
        <w:t xml:space="preserve"> (0.2 mL)</w:t>
      </w:r>
      <w:r w:rsidR="00B15EC4">
        <w:rPr>
          <w:lang w:val="en-US"/>
        </w:rPr>
        <w:t xml:space="preserve"> containing</w:t>
      </w:r>
      <w:r w:rsidR="005744CA">
        <w:rPr>
          <w:lang w:val="en-US"/>
        </w:rPr>
        <w:t>:</w:t>
      </w:r>
      <w:r w:rsidR="00B15EC4">
        <w:rPr>
          <w:lang w:val="en-US"/>
        </w:rPr>
        <w:t xml:space="preserve"> PBS solution (bolus 1); </w:t>
      </w:r>
      <w:r w:rsidR="00B15EC4" w:rsidRPr="00C776BD">
        <w:rPr>
          <w:color w:val="000000" w:themeColor="text1"/>
          <w:lang w:val="en-US"/>
        </w:rPr>
        <w:t xml:space="preserve">0.01 </w:t>
      </w:r>
      <w:r w:rsidR="00B15EC4" w:rsidRPr="00C8482B">
        <w:rPr>
          <w:lang w:val="en-US"/>
        </w:rPr>
        <w:t xml:space="preserve">mM </w:t>
      </w:r>
      <w:r w:rsidR="00D15E70">
        <w:rPr>
          <w:lang w:val="en-US"/>
        </w:rPr>
        <w:t xml:space="preserve">(2 nmol) </w:t>
      </w:r>
      <w:r w:rsidR="00B15EC4">
        <w:rPr>
          <w:lang w:val="en-US"/>
        </w:rPr>
        <w:t xml:space="preserve">cyanidin 3-glucoside (C3G) </w:t>
      </w:r>
      <w:r w:rsidR="00B15EC4" w:rsidRPr="00C8482B">
        <w:rPr>
          <w:lang w:val="en-US"/>
        </w:rPr>
        <w:t>alone (</w:t>
      </w:r>
      <w:proofErr w:type="spellStart"/>
      <w:r w:rsidR="00B15EC4" w:rsidRPr="00C8482B">
        <w:rPr>
          <w:lang w:val="en-US"/>
        </w:rPr>
        <w:t>boli</w:t>
      </w:r>
      <w:proofErr w:type="spellEnd"/>
      <w:r w:rsidR="00B15EC4" w:rsidRPr="00C8482B">
        <w:rPr>
          <w:lang w:val="en-US"/>
        </w:rPr>
        <w:t xml:space="preserve"> 2</w:t>
      </w:r>
      <w:r w:rsidR="00B15EC4">
        <w:rPr>
          <w:lang w:val="en-US"/>
        </w:rPr>
        <w:t>,</w:t>
      </w:r>
      <w:r w:rsidR="00B15EC4" w:rsidRPr="00C8482B">
        <w:rPr>
          <w:lang w:val="en-US"/>
        </w:rPr>
        <w:t xml:space="preserve"> </w:t>
      </w:r>
      <w:r w:rsidR="00B15EC4">
        <w:rPr>
          <w:lang w:val="en-US"/>
        </w:rPr>
        <w:t>6, and 10</w:t>
      </w:r>
      <w:r w:rsidR="00B15EC4" w:rsidRPr="00C8482B">
        <w:rPr>
          <w:lang w:val="en-US"/>
        </w:rPr>
        <w:t>)</w:t>
      </w:r>
      <w:r w:rsidR="00B15EC4">
        <w:rPr>
          <w:lang w:val="en-US"/>
        </w:rPr>
        <w:t>,</w:t>
      </w:r>
      <w:r w:rsidR="00B15EC4" w:rsidRPr="00C8482B">
        <w:rPr>
          <w:lang w:val="en-US"/>
        </w:rPr>
        <w:t xml:space="preserve"> </w:t>
      </w:r>
      <w:r w:rsidR="00B15EC4">
        <w:rPr>
          <w:lang w:val="en-US"/>
        </w:rPr>
        <w:t xml:space="preserve">or </w:t>
      </w:r>
      <w:r w:rsidR="00B15EC4" w:rsidRPr="00C8482B">
        <w:rPr>
          <w:lang w:val="en-US"/>
        </w:rPr>
        <w:t>with 0.05 mM BR (</w:t>
      </w:r>
      <w:r w:rsidR="00B15EC4">
        <w:rPr>
          <w:lang w:val="en-US"/>
        </w:rPr>
        <w:t xml:space="preserve">10 nmol; </w:t>
      </w:r>
      <w:proofErr w:type="spellStart"/>
      <w:r w:rsidR="00B15EC4" w:rsidRPr="00C8482B">
        <w:rPr>
          <w:lang w:val="en-US"/>
        </w:rPr>
        <w:t>boli</w:t>
      </w:r>
      <w:proofErr w:type="spellEnd"/>
      <w:r w:rsidR="00B15EC4" w:rsidRPr="00C8482B">
        <w:rPr>
          <w:lang w:val="en-US"/>
        </w:rPr>
        <w:t xml:space="preserve"> </w:t>
      </w:r>
      <w:r w:rsidR="00B15EC4">
        <w:rPr>
          <w:lang w:val="en-US"/>
        </w:rPr>
        <w:t>3 and</w:t>
      </w:r>
      <w:r w:rsidR="00B15EC4" w:rsidRPr="00C8482B">
        <w:rPr>
          <w:lang w:val="en-US"/>
        </w:rPr>
        <w:t xml:space="preserve"> </w:t>
      </w:r>
      <w:r w:rsidR="00B15EC4">
        <w:rPr>
          <w:lang w:val="en-US"/>
        </w:rPr>
        <w:t>7</w:t>
      </w:r>
      <w:r w:rsidR="00B15EC4" w:rsidRPr="00C8482B">
        <w:rPr>
          <w:lang w:val="en-US"/>
        </w:rPr>
        <w:t>)</w:t>
      </w:r>
      <w:r w:rsidR="00B15EC4">
        <w:rPr>
          <w:lang w:val="en-US"/>
        </w:rPr>
        <w:t xml:space="preserve">, </w:t>
      </w:r>
      <w:r w:rsidR="00B15EC4" w:rsidRPr="00C8482B">
        <w:rPr>
          <w:lang w:val="en-US"/>
        </w:rPr>
        <w:t xml:space="preserve">or with </w:t>
      </w:r>
      <w:r w:rsidR="00B15EC4">
        <w:rPr>
          <w:lang w:val="en-US"/>
        </w:rPr>
        <w:t xml:space="preserve">2 mM taurocholate (TC) (400 nmol; </w:t>
      </w:r>
      <w:proofErr w:type="spellStart"/>
      <w:r w:rsidR="00B15EC4">
        <w:rPr>
          <w:lang w:val="en-US"/>
        </w:rPr>
        <w:t>boli</w:t>
      </w:r>
      <w:proofErr w:type="spellEnd"/>
      <w:r w:rsidR="00B15EC4">
        <w:rPr>
          <w:lang w:val="en-US"/>
        </w:rPr>
        <w:t xml:space="preserve"> 4 and 8), or with both </w:t>
      </w:r>
      <w:r w:rsidR="00B15EC4" w:rsidRPr="00C8482B">
        <w:rPr>
          <w:lang w:val="en-US"/>
        </w:rPr>
        <w:t>0.05 mM</w:t>
      </w:r>
      <w:r w:rsidR="00B15EC4">
        <w:rPr>
          <w:lang w:val="en-US"/>
        </w:rPr>
        <w:t xml:space="preserve"> BR (10 nmol) and 2 mM TC (400 nmol)</w:t>
      </w:r>
      <w:r w:rsidR="00D15E70">
        <w:rPr>
          <w:lang w:val="en-US"/>
        </w:rPr>
        <w:t>.</w:t>
      </w:r>
      <w:r w:rsidR="00506845">
        <w:rPr>
          <w:b/>
          <w:bCs/>
          <w:lang w:val="en-US"/>
        </w:rPr>
        <w:t xml:space="preserve"> </w:t>
      </w:r>
      <w:r w:rsidR="005744CA" w:rsidRPr="005744CA">
        <w:rPr>
          <w:lang w:val="en-US"/>
        </w:rPr>
        <w:t xml:space="preserve">The </w:t>
      </w:r>
      <w:r w:rsidR="005744CA">
        <w:rPr>
          <w:lang w:val="en-US"/>
        </w:rPr>
        <w:t xml:space="preserve">perfusion </w:t>
      </w:r>
      <w:r w:rsidR="005744CA" w:rsidRPr="005744CA">
        <w:rPr>
          <w:lang w:val="en-US"/>
        </w:rPr>
        <w:t>effluent</w:t>
      </w:r>
      <w:r w:rsidR="005744CA">
        <w:rPr>
          <w:lang w:val="en-US"/>
        </w:rPr>
        <w:t xml:space="preserve"> was </w:t>
      </w:r>
      <w:proofErr w:type="spellStart"/>
      <w:r w:rsidR="005744CA">
        <w:rPr>
          <w:lang w:val="en-US"/>
        </w:rPr>
        <w:t>analysed</w:t>
      </w:r>
      <w:proofErr w:type="spellEnd"/>
      <w:r w:rsidR="005744CA">
        <w:rPr>
          <w:lang w:val="en-US"/>
        </w:rPr>
        <w:t xml:space="preserve"> to simultaneously determine: </w:t>
      </w:r>
      <w:r w:rsidR="00B15EC4">
        <w:rPr>
          <w:b/>
          <w:bCs/>
          <w:lang w:val="en-US"/>
        </w:rPr>
        <w:t>(</w:t>
      </w:r>
      <w:r w:rsidR="00506845">
        <w:rPr>
          <w:b/>
          <w:bCs/>
          <w:lang w:val="en-US"/>
        </w:rPr>
        <w:t>a</w:t>
      </w:r>
      <w:r w:rsidR="00B15EC4">
        <w:rPr>
          <w:b/>
          <w:bCs/>
          <w:lang w:val="en-US"/>
        </w:rPr>
        <w:t>)</w:t>
      </w:r>
      <w:r w:rsidR="00506845">
        <w:rPr>
          <w:b/>
          <w:bCs/>
          <w:lang w:val="en-US"/>
        </w:rPr>
        <w:t xml:space="preserve"> </w:t>
      </w:r>
      <w:r w:rsidR="00D15E70">
        <w:rPr>
          <w:b/>
          <w:bCs/>
          <w:lang w:val="en-US"/>
        </w:rPr>
        <w:t>C</w:t>
      </w:r>
      <w:r w:rsidR="00506845" w:rsidRPr="00D15E70">
        <w:rPr>
          <w:b/>
          <w:bCs/>
          <w:lang w:val="en-US"/>
        </w:rPr>
        <w:t xml:space="preserve">oncentrations of bilirubin </w:t>
      </w:r>
      <w:r w:rsidR="00D15E70" w:rsidRPr="00D15E70">
        <w:rPr>
          <w:b/>
          <w:bCs/>
          <w:lang w:val="en-US"/>
        </w:rPr>
        <w:t>and bilirubin glucuronide</w:t>
      </w:r>
      <w:r w:rsidR="00D15E70">
        <w:rPr>
          <w:lang w:val="en-US"/>
        </w:rPr>
        <w:t xml:space="preserve"> </w:t>
      </w:r>
      <w:r w:rsidR="00506845">
        <w:rPr>
          <w:lang w:val="en-US"/>
        </w:rPr>
        <w:t>(</w:t>
      </w:r>
      <w:r w:rsidR="00506845" w:rsidRPr="00C8482B">
        <w:rPr>
          <w:lang w:val="en-US"/>
        </w:rPr>
        <w:t>BR</w:t>
      </w:r>
      <w:r w:rsidR="00506845">
        <w:rPr>
          <w:lang w:val="en-US"/>
        </w:rPr>
        <w:t xml:space="preserve">, in </w:t>
      </w:r>
      <w:r w:rsidR="00506845" w:rsidRPr="00C8482B">
        <w:rPr>
          <w:lang w:val="en-US"/>
        </w:rPr>
        <w:t>red</w:t>
      </w:r>
      <w:r w:rsidR="00D15E70">
        <w:rPr>
          <w:lang w:val="en-US"/>
        </w:rPr>
        <w:t xml:space="preserve">; </w:t>
      </w:r>
      <w:r w:rsidR="00506845" w:rsidRPr="00C8482B">
        <w:rPr>
          <w:lang w:val="en-US"/>
        </w:rPr>
        <w:t>BRG</w:t>
      </w:r>
      <w:r w:rsidR="00D15E70">
        <w:rPr>
          <w:lang w:val="en-US"/>
        </w:rPr>
        <w:t xml:space="preserve">, in </w:t>
      </w:r>
      <w:r w:rsidR="00506845" w:rsidRPr="00C8482B">
        <w:rPr>
          <w:lang w:val="en-US"/>
        </w:rPr>
        <w:t>blue</w:t>
      </w:r>
      <w:proofErr w:type="gramStart"/>
      <w:r w:rsidR="00506845" w:rsidRPr="00C8482B">
        <w:rPr>
          <w:lang w:val="en-US"/>
        </w:rPr>
        <w:t>)</w:t>
      </w:r>
      <w:r w:rsidR="00D15E70">
        <w:rPr>
          <w:lang w:val="en-US"/>
        </w:rPr>
        <w:t>;</w:t>
      </w:r>
      <w:r>
        <w:rPr>
          <w:lang w:val="en-US"/>
        </w:rPr>
        <w:t xml:space="preserve">  </w:t>
      </w:r>
      <w:r w:rsidR="00B15EC4">
        <w:rPr>
          <w:lang w:val="en-US"/>
        </w:rPr>
        <w:t>(</w:t>
      </w:r>
      <w:proofErr w:type="gramEnd"/>
      <w:r w:rsidR="00506845" w:rsidRPr="00506845">
        <w:rPr>
          <w:b/>
          <w:bCs/>
          <w:lang w:val="en-US"/>
        </w:rPr>
        <w:t>b</w:t>
      </w:r>
      <w:r w:rsidR="00B15EC4">
        <w:rPr>
          <w:b/>
          <w:bCs/>
          <w:lang w:val="en-US"/>
        </w:rPr>
        <w:t>)</w:t>
      </w:r>
      <w:r w:rsidR="00506845">
        <w:rPr>
          <w:lang w:val="en-US"/>
        </w:rPr>
        <w:t xml:space="preserve"> </w:t>
      </w:r>
      <w:r w:rsidR="00506845" w:rsidRPr="00D15E70">
        <w:rPr>
          <w:b/>
          <w:bCs/>
          <w:lang w:val="en-US"/>
        </w:rPr>
        <w:lastRenderedPageBreak/>
        <w:t xml:space="preserve">Concentrations of </w:t>
      </w:r>
      <w:r w:rsidR="00D15E70">
        <w:rPr>
          <w:b/>
          <w:bCs/>
          <w:lang w:val="en-US"/>
        </w:rPr>
        <w:t xml:space="preserve">cyanidin 3-glucoside and </w:t>
      </w:r>
      <w:r w:rsidR="00D15E70" w:rsidRPr="00D15E70">
        <w:rPr>
          <w:b/>
          <w:bCs/>
          <w:lang w:val="en-US"/>
        </w:rPr>
        <w:t>peonidin 3-glucoside</w:t>
      </w:r>
      <w:r w:rsidR="00D15E70">
        <w:rPr>
          <w:lang w:val="en-US"/>
        </w:rPr>
        <w:t xml:space="preserve"> </w:t>
      </w:r>
      <w:r w:rsidR="00D15E70" w:rsidRPr="00D15E70">
        <w:rPr>
          <w:lang w:val="en-US"/>
        </w:rPr>
        <w:t>(</w:t>
      </w:r>
      <w:r w:rsidR="002F40EB" w:rsidRPr="00D15E70">
        <w:rPr>
          <w:lang w:val="en-US"/>
        </w:rPr>
        <w:t>C3G</w:t>
      </w:r>
      <w:r w:rsidR="00D15E70">
        <w:rPr>
          <w:lang w:val="en-US"/>
        </w:rPr>
        <w:t xml:space="preserve">, in </w:t>
      </w:r>
      <w:r w:rsidR="002F40EB" w:rsidRPr="00D15E70">
        <w:rPr>
          <w:lang w:val="en-US"/>
        </w:rPr>
        <w:t>r</w:t>
      </w:r>
      <w:r w:rsidR="002F40EB">
        <w:rPr>
          <w:lang w:val="en-US"/>
        </w:rPr>
        <w:t>ed</w:t>
      </w:r>
      <w:r w:rsidR="00D15E70">
        <w:rPr>
          <w:lang w:val="en-US"/>
        </w:rPr>
        <w:t>; P3G, in blue)</w:t>
      </w:r>
      <w:r w:rsidR="005744CA">
        <w:rPr>
          <w:lang w:val="en-US"/>
        </w:rPr>
        <w:t>;</w:t>
      </w:r>
      <w:r>
        <w:rPr>
          <w:lang w:val="en-US"/>
        </w:rPr>
        <w:t xml:space="preserve"> </w:t>
      </w:r>
      <w:r w:rsidR="00B15EC4">
        <w:rPr>
          <w:lang w:val="en-US"/>
        </w:rPr>
        <w:t>(</w:t>
      </w:r>
      <w:r w:rsidRPr="001D3EC6">
        <w:rPr>
          <w:b/>
          <w:bCs/>
          <w:lang w:val="en-US"/>
        </w:rPr>
        <w:t>c</w:t>
      </w:r>
      <w:r w:rsidR="00B15EC4">
        <w:rPr>
          <w:b/>
          <w:bCs/>
          <w:lang w:val="en-US"/>
        </w:rPr>
        <w:t>)</w:t>
      </w:r>
      <w:r>
        <w:rPr>
          <w:lang w:val="en-US"/>
        </w:rPr>
        <w:t xml:space="preserve"> </w:t>
      </w:r>
      <w:r w:rsidR="00506845" w:rsidRPr="005744CA">
        <w:rPr>
          <w:b/>
          <w:bCs/>
          <w:lang w:val="en-US"/>
        </w:rPr>
        <w:t xml:space="preserve">Concentrations </w:t>
      </w:r>
      <w:r w:rsidR="005744CA" w:rsidRPr="005744CA">
        <w:rPr>
          <w:b/>
          <w:bCs/>
          <w:lang w:val="en-US"/>
        </w:rPr>
        <w:t>of taurocholate</w:t>
      </w:r>
      <w:r w:rsidR="00506845" w:rsidRPr="005744CA">
        <w:rPr>
          <w:b/>
          <w:bCs/>
          <w:lang w:val="en-US"/>
        </w:rPr>
        <w:t xml:space="preserve"> </w:t>
      </w:r>
      <w:r w:rsidR="005744CA" w:rsidRPr="005744CA">
        <w:rPr>
          <w:b/>
          <w:bCs/>
          <w:lang w:val="en-US"/>
        </w:rPr>
        <w:t>(</w:t>
      </w:r>
      <w:r w:rsidRPr="005744CA">
        <w:rPr>
          <w:b/>
          <w:bCs/>
          <w:lang w:val="en-US"/>
        </w:rPr>
        <w:t>TC</w:t>
      </w:r>
      <w:r w:rsidR="005744CA" w:rsidRPr="005744CA">
        <w:rPr>
          <w:b/>
          <w:bCs/>
          <w:lang w:val="en-US"/>
        </w:rPr>
        <w:t>).</w:t>
      </w:r>
      <w:r w:rsidR="00506845" w:rsidRPr="005744CA">
        <w:rPr>
          <w:b/>
          <w:bCs/>
          <w:lang w:val="en-US"/>
        </w:rPr>
        <w:t xml:space="preserve"> </w:t>
      </w:r>
      <w:r w:rsidR="005744CA" w:rsidRPr="005744CA">
        <w:rPr>
          <w:b/>
          <w:bCs/>
          <w:lang w:val="en-US"/>
        </w:rPr>
        <w:t xml:space="preserve"> </w:t>
      </w:r>
    </w:p>
    <w:p w14:paraId="2CB23386" w14:textId="77777777" w:rsidR="00610CBF" w:rsidRDefault="00610CBF" w:rsidP="003B76E2">
      <w:pPr>
        <w:jc w:val="both"/>
        <w:rPr>
          <w:lang w:val="en-US"/>
        </w:rPr>
      </w:pPr>
    </w:p>
    <w:p w14:paraId="66C143FF" w14:textId="77777777" w:rsidR="00F9496D" w:rsidRDefault="003C0C91" w:rsidP="003B76E2">
      <w:pPr>
        <w:jc w:val="both"/>
        <w:rPr>
          <w:lang w:val="en-US"/>
        </w:rPr>
      </w:pPr>
      <w:r>
        <w:rPr>
          <w:lang w:val="en-US"/>
        </w:rPr>
        <w:t xml:space="preserve">This experiment has been performed on two livers. </w:t>
      </w:r>
    </w:p>
    <w:p w14:paraId="6AEAA147" w14:textId="77777777" w:rsidR="00F9496D" w:rsidRDefault="00F9496D" w:rsidP="003B76E2">
      <w:pPr>
        <w:jc w:val="both"/>
        <w:rPr>
          <w:lang w:val="en-US"/>
        </w:rPr>
      </w:pPr>
    </w:p>
    <w:p w14:paraId="1BA8C27C" w14:textId="77777777" w:rsidR="00C61C2E" w:rsidRDefault="00C61C2E" w:rsidP="003B76E2">
      <w:pPr>
        <w:jc w:val="both"/>
        <w:rPr>
          <w:lang w:val="en-US"/>
        </w:rPr>
      </w:pPr>
      <w:r>
        <w:rPr>
          <w:lang w:val="en-US"/>
        </w:rPr>
        <w:t xml:space="preserve">Descriptive statistics of basal concentrations of the </w:t>
      </w:r>
      <w:proofErr w:type="spellStart"/>
      <w:r>
        <w:rPr>
          <w:lang w:val="en-US"/>
        </w:rPr>
        <w:t>analysed</w:t>
      </w:r>
      <w:proofErr w:type="spellEnd"/>
      <w:r>
        <w:rPr>
          <w:lang w:val="en-US"/>
        </w:rPr>
        <w:t xml:space="preserve"> compounds in the effluent fractions 2-9, in 2 livers. Fractions 1 were removed because they contained abnormally high values of TC.</w:t>
      </w:r>
    </w:p>
    <w:p w14:paraId="3439E0B8" w14:textId="77777777" w:rsidR="00C61C2E" w:rsidRPr="00F9496D" w:rsidRDefault="00C61C2E" w:rsidP="003B76E2">
      <w:pPr>
        <w:jc w:val="both"/>
        <w:rPr>
          <w:color w:val="000000" w:themeColor="text1"/>
          <w:lang w:val="en-US"/>
        </w:rPr>
      </w:pPr>
    </w:p>
    <w:tbl>
      <w:tblPr>
        <w:tblW w:w="8789" w:type="dxa"/>
        <w:tblInd w:w="-5" w:type="dxa"/>
        <w:tblCellMar>
          <w:left w:w="70" w:type="dxa"/>
          <w:right w:w="70" w:type="dxa"/>
        </w:tblCellMar>
        <w:tblLook w:val="04A0" w:firstRow="1" w:lastRow="0" w:firstColumn="1" w:lastColumn="0" w:noHBand="0" w:noVBand="1"/>
      </w:tblPr>
      <w:tblGrid>
        <w:gridCol w:w="2361"/>
        <w:gridCol w:w="1467"/>
        <w:gridCol w:w="1701"/>
        <w:gridCol w:w="1701"/>
        <w:gridCol w:w="1559"/>
      </w:tblGrid>
      <w:tr w:rsidR="00C61C2E" w:rsidRPr="007636AD" w14:paraId="4CCC6594" w14:textId="77777777" w:rsidTr="008D43B5">
        <w:trPr>
          <w:trHeight w:val="271"/>
        </w:trPr>
        <w:tc>
          <w:tcPr>
            <w:tcW w:w="2361" w:type="dxa"/>
            <w:tcBorders>
              <w:top w:val="single" w:sz="4" w:space="0" w:color="auto"/>
              <w:left w:val="single" w:sz="4" w:space="0" w:color="auto"/>
              <w:bottom w:val="single" w:sz="4" w:space="0" w:color="auto"/>
              <w:right w:val="single" w:sz="4" w:space="0" w:color="auto"/>
            </w:tcBorders>
            <w:shd w:val="clear" w:color="000000" w:fill="AEAAAA"/>
            <w:noWrap/>
            <w:vAlign w:val="center"/>
            <w:hideMark/>
          </w:tcPr>
          <w:p w14:paraId="2B6ECC3C" w14:textId="77777777" w:rsidR="00C61C2E" w:rsidRPr="00F568DD" w:rsidRDefault="00C61C2E" w:rsidP="003B76E2">
            <w:pPr>
              <w:jc w:val="both"/>
              <w:rPr>
                <w:b/>
                <w:bCs/>
                <w:color w:val="000000"/>
                <w:sz w:val="22"/>
                <w:szCs w:val="22"/>
                <w:lang w:val="en-US"/>
              </w:rPr>
            </w:pPr>
            <w:r w:rsidRPr="00F568DD">
              <w:rPr>
                <w:b/>
                <w:bCs/>
                <w:color w:val="000000"/>
                <w:sz w:val="22"/>
                <w:szCs w:val="22"/>
                <w:lang w:val="en-US"/>
              </w:rPr>
              <w:t xml:space="preserve">Basal concentrations </w:t>
            </w:r>
          </w:p>
        </w:tc>
        <w:tc>
          <w:tcPr>
            <w:tcW w:w="1467" w:type="dxa"/>
            <w:tcBorders>
              <w:top w:val="single" w:sz="4" w:space="0" w:color="auto"/>
              <w:left w:val="nil"/>
              <w:bottom w:val="single" w:sz="4" w:space="0" w:color="auto"/>
              <w:right w:val="single" w:sz="4" w:space="0" w:color="auto"/>
            </w:tcBorders>
            <w:shd w:val="clear" w:color="000000" w:fill="AEAAAA"/>
            <w:vAlign w:val="center"/>
            <w:hideMark/>
          </w:tcPr>
          <w:p w14:paraId="549DE805" w14:textId="77777777" w:rsidR="00C61C2E" w:rsidRPr="007636AD" w:rsidRDefault="00C61C2E" w:rsidP="003B76E2">
            <w:pPr>
              <w:jc w:val="both"/>
              <w:rPr>
                <w:b/>
                <w:bCs/>
                <w:sz w:val="22"/>
                <w:szCs w:val="22"/>
              </w:rPr>
            </w:pPr>
            <w:r w:rsidRPr="007636AD">
              <w:rPr>
                <w:b/>
                <w:bCs/>
                <w:sz w:val="22"/>
                <w:szCs w:val="22"/>
              </w:rPr>
              <w:t>BR (nM)</w:t>
            </w:r>
          </w:p>
        </w:tc>
        <w:tc>
          <w:tcPr>
            <w:tcW w:w="1701" w:type="dxa"/>
            <w:tcBorders>
              <w:top w:val="single" w:sz="4" w:space="0" w:color="auto"/>
              <w:left w:val="nil"/>
              <w:bottom w:val="single" w:sz="4" w:space="0" w:color="auto"/>
              <w:right w:val="single" w:sz="4" w:space="0" w:color="auto"/>
            </w:tcBorders>
            <w:shd w:val="clear" w:color="000000" w:fill="AEAAAA"/>
            <w:noWrap/>
            <w:vAlign w:val="center"/>
            <w:hideMark/>
          </w:tcPr>
          <w:p w14:paraId="48DAF9EF" w14:textId="77777777" w:rsidR="00C61C2E" w:rsidRPr="007636AD" w:rsidRDefault="00C61C2E" w:rsidP="003B76E2">
            <w:pPr>
              <w:jc w:val="both"/>
              <w:rPr>
                <w:b/>
                <w:bCs/>
                <w:sz w:val="22"/>
                <w:szCs w:val="22"/>
              </w:rPr>
            </w:pPr>
            <w:r w:rsidRPr="007636AD">
              <w:rPr>
                <w:b/>
                <w:bCs/>
                <w:sz w:val="22"/>
                <w:szCs w:val="22"/>
              </w:rPr>
              <w:t>BRG (nM)</w:t>
            </w:r>
          </w:p>
        </w:tc>
        <w:tc>
          <w:tcPr>
            <w:tcW w:w="1701" w:type="dxa"/>
            <w:tcBorders>
              <w:top w:val="single" w:sz="4" w:space="0" w:color="auto"/>
              <w:left w:val="nil"/>
              <w:bottom w:val="single" w:sz="4" w:space="0" w:color="auto"/>
              <w:right w:val="single" w:sz="4" w:space="0" w:color="auto"/>
            </w:tcBorders>
            <w:shd w:val="clear" w:color="000000" w:fill="AEAAAA"/>
            <w:noWrap/>
            <w:vAlign w:val="center"/>
            <w:hideMark/>
          </w:tcPr>
          <w:p w14:paraId="13B311CE" w14:textId="77777777" w:rsidR="00C61C2E" w:rsidRPr="007636AD" w:rsidRDefault="00C61C2E" w:rsidP="003B76E2">
            <w:pPr>
              <w:jc w:val="both"/>
              <w:rPr>
                <w:b/>
                <w:bCs/>
                <w:sz w:val="22"/>
                <w:szCs w:val="22"/>
              </w:rPr>
            </w:pPr>
            <w:r w:rsidRPr="007636AD">
              <w:rPr>
                <w:b/>
                <w:bCs/>
                <w:sz w:val="22"/>
                <w:szCs w:val="22"/>
              </w:rPr>
              <w:t>C3G (nM)</w:t>
            </w:r>
          </w:p>
        </w:tc>
        <w:tc>
          <w:tcPr>
            <w:tcW w:w="1559" w:type="dxa"/>
            <w:tcBorders>
              <w:top w:val="single" w:sz="4" w:space="0" w:color="auto"/>
              <w:left w:val="nil"/>
              <w:bottom w:val="single" w:sz="4" w:space="0" w:color="auto"/>
              <w:right w:val="single" w:sz="4" w:space="0" w:color="auto"/>
            </w:tcBorders>
            <w:shd w:val="clear" w:color="000000" w:fill="AEAAAA"/>
            <w:noWrap/>
            <w:vAlign w:val="center"/>
            <w:hideMark/>
          </w:tcPr>
          <w:p w14:paraId="57BEC65B" w14:textId="77777777" w:rsidR="00C61C2E" w:rsidRPr="007636AD" w:rsidRDefault="00C61C2E" w:rsidP="003B76E2">
            <w:pPr>
              <w:jc w:val="both"/>
              <w:rPr>
                <w:b/>
                <w:bCs/>
                <w:sz w:val="22"/>
                <w:szCs w:val="22"/>
              </w:rPr>
            </w:pPr>
            <w:r w:rsidRPr="007636AD">
              <w:rPr>
                <w:b/>
                <w:bCs/>
                <w:sz w:val="22"/>
                <w:szCs w:val="22"/>
              </w:rPr>
              <w:t>TC (nM)</w:t>
            </w:r>
          </w:p>
        </w:tc>
      </w:tr>
      <w:tr w:rsidR="00C61C2E" w:rsidRPr="007636AD" w14:paraId="716124BE" w14:textId="77777777" w:rsidTr="008D43B5">
        <w:trPr>
          <w:trHeight w:val="271"/>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5861B468" w14:textId="77777777" w:rsidR="00C61C2E" w:rsidRPr="007636AD" w:rsidRDefault="00C61C2E" w:rsidP="003B76E2">
            <w:pPr>
              <w:jc w:val="both"/>
              <w:rPr>
                <w:b/>
                <w:bCs/>
                <w:sz w:val="22"/>
                <w:szCs w:val="22"/>
              </w:rPr>
            </w:pPr>
            <w:r w:rsidRPr="007636AD">
              <w:rPr>
                <w:b/>
                <w:bCs/>
                <w:sz w:val="22"/>
                <w:szCs w:val="22"/>
              </w:rPr>
              <w:t>Number of values</w:t>
            </w:r>
          </w:p>
        </w:tc>
        <w:tc>
          <w:tcPr>
            <w:tcW w:w="1467" w:type="dxa"/>
            <w:tcBorders>
              <w:top w:val="nil"/>
              <w:left w:val="nil"/>
              <w:bottom w:val="single" w:sz="4" w:space="0" w:color="auto"/>
              <w:right w:val="single" w:sz="4" w:space="0" w:color="auto"/>
            </w:tcBorders>
            <w:shd w:val="clear" w:color="auto" w:fill="auto"/>
            <w:noWrap/>
            <w:vAlign w:val="center"/>
            <w:hideMark/>
          </w:tcPr>
          <w:p w14:paraId="3752EB39" w14:textId="77777777" w:rsidR="00C61C2E" w:rsidRPr="007636AD" w:rsidRDefault="00C61C2E" w:rsidP="003B76E2">
            <w:pPr>
              <w:jc w:val="both"/>
              <w:rPr>
                <w:sz w:val="22"/>
                <w:szCs w:val="22"/>
              </w:rPr>
            </w:pPr>
            <w:r>
              <w:rPr>
                <w:sz w:val="22"/>
                <w:szCs w:val="22"/>
              </w:rPr>
              <w:t>16</w:t>
            </w:r>
          </w:p>
        </w:tc>
        <w:tc>
          <w:tcPr>
            <w:tcW w:w="1701" w:type="dxa"/>
            <w:tcBorders>
              <w:top w:val="nil"/>
              <w:left w:val="nil"/>
              <w:bottom w:val="single" w:sz="4" w:space="0" w:color="auto"/>
              <w:right w:val="single" w:sz="4" w:space="0" w:color="auto"/>
            </w:tcBorders>
            <w:shd w:val="clear" w:color="auto" w:fill="auto"/>
            <w:noWrap/>
            <w:vAlign w:val="center"/>
            <w:hideMark/>
          </w:tcPr>
          <w:p w14:paraId="0316C3B3" w14:textId="77777777" w:rsidR="00C61C2E" w:rsidRPr="007636AD" w:rsidRDefault="00C61C2E" w:rsidP="003B76E2">
            <w:pPr>
              <w:jc w:val="both"/>
              <w:rPr>
                <w:sz w:val="22"/>
                <w:szCs w:val="22"/>
              </w:rPr>
            </w:pPr>
            <w:r>
              <w:rPr>
                <w:sz w:val="22"/>
                <w:szCs w:val="22"/>
              </w:rPr>
              <w:t>16</w:t>
            </w:r>
          </w:p>
        </w:tc>
        <w:tc>
          <w:tcPr>
            <w:tcW w:w="1701" w:type="dxa"/>
            <w:tcBorders>
              <w:top w:val="nil"/>
              <w:left w:val="nil"/>
              <w:bottom w:val="single" w:sz="4" w:space="0" w:color="auto"/>
              <w:right w:val="single" w:sz="4" w:space="0" w:color="auto"/>
            </w:tcBorders>
            <w:shd w:val="clear" w:color="auto" w:fill="auto"/>
            <w:noWrap/>
            <w:vAlign w:val="center"/>
            <w:hideMark/>
          </w:tcPr>
          <w:p w14:paraId="1B5E6346" w14:textId="77777777" w:rsidR="00C61C2E" w:rsidRPr="007636AD" w:rsidRDefault="00C61C2E" w:rsidP="003B76E2">
            <w:pPr>
              <w:jc w:val="both"/>
              <w:rPr>
                <w:sz w:val="22"/>
                <w:szCs w:val="22"/>
              </w:rPr>
            </w:pPr>
            <w:r>
              <w:rPr>
                <w:sz w:val="22"/>
                <w:szCs w:val="22"/>
              </w:rPr>
              <w:t>1</w:t>
            </w:r>
            <w:r w:rsidRPr="007636AD">
              <w:rPr>
                <w:sz w:val="22"/>
                <w:szCs w:val="22"/>
              </w:rPr>
              <w:t>6</w:t>
            </w:r>
          </w:p>
        </w:tc>
        <w:tc>
          <w:tcPr>
            <w:tcW w:w="1559" w:type="dxa"/>
            <w:tcBorders>
              <w:top w:val="nil"/>
              <w:left w:val="nil"/>
              <w:bottom w:val="single" w:sz="4" w:space="0" w:color="auto"/>
              <w:right w:val="single" w:sz="4" w:space="0" w:color="auto"/>
            </w:tcBorders>
            <w:shd w:val="clear" w:color="auto" w:fill="auto"/>
            <w:noWrap/>
            <w:vAlign w:val="center"/>
            <w:hideMark/>
          </w:tcPr>
          <w:p w14:paraId="0F134595" w14:textId="77777777" w:rsidR="00C61C2E" w:rsidRPr="007636AD" w:rsidRDefault="00C61C2E" w:rsidP="003B76E2">
            <w:pPr>
              <w:jc w:val="both"/>
              <w:rPr>
                <w:sz w:val="22"/>
                <w:szCs w:val="22"/>
              </w:rPr>
            </w:pPr>
            <w:r>
              <w:rPr>
                <w:sz w:val="22"/>
                <w:szCs w:val="22"/>
              </w:rPr>
              <w:t>16</w:t>
            </w:r>
          </w:p>
        </w:tc>
      </w:tr>
      <w:tr w:rsidR="00C61C2E" w:rsidRPr="007636AD" w14:paraId="51F4F867" w14:textId="77777777" w:rsidTr="008D43B5">
        <w:trPr>
          <w:trHeight w:val="133"/>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36CB6F08" w14:textId="77777777" w:rsidR="00C61C2E" w:rsidRPr="007636AD" w:rsidRDefault="00C61C2E" w:rsidP="003B76E2">
            <w:pPr>
              <w:jc w:val="both"/>
              <w:rPr>
                <w:b/>
                <w:bCs/>
                <w:sz w:val="22"/>
                <w:szCs w:val="22"/>
              </w:rPr>
            </w:pPr>
            <w:r w:rsidRPr="007636AD">
              <w:rPr>
                <w:b/>
                <w:bCs/>
                <w:sz w:val="22"/>
                <w:szCs w:val="22"/>
              </w:rPr>
              <w:t>Minimum</w:t>
            </w:r>
          </w:p>
        </w:tc>
        <w:tc>
          <w:tcPr>
            <w:tcW w:w="1467" w:type="dxa"/>
            <w:tcBorders>
              <w:top w:val="nil"/>
              <w:left w:val="nil"/>
              <w:bottom w:val="single" w:sz="4" w:space="0" w:color="auto"/>
              <w:right w:val="single" w:sz="4" w:space="0" w:color="auto"/>
            </w:tcBorders>
            <w:shd w:val="clear" w:color="auto" w:fill="auto"/>
            <w:noWrap/>
            <w:vAlign w:val="center"/>
            <w:hideMark/>
          </w:tcPr>
          <w:p w14:paraId="356F4FDD" w14:textId="77777777" w:rsidR="00C61C2E" w:rsidRPr="007636AD" w:rsidRDefault="00C61C2E" w:rsidP="003B76E2">
            <w:pPr>
              <w:jc w:val="both"/>
              <w:rPr>
                <w:sz w:val="22"/>
                <w:szCs w:val="22"/>
              </w:rPr>
            </w:pPr>
            <w:r>
              <w:rPr>
                <w:sz w:val="22"/>
                <w:szCs w:val="22"/>
              </w:rPr>
              <w:t>0.4</w:t>
            </w:r>
          </w:p>
        </w:tc>
        <w:tc>
          <w:tcPr>
            <w:tcW w:w="1701" w:type="dxa"/>
            <w:tcBorders>
              <w:top w:val="nil"/>
              <w:left w:val="nil"/>
              <w:bottom w:val="single" w:sz="4" w:space="0" w:color="auto"/>
              <w:right w:val="single" w:sz="4" w:space="0" w:color="auto"/>
            </w:tcBorders>
            <w:shd w:val="clear" w:color="auto" w:fill="auto"/>
            <w:noWrap/>
            <w:vAlign w:val="center"/>
            <w:hideMark/>
          </w:tcPr>
          <w:p w14:paraId="0A578F7B" w14:textId="77777777" w:rsidR="00C61C2E" w:rsidRPr="007636AD" w:rsidRDefault="00C61C2E" w:rsidP="003B76E2">
            <w:pPr>
              <w:jc w:val="both"/>
              <w:rPr>
                <w:sz w:val="22"/>
                <w:szCs w:val="22"/>
              </w:rPr>
            </w:pPr>
            <w:r>
              <w:rPr>
                <w:sz w:val="22"/>
                <w:szCs w:val="22"/>
              </w:rPr>
              <w:t>0.4</w:t>
            </w:r>
          </w:p>
        </w:tc>
        <w:tc>
          <w:tcPr>
            <w:tcW w:w="1701" w:type="dxa"/>
            <w:tcBorders>
              <w:top w:val="nil"/>
              <w:left w:val="nil"/>
              <w:bottom w:val="single" w:sz="4" w:space="0" w:color="auto"/>
              <w:right w:val="single" w:sz="4" w:space="0" w:color="auto"/>
            </w:tcBorders>
            <w:shd w:val="clear" w:color="auto" w:fill="auto"/>
            <w:noWrap/>
            <w:vAlign w:val="center"/>
            <w:hideMark/>
          </w:tcPr>
          <w:p w14:paraId="5C280C04" w14:textId="77777777" w:rsidR="00C61C2E" w:rsidRPr="007636AD" w:rsidRDefault="00C61C2E" w:rsidP="003B76E2">
            <w:pPr>
              <w:jc w:val="both"/>
              <w:rPr>
                <w:sz w:val="22"/>
                <w:szCs w:val="22"/>
              </w:rPr>
            </w:pPr>
            <w:r>
              <w:rPr>
                <w:sz w:val="22"/>
                <w:szCs w:val="22"/>
              </w:rPr>
              <w:t>0</w:t>
            </w:r>
          </w:p>
        </w:tc>
        <w:tc>
          <w:tcPr>
            <w:tcW w:w="1559" w:type="dxa"/>
            <w:tcBorders>
              <w:top w:val="nil"/>
              <w:left w:val="nil"/>
              <w:bottom w:val="single" w:sz="4" w:space="0" w:color="auto"/>
              <w:right w:val="single" w:sz="4" w:space="0" w:color="auto"/>
            </w:tcBorders>
            <w:shd w:val="clear" w:color="auto" w:fill="auto"/>
            <w:noWrap/>
            <w:vAlign w:val="center"/>
            <w:hideMark/>
          </w:tcPr>
          <w:p w14:paraId="0761E759" w14:textId="77777777" w:rsidR="00C61C2E" w:rsidRPr="007636AD" w:rsidRDefault="00C61C2E" w:rsidP="003B76E2">
            <w:pPr>
              <w:jc w:val="both"/>
              <w:rPr>
                <w:sz w:val="22"/>
                <w:szCs w:val="22"/>
              </w:rPr>
            </w:pPr>
            <w:r>
              <w:rPr>
                <w:sz w:val="22"/>
                <w:szCs w:val="22"/>
              </w:rPr>
              <w:t>13.9</w:t>
            </w:r>
          </w:p>
        </w:tc>
      </w:tr>
      <w:tr w:rsidR="00C61C2E" w:rsidRPr="007636AD" w14:paraId="6B1627DF" w14:textId="77777777" w:rsidTr="008D43B5">
        <w:trPr>
          <w:trHeight w:val="271"/>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3DEA74AA" w14:textId="77777777" w:rsidR="00C61C2E" w:rsidRPr="007636AD" w:rsidRDefault="00C61C2E" w:rsidP="003B76E2">
            <w:pPr>
              <w:jc w:val="both"/>
              <w:rPr>
                <w:b/>
                <w:bCs/>
                <w:sz w:val="22"/>
                <w:szCs w:val="22"/>
              </w:rPr>
            </w:pPr>
            <w:r w:rsidRPr="007636AD">
              <w:rPr>
                <w:b/>
                <w:bCs/>
                <w:sz w:val="22"/>
                <w:szCs w:val="22"/>
              </w:rPr>
              <w:t>25% Percentile</w:t>
            </w:r>
          </w:p>
        </w:tc>
        <w:tc>
          <w:tcPr>
            <w:tcW w:w="1467" w:type="dxa"/>
            <w:tcBorders>
              <w:top w:val="nil"/>
              <w:left w:val="nil"/>
              <w:bottom w:val="single" w:sz="4" w:space="0" w:color="auto"/>
              <w:right w:val="single" w:sz="4" w:space="0" w:color="auto"/>
            </w:tcBorders>
            <w:shd w:val="clear" w:color="auto" w:fill="auto"/>
            <w:noWrap/>
            <w:vAlign w:val="center"/>
            <w:hideMark/>
          </w:tcPr>
          <w:p w14:paraId="668A7127" w14:textId="77777777" w:rsidR="00C61C2E" w:rsidRPr="007636AD" w:rsidRDefault="00C61C2E" w:rsidP="003B76E2">
            <w:pPr>
              <w:jc w:val="both"/>
              <w:rPr>
                <w:sz w:val="22"/>
                <w:szCs w:val="22"/>
              </w:rPr>
            </w:pPr>
            <w:r>
              <w:rPr>
                <w:sz w:val="22"/>
                <w:szCs w:val="22"/>
              </w:rPr>
              <w:t>0.6</w:t>
            </w:r>
          </w:p>
        </w:tc>
        <w:tc>
          <w:tcPr>
            <w:tcW w:w="1701" w:type="dxa"/>
            <w:tcBorders>
              <w:top w:val="nil"/>
              <w:left w:val="nil"/>
              <w:bottom w:val="single" w:sz="4" w:space="0" w:color="auto"/>
              <w:right w:val="single" w:sz="4" w:space="0" w:color="auto"/>
            </w:tcBorders>
            <w:shd w:val="clear" w:color="auto" w:fill="auto"/>
            <w:noWrap/>
            <w:vAlign w:val="center"/>
            <w:hideMark/>
          </w:tcPr>
          <w:p w14:paraId="6823C560" w14:textId="77777777" w:rsidR="00C61C2E" w:rsidRPr="007636AD" w:rsidRDefault="00C61C2E" w:rsidP="003B76E2">
            <w:pPr>
              <w:jc w:val="both"/>
              <w:rPr>
                <w:sz w:val="22"/>
                <w:szCs w:val="22"/>
              </w:rPr>
            </w:pPr>
            <w:r>
              <w:rPr>
                <w:sz w:val="22"/>
                <w:szCs w:val="22"/>
              </w:rPr>
              <w:t>0.5</w:t>
            </w:r>
          </w:p>
        </w:tc>
        <w:tc>
          <w:tcPr>
            <w:tcW w:w="1701" w:type="dxa"/>
            <w:tcBorders>
              <w:top w:val="nil"/>
              <w:left w:val="nil"/>
              <w:bottom w:val="single" w:sz="4" w:space="0" w:color="auto"/>
              <w:right w:val="single" w:sz="4" w:space="0" w:color="auto"/>
            </w:tcBorders>
            <w:shd w:val="clear" w:color="auto" w:fill="auto"/>
            <w:noWrap/>
            <w:vAlign w:val="center"/>
            <w:hideMark/>
          </w:tcPr>
          <w:p w14:paraId="3F57D668" w14:textId="77777777" w:rsidR="00C61C2E" w:rsidRPr="007636AD" w:rsidRDefault="00C61C2E" w:rsidP="003B76E2">
            <w:pPr>
              <w:jc w:val="both"/>
              <w:rPr>
                <w:sz w:val="22"/>
                <w:szCs w:val="22"/>
              </w:rPr>
            </w:pPr>
            <w:r>
              <w:rPr>
                <w:sz w:val="22"/>
                <w:szCs w:val="22"/>
              </w:rPr>
              <w:t>0</w:t>
            </w:r>
          </w:p>
        </w:tc>
        <w:tc>
          <w:tcPr>
            <w:tcW w:w="1559" w:type="dxa"/>
            <w:tcBorders>
              <w:top w:val="nil"/>
              <w:left w:val="nil"/>
              <w:bottom w:val="single" w:sz="4" w:space="0" w:color="auto"/>
              <w:right w:val="single" w:sz="4" w:space="0" w:color="auto"/>
            </w:tcBorders>
            <w:shd w:val="clear" w:color="auto" w:fill="auto"/>
            <w:noWrap/>
            <w:vAlign w:val="center"/>
            <w:hideMark/>
          </w:tcPr>
          <w:p w14:paraId="27C92827" w14:textId="77777777" w:rsidR="00C61C2E" w:rsidRPr="007636AD" w:rsidRDefault="00C61C2E" w:rsidP="003B76E2">
            <w:pPr>
              <w:jc w:val="both"/>
              <w:rPr>
                <w:sz w:val="22"/>
                <w:szCs w:val="22"/>
              </w:rPr>
            </w:pPr>
            <w:r>
              <w:rPr>
                <w:sz w:val="22"/>
                <w:szCs w:val="22"/>
              </w:rPr>
              <w:t>18.5</w:t>
            </w:r>
          </w:p>
        </w:tc>
      </w:tr>
      <w:tr w:rsidR="00C61C2E" w:rsidRPr="007636AD" w14:paraId="118CAD11" w14:textId="77777777" w:rsidTr="008D43B5">
        <w:trPr>
          <w:trHeight w:val="133"/>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4C048FB2" w14:textId="77777777" w:rsidR="00C61C2E" w:rsidRPr="007636AD" w:rsidRDefault="00C61C2E" w:rsidP="003B76E2">
            <w:pPr>
              <w:jc w:val="both"/>
              <w:rPr>
                <w:b/>
                <w:bCs/>
                <w:sz w:val="22"/>
                <w:szCs w:val="22"/>
              </w:rPr>
            </w:pPr>
            <w:r w:rsidRPr="007636AD">
              <w:rPr>
                <w:b/>
                <w:bCs/>
                <w:sz w:val="22"/>
                <w:szCs w:val="22"/>
              </w:rPr>
              <w:t>Median</w:t>
            </w:r>
          </w:p>
        </w:tc>
        <w:tc>
          <w:tcPr>
            <w:tcW w:w="1467" w:type="dxa"/>
            <w:tcBorders>
              <w:top w:val="nil"/>
              <w:left w:val="nil"/>
              <w:bottom w:val="single" w:sz="4" w:space="0" w:color="auto"/>
              <w:right w:val="single" w:sz="4" w:space="0" w:color="auto"/>
            </w:tcBorders>
            <w:shd w:val="clear" w:color="auto" w:fill="auto"/>
            <w:noWrap/>
            <w:vAlign w:val="center"/>
            <w:hideMark/>
          </w:tcPr>
          <w:p w14:paraId="660978E7" w14:textId="77777777" w:rsidR="00C61C2E" w:rsidRPr="007636AD" w:rsidRDefault="00C61C2E" w:rsidP="003B76E2">
            <w:pPr>
              <w:jc w:val="both"/>
              <w:rPr>
                <w:sz w:val="22"/>
                <w:szCs w:val="22"/>
              </w:rPr>
            </w:pPr>
            <w:r>
              <w:rPr>
                <w:sz w:val="22"/>
                <w:szCs w:val="22"/>
              </w:rPr>
              <w:t>0.9</w:t>
            </w:r>
          </w:p>
        </w:tc>
        <w:tc>
          <w:tcPr>
            <w:tcW w:w="1701" w:type="dxa"/>
            <w:tcBorders>
              <w:top w:val="nil"/>
              <w:left w:val="nil"/>
              <w:bottom w:val="single" w:sz="4" w:space="0" w:color="auto"/>
              <w:right w:val="single" w:sz="4" w:space="0" w:color="auto"/>
            </w:tcBorders>
            <w:shd w:val="clear" w:color="auto" w:fill="auto"/>
            <w:noWrap/>
            <w:vAlign w:val="center"/>
            <w:hideMark/>
          </w:tcPr>
          <w:p w14:paraId="14701C93" w14:textId="77777777" w:rsidR="00C61C2E" w:rsidRPr="007636AD" w:rsidRDefault="00C61C2E" w:rsidP="003B76E2">
            <w:pPr>
              <w:jc w:val="both"/>
              <w:rPr>
                <w:sz w:val="22"/>
                <w:szCs w:val="22"/>
              </w:rPr>
            </w:pPr>
            <w:r>
              <w:rPr>
                <w:sz w:val="22"/>
                <w:szCs w:val="22"/>
              </w:rPr>
              <w:t>0.9</w:t>
            </w:r>
          </w:p>
        </w:tc>
        <w:tc>
          <w:tcPr>
            <w:tcW w:w="1701" w:type="dxa"/>
            <w:tcBorders>
              <w:top w:val="nil"/>
              <w:left w:val="nil"/>
              <w:bottom w:val="single" w:sz="4" w:space="0" w:color="auto"/>
              <w:right w:val="single" w:sz="4" w:space="0" w:color="auto"/>
            </w:tcBorders>
            <w:shd w:val="clear" w:color="auto" w:fill="auto"/>
            <w:noWrap/>
            <w:vAlign w:val="center"/>
            <w:hideMark/>
          </w:tcPr>
          <w:p w14:paraId="2C04E109" w14:textId="77777777" w:rsidR="00C61C2E" w:rsidRPr="007636AD" w:rsidRDefault="00C61C2E" w:rsidP="003B76E2">
            <w:pPr>
              <w:jc w:val="both"/>
              <w:rPr>
                <w:sz w:val="22"/>
                <w:szCs w:val="22"/>
              </w:rPr>
            </w:pPr>
            <w:r>
              <w:rPr>
                <w:sz w:val="22"/>
                <w:szCs w:val="22"/>
              </w:rPr>
              <w:t>0.6</w:t>
            </w:r>
          </w:p>
        </w:tc>
        <w:tc>
          <w:tcPr>
            <w:tcW w:w="1559" w:type="dxa"/>
            <w:tcBorders>
              <w:top w:val="nil"/>
              <w:left w:val="nil"/>
              <w:bottom w:val="single" w:sz="4" w:space="0" w:color="auto"/>
              <w:right w:val="single" w:sz="4" w:space="0" w:color="auto"/>
            </w:tcBorders>
            <w:shd w:val="clear" w:color="auto" w:fill="auto"/>
            <w:noWrap/>
            <w:vAlign w:val="center"/>
            <w:hideMark/>
          </w:tcPr>
          <w:p w14:paraId="5239E17F" w14:textId="77777777" w:rsidR="00C61C2E" w:rsidRPr="007636AD" w:rsidRDefault="00C61C2E" w:rsidP="003B76E2">
            <w:pPr>
              <w:jc w:val="both"/>
              <w:rPr>
                <w:sz w:val="22"/>
                <w:szCs w:val="22"/>
              </w:rPr>
            </w:pPr>
            <w:r>
              <w:rPr>
                <w:sz w:val="22"/>
                <w:szCs w:val="22"/>
              </w:rPr>
              <w:t>28.2</w:t>
            </w:r>
          </w:p>
        </w:tc>
      </w:tr>
      <w:tr w:rsidR="00C61C2E" w:rsidRPr="007636AD" w14:paraId="56D8CBB2" w14:textId="77777777" w:rsidTr="008D43B5">
        <w:trPr>
          <w:trHeight w:val="271"/>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5CD8162D" w14:textId="77777777" w:rsidR="00C61C2E" w:rsidRPr="007636AD" w:rsidRDefault="00C61C2E" w:rsidP="003B76E2">
            <w:pPr>
              <w:jc w:val="both"/>
              <w:rPr>
                <w:b/>
                <w:bCs/>
                <w:sz w:val="22"/>
                <w:szCs w:val="22"/>
              </w:rPr>
            </w:pPr>
            <w:r w:rsidRPr="007636AD">
              <w:rPr>
                <w:b/>
                <w:bCs/>
                <w:sz w:val="22"/>
                <w:szCs w:val="22"/>
              </w:rPr>
              <w:t>75% Percentile</w:t>
            </w:r>
          </w:p>
        </w:tc>
        <w:tc>
          <w:tcPr>
            <w:tcW w:w="1467" w:type="dxa"/>
            <w:tcBorders>
              <w:top w:val="nil"/>
              <w:left w:val="nil"/>
              <w:bottom w:val="single" w:sz="4" w:space="0" w:color="auto"/>
              <w:right w:val="single" w:sz="4" w:space="0" w:color="auto"/>
            </w:tcBorders>
            <w:shd w:val="clear" w:color="auto" w:fill="auto"/>
            <w:noWrap/>
            <w:vAlign w:val="center"/>
            <w:hideMark/>
          </w:tcPr>
          <w:p w14:paraId="68D7B49B" w14:textId="77777777" w:rsidR="00C61C2E" w:rsidRPr="007636AD" w:rsidRDefault="00C61C2E" w:rsidP="003B76E2">
            <w:pPr>
              <w:jc w:val="both"/>
              <w:rPr>
                <w:sz w:val="22"/>
                <w:szCs w:val="22"/>
              </w:rPr>
            </w:pPr>
            <w:r>
              <w:rPr>
                <w:sz w:val="22"/>
                <w:szCs w:val="22"/>
              </w:rPr>
              <w:t>1.3</w:t>
            </w:r>
          </w:p>
        </w:tc>
        <w:tc>
          <w:tcPr>
            <w:tcW w:w="1701" w:type="dxa"/>
            <w:tcBorders>
              <w:top w:val="nil"/>
              <w:left w:val="nil"/>
              <w:bottom w:val="single" w:sz="4" w:space="0" w:color="auto"/>
              <w:right w:val="single" w:sz="4" w:space="0" w:color="auto"/>
            </w:tcBorders>
            <w:shd w:val="clear" w:color="auto" w:fill="auto"/>
            <w:noWrap/>
            <w:vAlign w:val="center"/>
            <w:hideMark/>
          </w:tcPr>
          <w:p w14:paraId="36388C9B" w14:textId="77777777" w:rsidR="00C61C2E" w:rsidRPr="007636AD" w:rsidRDefault="00C61C2E" w:rsidP="003B76E2">
            <w:pPr>
              <w:jc w:val="both"/>
              <w:rPr>
                <w:sz w:val="22"/>
                <w:szCs w:val="22"/>
              </w:rPr>
            </w:pPr>
            <w:r>
              <w:rPr>
                <w:sz w:val="22"/>
                <w:szCs w:val="22"/>
              </w:rPr>
              <w:t>1.7</w:t>
            </w:r>
          </w:p>
        </w:tc>
        <w:tc>
          <w:tcPr>
            <w:tcW w:w="1701" w:type="dxa"/>
            <w:tcBorders>
              <w:top w:val="nil"/>
              <w:left w:val="nil"/>
              <w:bottom w:val="single" w:sz="4" w:space="0" w:color="auto"/>
              <w:right w:val="single" w:sz="4" w:space="0" w:color="auto"/>
            </w:tcBorders>
            <w:shd w:val="clear" w:color="auto" w:fill="auto"/>
            <w:noWrap/>
            <w:vAlign w:val="center"/>
            <w:hideMark/>
          </w:tcPr>
          <w:p w14:paraId="3276D82C" w14:textId="77777777" w:rsidR="00C61C2E" w:rsidRPr="007636AD" w:rsidRDefault="00C61C2E" w:rsidP="003B76E2">
            <w:pPr>
              <w:jc w:val="both"/>
              <w:rPr>
                <w:sz w:val="22"/>
                <w:szCs w:val="22"/>
              </w:rPr>
            </w:pPr>
            <w:r>
              <w:rPr>
                <w:sz w:val="22"/>
                <w:szCs w:val="22"/>
              </w:rPr>
              <w:t>1.8</w:t>
            </w:r>
          </w:p>
        </w:tc>
        <w:tc>
          <w:tcPr>
            <w:tcW w:w="1559" w:type="dxa"/>
            <w:tcBorders>
              <w:top w:val="nil"/>
              <w:left w:val="nil"/>
              <w:bottom w:val="single" w:sz="4" w:space="0" w:color="auto"/>
              <w:right w:val="single" w:sz="4" w:space="0" w:color="auto"/>
            </w:tcBorders>
            <w:shd w:val="clear" w:color="auto" w:fill="auto"/>
            <w:noWrap/>
            <w:vAlign w:val="center"/>
            <w:hideMark/>
          </w:tcPr>
          <w:p w14:paraId="144FDCDD" w14:textId="77777777" w:rsidR="00C61C2E" w:rsidRPr="007636AD" w:rsidRDefault="00C61C2E" w:rsidP="003B76E2">
            <w:pPr>
              <w:jc w:val="both"/>
              <w:rPr>
                <w:sz w:val="22"/>
                <w:szCs w:val="22"/>
              </w:rPr>
            </w:pPr>
            <w:r>
              <w:rPr>
                <w:sz w:val="22"/>
                <w:szCs w:val="22"/>
              </w:rPr>
              <w:t>36.9</w:t>
            </w:r>
          </w:p>
        </w:tc>
      </w:tr>
      <w:tr w:rsidR="00C61C2E" w:rsidRPr="007636AD" w14:paraId="288E9D05" w14:textId="77777777" w:rsidTr="008D43B5">
        <w:trPr>
          <w:trHeight w:val="133"/>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560B5B75" w14:textId="77777777" w:rsidR="00C61C2E" w:rsidRPr="007636AD" w:rsidRDefault="00C61C2E" w:rsidP="003B76E2">
            <w:pPr>
              <w:jc w:val="both"/>
              <w:rPr>
                <w:b/>
                <w:bCs/>
                <w:sz w:val="22"/>
                <w:szCs w:val="22"/>
              </w:rPr>
            </w:pPr>
            <w:r w:rsidRPr="007636AD">
              <w:rPr>
                <w:b/>
                <w:bCs/>
                <w:sz w:val="22"/>
                <w:szCs w:val="22"/>
              </w:rPr>
              <w:t>Maximum</w:t>
            </w:r>
          </w:p>
        </w:tc>
        <w:tc>
          <w:tcPr>
            <w:tcW w:w="1467" w:type="dxa"/>
            <w:tcBorders>
              <w:top w:val="nil"/>
              <w:left w:val="nil"/>
              <w:bottom w:val="single" w:sz="4" w:space="0" w:color="auto"/>
              <w:right w:val="single" w:sz="4" w:space="0" w:color="auto"/>
            </w:tcBorders>
            <w:shd w:val="clear" w:color="auto" w:fill="auto"/>
            <w:noWrap/>
            <w:vAlign w:val="center"/>
            <w:hideMark/>
          </w:tcPr>
          <w:p w14:paraId="0CC071A5" w14:textId="77777777" w:rsidR="00C61C2E" w:rsidRPr="007636AD" w:rsidRDefault="00C61C2E" w:rsidP="003B76E2">
            <w:pPr>
              <w:jc w:val="both"/>
              <w:rPr>
                <w:sz w:val="22"/>
                <w:szCs w:val="22"/>
              </w:rPr>
            </w:pPr>
            <w:r>
              <w:rPr>
                <w:sz w:val="22"/>
                <w:szCs w:val="22"/>
              </w:rPr>
              <w:t>1.5</w:t>
            </w:r>
          </w:p>
        </w:tc>
        <w:tc>
          <w:tcPr>
            <w:tcW w:w="1701" w:type="dxa"/>
            <w:tcBorders>
              <w:top w:val="nil"/>
              <w:left w:val="nil"/>
              <w:bottom w:val="single" w:sz="4" w:space="0" w:color="auto"/>
              <w:right w:val="single" w:sz="4" w:space="0" w:color="auto"/>
            </w:tcBorders>
            <w:shd w:val="clear" w:color="auto" w:fill="auto"/>
            <w:noWrap/>
            <w:vAlign w:val="center"/>
            <w:hideMark/>
          </w:tcPr>
          <w:p w14:paraId="4DD48E1F" w14:textId="77777777" w:rsidR="00C61C2E" w:rsidRPr="007636AD" w:rsidRDefault="00C61C2E" w:rsidP="003B76E2">
            <w:pPr>
              <w:jc w:val="both"/>
              <w:rPr>
                <w:sz w:val="22"/>
                <w:szCs w:val="22"/>
              </w:rPr>
            </w:pPr>
            <w:r>
              <w:rPr>
                <w:sz w:val="22"/>
                <w:szCs w:val="22"/>
              </w:rPr>
              <w:t>2.2</w:t>
            </w:r>
          </w:p>
        </w:tc>
        <w:tc>
          <w:tcPr>
            <w:tcW w:w="1701" w:type="dxa"/>
            <w:tcBorders>
              <w:top w:val="nil"/>
              <w:left w:val="nil"/>
              <w:bottom w:val="single" w:sz="4" w:space="0" w:color="auto"/>
              <w:right w:val="single" w:sz="4" w:space="0" w:color="auto"/>
            </w:tcBorders>
            <w:shd w:val="clear" w:color="auto" w:fill="auto"/>
            <w:noWrap/>
            <w:vAlign w:val="center"/>
            <w:hideMark/>
          </w:tcPr>
          <w:p w14:paraId="6E5D2A87" w14:textId="77777777" w:rsidR="00C61C2E" w:rsidRPr="007636AD" w:rsidRDefault="00C61C2E" w:rsidP="003B76E2">
            <w:pPr>
              <w:jc w:val="both"/>
              <w:rPr>
                <w:sz w:val="22"/>
                <w:szCs w:val="22"/>
              </w:rPr>
            </w:pPr>
            <w:r>
              <w:rPr>
                <w:sz w:val="22"/>
                <w:szCs w:val="22"/>
              </w:rPr>
              <w:t>4</w:t>
            </w:r>
          </w:p>
        </w:tc>
        <w:tc>
          <w:tcPr>
            <w:tcW w:w="1559" w:type="dxa"/>
            <w:tcBorders>
              <w:top w:val="nil"/>
              <w:left w:val="nil"/>
              <w:bottom w:val="single" w:sz="4" w:space="0" w:color="auto"/>
              <w:right w:val="single" w:sz="4" w:space="0" w:color="auto"/>
            </w:tcBorders>
            <w:shd w:val="clear" w:color="auto" w:fill="auto"/>
            <w:noWrap/>
            <w:vAlign w:val="center"/>
            <w:hideMark/>
          </w:tcPr>
          <w:p w14:paraId="07357322" w14:textId="77777777" w:rsidR="00C61C2E" w:rsidRPr="007636AD" w:rsidRDefault="00C61C2E" w:rsidP="003B76E2">
            <w:pPr>
              <w:jc w:val="both"/>
              <w:rPr>
                <w:sz w:val="22"/>
                <w:szCs w:val="22"/>
              </w:rPr>
            </w:pPr>
            <w:r>
              <w:rPr>
                <w:sz w:val="22"/>
                <w:szCs w:val="22"/>
              </w:rPr>
              <w:t>69.9</w:t>
            </w:r>
          </w:p>
        </w:tc>
      </w:tr>
      <w:tr w:rsidR="00C61C2E" w:rsidRPr="007636AD" w14:paraId="52A6B063" w14:textId="77777777" w:rsidTr="008D43B5">
        <w:trPr>
          <w:trHeight w:val="133"/>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022A8F1A" w14:textId="77777777" w:rsidR="00C61C2E" w:rsidRPr="007636AD" w:rsidRDefault="00C61C2E" w:rsidP="003B76E2">
            <w:pPr>
              <w:jc w:val="both"/>
              <w:rPr>
                <w:b/>
                <w:bCs/>
                <w:sz w:val="22"/>
                <w:szCs w:val="22"/>
              </w:rPr>
            </w:pPr>
            <w:r w:rsidRPr="007636AD">
              <w:rPr>
                <w:b/>
                <w:bCs/>
                <w:sz w:val="22"/>
                <w:szCs w:val="22"/>
              </w:rPr>
              <w:t>Range</w:t>
            </w:r>
          </w:p>
        </w:tc>
        <w:tc>
          <w:tcPr>
            <w:tcW w:w="1467" w:type="dxa"/>
            <w:tcBorders>
              <w:top w:val="nil"/>
              <w:left w:val="nil"/>
              <w:bottom w:val="single" w:sz="4" w:space="0" w:color="auto"/>
              <w:right w:val="single" w:sz="4" w:space="0" w:color="auto"/>
            </w:tcBorders>
            <w:shd w:val="clear" w:color="auto" w:fill="auto"/>
            <w:noWrap/>
            <w:vAlign w:val="center"/>
            <w:hideMark/>
          </w:tcPr>
          <w:p w14:paraId="35C09A75" w14:textId="77777777" w:rsidR="00C61C2E" w:rsidRPr="007636AD" w:rsidRDefault="00C61C2E" w:rsidP="003B76E2">
            <w:pPr>
              <w:jc w:val="both"/>
              <w:rPr>
                <w:sz w:val="22"/>
                <w:szCs w:val="22"/>
              </w:rPr>
            </w:pPr>
            <w:r>
              <w:rPr>
                <w:sz w:val="22"/>
                <w:szCs w:val="22"/>
              </w:rPr>
              <w:t>1</w:t>
            </w:r>
          </w:p>
        </w:tc>
        <w:tc>
          <w:tcPr>
            <w:tcW w:w="1701" w:type="dxa"/>
            <w:tcBorders>
              <w:top w:val="nil"/>
              <w:left w:val="nil"/>
              <w:bottom w:val="single" w:sz="4" w:space="0" w:color="auto"/>
              <w:right w:val="single" w:sz="4" w:space="0" w:color="auto"/>
            </w:tcBorders>
            <w:shd w:val="clear" w:color="auto" w:fill="auto"/>
            <w:noWrap/>
            <w:vAlign w:val="center"/>
            <w:hideMark/>
          </w:tcPr>
          <w:p w14:paraId="38F25552" w14:textId="77777777" w:rsidR="00C61C2E" w:rsidRPr="007636AD" w:rsidRDefault="00C61C2E" w:rsidP="003B76E2">
            <w:pPr>
              <w:jc w:val="both"/>
              <w:rPr>
                <w:sz w:val="22"/>
                <w:szCs w:val="22"/>
              </w:rPr>
            </w:pPr>
            <w:r>
              <w:rPr>
                <w:sz w:val="22"/>
                <w:szCs w:val="22"/>
              </w:rPr>
              <w:t>1.2</w:t>
            </w:r>
          </w:p>
        </w:tc>
        <w:tc>
          <w:tcPr>
            <w:tcW w:w="1701" w:type="dxa"/>
            <w:tcBorders>
              <w:top w:val="nil"/>
              <w:left w:val="nil"/>
              <w:bottom w:val="single" w:sz="4" w:space="0" w:color="auto"/>
              <w:right w:val="single" w:sz="4" w:space="0" w:color="auto"/>
            </w:tcBorders>
            <w:shd w:val="clear" w:color="auto" w:fill="auto"/>
            <w:noWrap/>
            <w:vAlign w:val="center"/>
            <w:hideMark/>
          </w:tcPr>
          <w:p w14:paraId="43BFFAF6" w14:textId="77777777" w:rsidR="00C61C2E" w:rsidRPr="007636AD" w:rsidRDefault="00C61C2E" w:rsidP="003B76E2">
            <w:pPr>
              <w:jc w:val="both"/>
              <w:rPr>
                <w:sz w:val="22"/>
                <w:szCs w:val="22"/>
              </w:rPr>
            </w:pPr>
            <w:r>
              <w:rPr>
                <w:sz w:val="22"/>
                <w:szCs w:val="22"/>
              </w:rPr>
              <w:t>4</w:t>
            </w:r>
          </w:p>
        </w:tc>
        <w:tc>
          <w:tcPr>
            <w:tcW w:w="1559" w:type="dxa"/>
            <w:tcBorders>
              <w:top w:val="nil"/>
              <w:left w:val="nil"/>
              <w:bottom w:val="single" w:sz="4" w:space="0" w:color="auto"/>
              <w:right w:val="single" w:sz="4" w:space="0" w:color="auto"/>
            </w:tcBorders>
            <w:shd w:val="clear" w:color="auto" w:fill="auto"/>
            <w:noWrap/>
            <w:vAlign w:val="center"/>
            <w:hideMark/>
          </w:tcPr>
          <w:p w14:paraId="370B96D8" w14:textId="77777777" w:rsidR="00C61C2E" w:rsidRPr="007636AD" w:rsidRDefault="00C61C2E" w:rsidP="003B76E2">
            <w:pPr>
              <w:jc w:val="both"/>
              <w:rPr>
                <w:sz w:val="22"/>
                <w:szCs w:val="22"/>
              </w:rPr>
            </w:pPr>
            <w:r>
              <w:rPr>
                <w:sz w:val="22"/>
                <w:szCs w:val="22"/>
              </w:rPr>
              <w:t>56</w:t>
            </w:r>
          </w:p>
        </w:tc>
      </w:tr>
      <w:tr w:rsidR="00C61C2E" w:rsidRPr="007636AD" w14:paraId="61DEB9D5" w14:textId="77777777" w:rsidTr="008D43B5">
        <w:trPr>
          <w:trHeight w:val="133"/>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5FC9B096" w14:textId="77777777" w:rsidR="00C61C2E" w:rsidRPr="007636AD" w:rsidRDefault="00C61C2E" w:rsidP="003B76E2">
            <w:pPr>
              <w:jc w:val="both"/>
              <w:rPr>
                <w:b/>
                <w:bCs/>
                <w:sz w:val="22"/>
                <w:szCs w:val="22"/>
              </w:rPr>
            </w:pPr>
            <w:r w:rsidRPr="007636AD">
              <w:rPr>
                <w:b/>
                <w:bCs/>
                <w:sz w:val="22"/>
                <w:szCs w:val="22"/>
              </w:rPr>
              <w:t>Mean</w:t>
            </w:r>
          </w:p>
        </w:tc>
        <w:tc>
          <w:tcPr>
            <w:tcW w:w="1467" w:type="dxa"/>
            <w:tcBorders>
              <w:top w:val="nil"/>
              <w:left w:val="nil"/>
              <w:bottom w:val="single" w:sz="4" w:space="0" w:color="auto"/>
              <w:right w:val="single" w:sz="4" w:space="0" w:color="auto"/>
            </w:tcBorders>
            <w:shd w:val="clear" w:color="auto" w:fill="auto"/>
            <w:noWrap/>
            <w:vAlign w:val="center"/>
            <w:hideMark/>
          </w:tcPr>
          <w:p w14:paraId="5788568A" w14:textId="77777777" w:rsidR="00C61C2E" w:rsidRPr="007636AD" w:rsidRDefault="00C61C2E" w:rsidP="003B76E2">
            <w:pPr>
              <w:jc w:val="both"/>
              <w:rPr>
                <w:sz w:val="22"/>
                <w:szCs w:val="22"/>
              </w:rPr>
            </w:pPr>
            <w:r>
              <w:rPr>
                <w:sz w:val="22"/>
                <w:szCs w:val="22"/>
              </w:rPr>
              <w:t>0.9</w:t>
            </w:r>
          </w:p>
        </w:tc>
        <w:tc>
          <w:tcPr>
            <w:tcW w:w="1701" w:type="dxa"/>
            <w:tcBorders>
              <w:top w:val="nil"/>
              <w:left w:val="nil"/>
              <w:bottom w:val="single" w:sz="4" w:space="0" w:color="auto"/>
              <w:right w:val="single" w:sz="4" w:space="0" w:color="auto"/>
            </w:tcBorders>
            <w:shd w:val="clear" w:color="auto" w:fill="auto"/>
            <w:noWrap/>
            <w:vAlign w:val="center"/>
            <w:hideMark/>
          </w:tcPr>
          <w:p w14:paraId="246CC320" w14:textId="77777777" w:rsidR="00C61C2E" w:rsidRPr="007636AD" w:rsidRDefault="00C61C2E" w:rsidP="003B76E2">
            <w:pPr>
              <w:jc w:val="both"/>
              <w:rPr>
                <w:sz w:val="22"/>
                <w:szCs w:val="22"/>
              </w:rPr>
            </w:pPr>
            <w:r>
              <w:rPr>
                <w:sz w:val="22"/>
                <w:szCs w:val="22"/>
              </w:rPr>
              <w:t>1.1</w:t>
            </w:r>
          </w:p>
        </w:tc>
        <w:tc>
          <w:tcPr>
            <w:tcW w:w="1701" w:type="dxa"/>
            <w:tcBorders>
              <w:top w:val="nil"/>
              <w:left w:val="nil"/>
              <w:bottom w:val="single" w:sz="4" w:space="0" w:color="auto"/>
              <w:right w:val="single" w:sz="4" w:space="0" w:color="auto"/>
            </w:tcBorders>
            <w:shd w:val="clear" w:color="auto" w:fill="auto"/>
            <w:noWrap/>
            <w:vAlign w:val="center"/>
            <w:hideMark/>
          </w:tcPr>
          <w:p w14:paraId="7B86780A" w14:textId="77777777" w:rsidR="00C61C2E" w:rsidRPr="007636AD" w:rsidRDefault="00C61C2E" w:rsidP="003B76E2">
            <w:pPr>
              <w:jc w:val="both"/>
              <w:rPr>
                <w:sz w:val="22"/>
                <w:szCs w:val="22"/>
              </w:rPr>
            </w:pPr>
            <w:r>
              <w:rPr>
                <w:sz w:val="22"/>
                <w:szCs w:val="22"/>
              </w:rPr>
              <w:t>1</w:t>
            </w:r>
          </w:p>
        </w:tc>
        <w:tc>
          <w:tcPr>
            <w:tcW w:w="1559" w:type="dxa"/>
            <w:tcBorders>
              <w:top w:val="nil"/>
              <w:left w:val="nil"/>
              <w:bottom w:val="single" w:sz="4" w:space="0" w:color="auto"/>
              <w:right w:val="single" w:sz="4" w:space="0" w:color="auto"/>
            </w:tcBorders>
            <w:shd w:val="clear" w:color="auto" w:fill="auto"/>
            <w:noWrap/>
            <w:vAlign w:val="center"/>
            <w:hideMark/>
          </w:tcPr>
          <w:p w14:paraId="70B81A88" w14:textId="77777777" w:rsidR="00C61C2E" w:rsidRPr="007636AD" w:rsidRDefault="00C61C2E" w:rsidP="003B76E2">
            <w:pPr>
              <w:jc w:val="both"/>
              <w:rPr>
                <w:sz w:val="22"/>
                <w:szCs w:val="22"/>
              </w:rPr>
            </w:pPr>
            <w:r>
              <w:rPr>
                <w:sz w:val="22"/>
                <w:szCs w:val="22"/>
              </w:rPr>
              <w:t>32.</w:t>
            </w:r>
            <w:r w:rsidRPr="007636AD">
              <w:rPr>
                <w:sz w:val="22"/>
                <w:szCs w:val="22"/>
              </w:rPr>
              <w:t>3</w:t>
            </w:r>
          </w:p>
        </w:tc>
      </w:tr>
      <w:tr w:rsidR="00C61C2E" w:rsidRPr="007636AD" w14:paraId="595AEA25" w14:textId="77777777" w:rsidTr="008D43B5">
        <w:trPr>
          <w:trHeight w:val="271"/>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388C05E8" w14:textId="77777777" w:rsidR="00C61C2E" w:rsidRPr="007636AD" w:rsidRDefault="00C61C2E" w:rsidP="003B76E2">
            <w:pPr>
              <w:jc w:val="both"/>
              <w:rPr>
                <w:b/>
                <w:bCs/>
                <w:sz w:val="22"/>
                <w:szCs w:val="22"/>
              </w:rPr>
            </w:pPr>
            <w:r w:rsidRPr="007636AD">
              <w:rPr>
                <w:b/>
                <w:bCs/>
                <w:sz w:val="22"/>
                <w:szCs w:val="22"/>
              </w:rPr>
              <w:t>Std. Deviation</w:t>
            </w:r>
          </w:p>
        </w:tc>
        <w:tc>
          <w:tcPr>
            <w:tcW w:w="1467" w:type="dxa"/>
            <w:tcBorders>
              <w:top w:val="nil"/>
              <w:left w:val="nil"/>
              <w:bottom w:val="single" w:sz="4" w:space="0" w:color="auto"/>
              <w:right w:val="single" w:sz="4" w:space="0" w:color="auto"/>
            </w:tcBorders>
            <w:shd w:val="clear" w:color="auto" w:fill="auto"/>
            <w:noWrap/>
            <w:vAlign w:val="center"/>
            <w:hideMark/>
          </w:tcPr>
          <w:p w14:paraId="6ECB73D7" w14:textId="77777777" w:rsidR="00C61C2E" w:rsidRPr="007636AD" w:rsidRDefault="00C61C2E" w:rsidP="003B76E2">
            <w:pPr>
              <w:jc w:val="both"/>
              <w:rPr>
                <w:sz w:val="22"/>
                <w:szCs w:val="22"/>
              </w:rPr>
            </w:pPr>
            <w:r>
              <w:rPr>
                <w:sz w:val="22"/>
                <w:szCs w:val="22"/>
              </w:rPr>
              <w:t>0.4</w:t>
            </w:r>
          </w:p>
        </w:tc>
        <w:tc>
          <w:tcPr>
            <w:tcW w:w="1701" w:type="dxa"/>
            <w:tcBorders>
              <w:top w:val="nil"/>
              <w:left w:val="nil"/>
              <w:bottom w:val="single" w:sz="4" w:space="0" w:color="auto"/>
              <w:right w:val="single" w:sz="4" w:space="0" w:color="auto"/>
            </w:tcBorders>
            <w:shd w:val="clear" w:color="auto" w:fill="auto"/>
            <w:noWrap/>
            <w:vAlign w:val="center"/>
            <w:hideMark/>
          </w:tcPr>
          <w:p w14:paraId="0E27E1CA" w14:textId="77777777" w:rsidR="00C61C2E" w:rsidRPr="007636AD" w:rsidRDefault="00C61C2E" w:rsidP="003B76E2">
            <w:pPr>
              <w:jc w:val="both"/>
              <w:rPr>
                <w:sz w:val="22"/>
                <w:szCs w:val="22"/>
              </w:rPr>
            </w:pPr>
            <w:r>
              <w:rPr>
                <w:sz w:val="22"/>
                <w:szCs w:val="22"/>
              </w:rPr>
              <w:t>0.6</w:t>
            </w:r>
          </w:p>
        </w:tc>
        <w:tc>
          <w:tcPr>
            <w:tcW w:w="1701" w:type="dxa"/>
            <w:tcBorders>
              <w:top w:val="nil"/>
              <w:left w:val="nil"/>
              <w:bottom w:val="single" w:sz="4" w:space="0" w:color="auto"/>
              <w:right w:val="single" w:sz="4" w:space="0" w:color="auto"/>
            </w:tcBorders>
            <w:shd w:val="clear" w:color="auto" w:fill="auto"/>
            <w:noWrap/>
            <w:vAlign w:val="center"/>
            <w:hideMark/>
          </w:tcPr>
          <w:p w14:paraId="2B0DBE67" w14:textId="77777777" w:rsidR="00C61C2E" w:rsidRPr="007636AD" w:rsidRDefault="00C61C2E" w:rsidP="003B76E2">
            <w:pPr>
              <w:jc w:val="both"/>
              <w:rPr>
                <w:sz w:val="22"/>
                <w:szCs w:val="22"/>
              </w:rPr>
            </w:pPr>
            <w:r>
              <w:rPr>
                <w:sz w:val="22"/>
                <w:szCs w:val="22"/>
              </w:rPr>
              <w:t>1.2</w:t>
            </w:r>
          </w:p>
        </w:tc>
        <w:tc>
          <w:tcPr>
            <w:tcW w:w="1559" w:type="dxa"/>
            <w:tcBorders>
              <w:top w:val="nil"/>
              <w:left w:val="nil"/>
              <w:bottom w:val="single" w:sz="4" w:space="0" w:color="auto"/>
              <w:right w:val="single" w:sz="4" w:space="0" w:color="auto"/>
            </w:tcBorders>
            <w:shd w:val="clear" w:color="auto" w:fill="auto"/>
            <w:noWrap/>
            <w:vAlign w:val="center"/>
            <w:hideMark/>
          </w:tcPr>
          <w:p w14:paraId="494E3BDA" w14:textId="77777777" w:rsidR="00C61C2E" w:rsidRPr="007636AD" w:rsidRDefault="00C61C2E" w:rsidP="003B76E2">
            <w:pPr>
              <w:jc w:val="both"/>
              <w:rPr>
                <w:sz w:val="22"/>
                <w:szCs w:val="22"/>
              </w:rPr>
            </w:pPr>
            <w:r>
              <w:rPr>
                <w:sz w:val="22"/>
                <w:szCs w:val="22"/>
              </w:rPr>
              <w:t>16.7</w:t>
            </w:r>
          </w:p>
        </w:tc>
      </w:tr>
      <w:tr w:rsidR="00C61C2E" w:rsidRPr="007636AD" w14:paraId="49F8F89B" w14:textId="77777777" w:rsidTr="008D43B5">
        <w:trPr>
          <w:trHeight w:val="271"/>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0FD56004" w14:textId="77777777" w:rsidR="00C61C2E" w:rsidRPr="007636AD" w:rsidRDefault="00C61C2E" w:rsidP="003B76E2">
            <w:pPr>
              <w:jc w:val="both"/>
              <w:rPr>
                <w:b/>
                <w:bCs/>
                <w:sz w:val="22"/>
                <w:szCs w:val="22"/>
              </w:rPr>
            </w:pPr>
            <w:r w:rsidRPr="007636AD">
              <w:rPr>
                <w:b/>
                <w:bCs/>
                <w:sz w:val="22"/>
                <w:szCs w:val="22"/>
              </w:rPr>
              <w:t>Std. Error of Mean</w:t>
            </w:r>
          </w:p>
        </w:tc>
        <w:tc>
          <w:tcPr>
            <w:tcW w:w="1467" w:type="dxa"/>
            <w:tcBorders>
              <w:top w:val="nil"/>
              <w:left w:val="nil"/>
              <w:bottom w:val="single" w:sz="4" w:space="0" w:color="auto"/>
              <w:right w:val="single" w:sz="4" w:space="0" w:color="auto"/>
            </w:tcBorders>
            <w:shd w:val="clear" w:color="auto" w:fill="auto"/>
            <w:noWrap/>
            <w:vAlign w:val="center"/>
            <w:hideMark/>
          </w:tcPr>
          <w:p w14:paraId="07D13360" w14:textId="77777777" w:rsidR="00C61C2E" w:rsidRPr="007636AD" w:rsidRDefault="00C61C2E" w:rsidP="003B76E2">
            <w:pPr>
              <w:jc w:val="both"/>
              <w:rPr>
                <w:sz w:val="22"/>
                <w:szCs w:val="22"/>
              </w:rPr>
            </w:pPr>
            <w:r>
              <w:rPr>
                <w:sz w:val="22"/>
                <w:szCs w:val="22"/>
              </w:rPr>
              <w:t>0.1</w:t>
            </w:r>
          </w:p>
        </w:tc>
        <w:tc>
          <w:tcPr>
            <w:tcW w:w="1701" w:type="dxa"/>
            <w:tcBorders>
              <w:top w:val="nil"/>
              <w:left w:val="nil"/>
              <w:bottom w:val="single" w:sz="4" w:space="0" w:color="auto"/>
              <w:right w:val="single" w:sz="4" w:space="0" w:color="auto"/>
            </w:tcBorders>
            <w:shd w:val="clear" w:color="auto" w:fill="auto"/>
            <w:noWrap/>
            <w:vAlign w:val="center"/>
            <w:hideMark/>
          </w:tcPr>
          <w:p w14:paraId="7FACAD02" w14:textId="77777777" w:rsidR="00C61C2E" w:rsidRPr="007636AD" w:rsidRDefault="00C61C2E" w:rsidP="003B76E2">
            <w:pPr>
              <w:jc w:val="both"/>
              <w:rPr>
                <w:sz w:val="22"/>
                <w:szCs w:val="22"/>
              </w:rPr>
            </w:pPr>
            <w:r>
              <w:rPr>
                <w:sz w:val="22"/>
                <w:szCs w:val="22"/>
              </w:rPr>
              <w:t>0.2</w:t>
            </w:r>
          </w:p>
        </w:tc>
        <w:tc>
          <w:tcPr>
            <w:tcW w:w="1701" w:type="dxa"/>
            <w:tcBorders>
              <w:top w:val="nil"/>
              <w:left w:val="nil"/>
              <w:bottom w:val="single" w:sz="4" w:space="0" w:color="auto"/>
              <w:right w:val="single" w:sz="4" w:space="0" w:color="auto"/>
            </w:tcBorders>
            <w:shd w:val="clear" w:color="auto" w:fill="auto"/>
            <w:noWrap/>
            <w:vAlign w:val="center"/>
            <w:hideMark/>
          </w:tcPr>
          <w:p w14:paraId="1E761C57" w14:textId="77777777" w:rsidR="00C61C2E" w:rsidRPr="007636AD" w:rsidRDefault="00C61C2E" w:rsidP="003B76E2">
            <w:pPr>
              <w:jc w:val="both"/>
              <w:rPr>
                <w:sz w:val="22"/>
                <w:szCs w:val="22"/>
              </w:rPr>
            </w:pPr>
            <w:r>
              <w:rPr>
                <w:sz w:val="22"/>
                <w:szCs w:val="22"/>
              </w:rPr>
              <w:t>0.3</w:t>
            </w:r>
          </w:p>
        </w:tc>
        <w:tc>
          <w:tcPr>
            <w:tcW w:w="1559" w:type="dxa"/>
            <w:tcBorders>
              <w:top w:val="nil"/>
              <w:left w:val="nil"/>
              <w:bottom w:val="single" w:sz="4" w:space="0" w:color="auto"/>
              <w:right w:val="single" w:sz="4" w:space="0" w:color="auto"/>
            </w:tcBorders>
            <w:shd w:val="clear" w:color="auto" w:fill="auto"/>
            <w:noWrap/>
            <w:vAlign w:val="center"/>
            <w:hideMark/>
          </w:tcPr>
          <w:p w14:paraId="3429FDC3" w14:textId="77777777" w:rsidR="00C61C2E" w:rsidRPr="007636AD" w:rsidRDefault="00C61C2E" w:rsidP="003B76E2">
            <w:pPr>
              <w:jc w:val="both"/>
              <w:rPr>
                <w:sz w:val="22"/>
                <w:szCs w:val="22"/>
              </w:rPr>
            </w:pPr>
            <w:r>
              <w:rPr>
                <w:sz w:val="22"/>
                <w:szCs w:val="22"/>
              </w:rPr>
              <w:t>4.3</w:t>
            </w:r>
          </w:p>
        </w:tc>
      </w:tr>
    </w:tbl>
    <w:p w14:paraId="6F66392F" w14:textId="77777777" w:rsidR="00C61C2E" w:rsidRDefault="00C61C2E" w:rsidP="003B76E2">
      <w:pPr>
        <w:pStyle w:val="Titolo2"/>
        <w:jc w:val="both"/>
        <w:rPr>
          <w:lang w:val="en-US"/>
        </w:rPr>
      </w:pPr>
    </w:p>
    <w:p w14:paraId="263CF1BF" w14:textId="59491EE0" w:rsidR="003C0C91" w:rsidRDefault="00F9496D" w:rsidP="003B76E2">
      <w:pPr>
        <w:jc w:val="both"/>
        <w:rPr>
          <w:lang w:val="en-US"/>
        </w:rPr>
      </w:pPr>
      <w:r>
        <w:rPr>
          <w:lang w:val="en-US"/>
        </w:rPr>
        <w:t>D</w:t>
      </w:r>
      <w:r w:rsidR="003C0C91">
        <w:rPr>
          <w:lang w:val="en-US"/>
        </w:rPr>
        <w:t xml:space="preserve">escriptive statistics </w:t>
      </w:r>
      <w:r>
        <w:rPr>
          <w:lang w:val="en-US"/>
        </w:rPr>
        <w:t>of peak parameters</w:t>
      </w:r>
      <w:r w:rsidR="003C0C91">
        <w:rPr>
          <w:lang w:val="en-US"/>
        </w:rPr>
        <w:t>. Number of values refers on the total number of peaks obtained in 2 experiments.</w:t>
      </w:r>
    </w:p>
    <w:p w14:paraId="1DABDF2E" w14:textId="3971ACCD" w:rsidR="003C0C91" w:rsidRDefault="003C0C91" w:rsidP="003B76E2">
      <w:pPr>
        <w:jc w:val="both"/>
        <w:rPr>
          <w:lang w:val="en-US"/>
        </w:rPr>
      </w:pPr>
    </w:p>
    <w:tbl>
      <w:tblPr>
        <w:tblW w:w="8789" w:type="dxa"/>
        <w:tblInd w:w="-5" w:type="dxa"/>
        <w:tblCellMar>
          <w:left w:w="70" w:type="dxa"/>
          <w:right w:w="70" w:type="dxa"/>
        </w:tblCellMar>
        <w:tblLook w:val="04A0" w:firstRow="1" w:lastRow="0" w:firstColumn="1" w:lastColumn="0" w:noHBand="0" w:noVBand="1"/>
      </w:tblPr>
      <w:tblGrid>
        <w:gridCol w:w="2361"/>
        <w:gridCol w:w="1467"/>
        <w:gridCol w:w="1701"/>
        <w:gridCol w:w="1701"/>
        <w:gridCol w:w="1559"/>
      </w:tblGrid>
      <w:tr w:rsidR="003C0C91" w:rsidRPr="007636AD" w14:paraId="55C786BC" w14:textId="77777777" w:rsidTr="005A53E0">
        <w:trPr>
          <w:trHeight w:val="271"/>
        </w:trPr>
        <w:tc>
          <w:tcPr>
            <w:tcW w:w="2361" w:type="dxa"/>
            <w:tcBorders>
              <w:top w:val="single" w:sz="4" w:space="0" w:color="auto"/>
              <w:left w:val="single" w:sz="4" w:space="0" w:color="auto"/>
              <w:bottom w:val="single" w:sz="4" w:space="0" w:color="auto"/>
              <w:right w:val="single" w:sz="4" w:space="0" w:color="auto"/>
            </w:tcBorders>
            <w:shd w:val="clear" w:color="000000" w:fill="AEAAAA"/>
            <w:noWrap/>
            <w:vAlign w:val="center"/>
            <w:hideMark/>
          </w:tcPr>
          <w:p w14:paraId="30A56334" w14:textId="77777777" w:rsidR="003C0C91" w:rsidRPr="007636AD" w:rsidRDefault="003C0C91" w:rsidP="003B76E2">
            <w:pPr>
              <w:jc w:val="both"/>
              <w:rPr>
                <w:b/>
                <w:bCs/>
                <w:color w:val="000000"/>
                <w:sz w:val="22"/>
                <w:szCs w:val="22"/>
              </w:rPr>
            </w:pPr>
            <w:r w:rsidRPr="007636AD">
              <w:rPr>
                <w:b/>
                <w:bCs/>
                <w:color w:val="000000"/>
                <w:sz w:val="22"/>
                <w:szCs w:val="22"/>
              </w:rPr>
              <w:t xml:space="preserve">AUC </w:t>
            </w:r>
          </w:p>
        </w:tc>
        <w:tc>
          <w:tcPr>
            <w:tcW w:w="1467" w:type="dxa"/>
            <w:tcBorders>
              <w:top w:val="single" w:sz="4" w:space="0" w:color="auto"/>
              <w:left w:val="nil"/>
              <w:bottom w:val="single" w:sz="4" w:space="0" w:color="auto"/>
              <w:right w:val="single" w:sz="4" w:space="0" w:color="auto"/>
            </w:tcBorders>
            <w:shd w:val="clear" w:color="000000" w:fill="AEAAAA"/>
            <w:vAlign w:val="center"/>
            <w:hideMark/>
          </w:tcPr>
          <w:p w14:paraId="53DB9BCE" w14:textId="77777777" w:rsidR="003C0C91" w:rsidRPr="007636AD" w:rsidRDefault="003C0C91" w:rsidP="003B76E2">
            <w:pPr>
              <w:jc w:val="both"/>
              <w:rPr>
                <w:b/>
                <w:bCs/>
                <w:sz w:val="22"/>
                <w:szCs w:val="22"/>
              </w:rPr>
            </w:pPr>
            <w:r w:rsidRPr="007636AD">
              <w:rPr>
                <w:b/>
                <w:bCs/>
                <w:sz w:val="22"/>
                <w:szCs w:val="22"/>
              </w:rPr>
              <w:t>BR (nM • sec)</w:t>
            </w:r>
          </w:p>
        </w:tc>
        <w:tc>
          <w:tcPr>
            <w:tcW w:w="1701" w:type="dxa"/>
            <w:tcBorders>
              <w:top w:val="single" w:sz="4" w:space="0" w:color="auto"/>
              <w:left w:val="nil"/>
              <w:bottom w:val="single" w:sz="4" w:space="0" w:color="auto"/>
              <w:right w:val="single" w:sz="4" w:space="0" w:color="auto"/>
            </w:tcBorders>
            <w:shd w:val="clear" w:color="000000" w:fill="AEAAAA"/>
            <w:noWrap/>
            <w:vAlign w:val="center"/>
            <w:hideMark/>
          </w:tcPr>
          <w:p w14:paraId="2AF5067A" w14:textId="77777777" w:rsidR="003C0C91" w:rsidRPr="007636AD" w:rsidRDefault="003C0C91" w:rsidP="003B76E2">
            <w:pPr>
              <w:jc w:val="both"/>
              <w:rPr>
                <w:b/>
                <w:bCs/>
                <w:sz w:val="22"/>
                <w:szCs w:val="22"/>
              </w:rPr>
            </w:pPr>
            <w:r w:rsidRPr="007636AD">
              <w:rPr>
                <w:b/>
                <w:bCs/>
                <w:sz w:val="22"/>
                <w:szCs w:val="22"/>
              </w:rPr>
              <w:t>BRG (nM • sec)</w:t>
            </w:r>
          </w:p>
        </w:tc>
        <w:tc>
          <w:tcPr>
            <w:tcW w:w="1701" w:type="dxa"/>
            <w:tcBorders>
              <w:top w:val="single" w:sz="4" w:space="0" w:color="auto"/>
              <w:left w:val="nil"/>
              <w:bottom w:val="single" w:sz="4" w:space="0" w:color="auto"/>
              <w:right w:val="single" w:sz="4" w:space="0" w:color="auto"/>
            </w:tcBorders>
            <w:shd w:val="clear" w:color="000000" w:fill="AEAAAA"/>
            <w:noWrap/>
            <w:vAlign w:val="center"/>
            <w:hideMark/>
          </w:tcPr>
          <w:p w14:paraId="15064B97" w14:textId="77777777" w:rsidR="003C0C91" w:rsidRPr="007636AD" w:rsidRDefault="003C0C91" w:rsidP="003B76E2">
            <w:pPr>
              <w:jc w:val="both"/>
              <w:rPr>
                <w:b/>
                <w:bCs/>
                <w:sz w:val="22"/>
                <w:szCs w:val="22"/>
              </w:rPr>
            </w:pPr>
            <w:r w:rsidRPr="007636AD">
              <w:rPr>
                <w:b/>
                <w:bCs/>
                <w:sz w:val="22"/>
                <w:szCs w:val="22"/>
              </w:rPr>
              <w:t>C3G (nM • sec)</w:t>
            </w:r>
          </w:p>
        </w:tc>
        <w:tc>
          <w:tcPr>
            <w:tcW w:w="1559" w:type="dxa"/>
            <w:tcBorders>
              <w:top w:val="single" w:sz="4" w:space="0" w:color="auto"/>
              <w:left w:val="nil"/>
              <w:bottom w:val="single" w:sz="4" w:space="0" w:color="auto"/>
              <w:right w:val="single" w:sz="4" w:space="0" w:color="auto"/>
            </w:tcBorders>
            <w:shd w:val="clear" w:color="000000" w:fill="AEAAAA"/>
            <w:noWrap/>
            <w:vAlign w:val="center"/>
            <w:hideMark/>
          </w:tcPr>
          <w:p w14:paraId="2D8EAE75" w14:textId="77777777" w:rsidR="003C0C91" w:rsidRPr="007636AD" w:rsidRDefault="003C0C91" w:rsidP="003B76E2">
            <w:pPr>
              <w:jc w:val="both"/>
              <w:rPr>
                <w:b/>
                <w:bCs/>
                <w:sz w:val="22"/>
                <w:szCs w:val="22"/>
              </w:rPr>
            </w:pPr>
            <w:r w:rsidRPr="007636AD">
              <w:rPr>
                <w:b/>
                <w:bCs/>
                <w:sz w:val="22"/>
                <w:szCs w:val="22"/>
              </w:rPr>
              <w:t>TC (nM • sec)</w:t>
            </w:r>
          </w:p>
        </w:tc>
      </w:tr>
      <w:tr w:rsidR="003C0C91" w:rsidRPr="007636AD" w14:paraId="01C4048C" w14:textId="77777777" w:rsidTr="005A53E0">
        <w:trPr>
          <w:trHeight w:val="271"/>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6288B808" w14:textId="77777777" w:rsidR="003C0C91" w:rsidRPr="007636AD" w:rsidRDefault="003C0C91" w:rsidP="003B76E2">
            <w:pPr>
              <w:jc w:val="both"/>
              <w:rPr>
                <w:b/>
                <w:bCs/>
                <w:sz w:val="22"/>
                <w:szCs w:val="22"/>
              </w:rPr>
            </w:pPr>
            <w:r w:rsidRPr="007636AD">
              <w:rPr>
                <w:b/>
                <w:bCs/>
                <w:sz w:val="22"/>
                <w:szCs w:val="22"/>
              </w:rPr>
              <w:t>Number of values</w:t>
            </w:r>
          </w:p>
        </w:tc>
        <w:tc>
          <w:tcPr>
            <w:tcW w:w="1467" w:type="dxa"/>
            <w:tcBorders>
              <w:top w:val="nil"/>
              <w:left w:val="nil"/>
              <w:bottom w:val="single" w:sz="4" w:space="0" w:color="auto"/>
              <w:right w:val="single" w:sz="4" w:space="0" w:color="auto"/>
            </w:tcBorders>
            <w:shd w:val="clear" w:color="auto" w:fill="auto"/>
            <w:noWrap/>
            <w:vAlign w:val="center"/>
            <w:hideMark/>
          </w:tcPr>
          <w:p w14:paraId="3208EDAA" w14:textId="77777777" w:rsidR="003C0C91" w:rsidRPr="007636AD" w:rsidRDefault="003C0C91" w:rsidP="003B76E2">
            <w:pPr>
              <w:jc w:val="both"/>
              <w:rPr>
                <w:sz w:val="22"/>
                <w:szCs w:val="22"/>
              </w:rPr>
            </w:pPr>
            <w:r w:rsidRPr="007636AD">
              <w:rPr>
                <w:sz w:val="22"/>
                <w:szCs w:val="22"/>
              </w:rPr>
              <w:t>4</w:t>
            </w:r>
          </w:p>
        </w:tc>
        <w:tc>
          <w:tcPr>
            <w:tcW w:w="1701" w:type="dxa"/>
            <w:tcBorders>
              <w:top w:val="nil"/>
              <w:left w:val="nil"/>
              <w:bottom w:val="single" w:sz="4" w:space="0" w:color="auto"/>
              <w:right w:val="single" w:sz="4" w:space="0" w:color="auto"/>
            </w:tcBorders>
            <w:shd w:val="clear" w:color="auto" w:fill="auto"/>
            <w:noWrap/>
            <w:vAlign w:val="center"/>
            <w:hideMark/>
          </w:tcPr>
          <w:p w14:paraId="1B9255AC" w14:textId="77777777" w:rsidR="003C0C91" w:rsidRPr="007636AD" w:rsidRDefault="003C0C91" w:rsidP="003B76E2">
            <w:pPr>
              <w:jc w:val="both"/>
              <w:rPr>
                <w:sz w:val="22"/>
                <w:szCs w:val="22"/>
              </w:rPr>
            </w:pPr>
            <w:r w:rsidRPr="007636AD">
              <w:rPr>
                <w:sz w:val="22"/>
                <w:szCs w:val="22"/>
              </w:rPr>
              <w:t>4</w:t>
            </w:r>
          </w:p>
        </w:tc>
        <w:tc>
          <w:tcPr>
            <w:tcW w:w="1701" w:type="dxa"/>
            <w:tcBorders>
              <w:top w:val="nil"/>
              <w:left w:val="nil"/>
              <w:bottom w:val="single" w:sz="4" w:space="0" w:color="auto"/>
              <w:right w:val="single" w:sz="4" w:space="0" w:color="auto"/>
            </w:tcBorders>
            <w:shd w:val="clear" w:color="auto" w:fill="auto"/>
            <w:noWrap/>
            <w:vAlign w:val="center"/>
            <w:hideMark/>
          </w:tcPr>
          <w:p w14:paraId="57ED62D4" w14:textId="77777777" w:rsidR="003C0C91" w:rsidRPr="007636AD" w:rsidRDefault="003C0C91" w:rsidP="003B76E2">
            <w:pPr>
              <w:jc w:val="both"/>
              <w:rPr>
                <w:sz w:val="22"/>
                <w:szCs w:val="22"/>
              </w:rPr>
            </w:pPr>
            <w:r w:rsidRPr="007636AD">
              <w:rPr>
                <w:sz w:val="22"/>
                <w:szCs w:val="22"/>
              </w:rPr>
              <w:t>6</w:t>
            </w:r>
          </w:p>
        </w:tc>
        <w:tc>
          <w:tcPr>
            <w:tcW w:w="1559" w:type="dxa"/>
            <w:tcBorders>
              <w:top w:val="nil"/>
              <w:left w:val="nil"/>
              <w:bottom w:val="single" w:sz="4" w:space="0" w:color="auto"/>
              <w:right w:val="single" w:sz="4" w:space="0" w:color="auto"/>
            </w:tcBorders>
            <w:shd w:val="clear" w:color="auto" w:fill="auto"/>
            <w:noWrap/>
            <w:vAlign w:val="center"/>
            <w:hideMark/>
          </w:tcPr>
          <w:p w14:paraId="48F53376" w14:textId="77777777" w:rsidR="003C0C91" w:rsidRPr="007636AD" w:rsidRDefault="003C0C91" w:rsidP="003B76E2">
            <w:pPr>
              <w:jc w:val="both"/>
              <w:rPr>
                <w:sz w:val="22"/>
                <w:szCs w:val="22"/>
              </w:rPr>
            </w:pPr>
            <w:r w:rsidRPr="007636AD">
              <w:rPr>
                <w:sz w:val="22"/>
                <w:szCs w:val="22"/>
              </w:rPr>
              <w:t>8</w:t>
            </w:r>
          </w:p>
        </w:tc>
      </w:tr>
      <w:tr w:rsidR="003C0C91" w:rsidRPr="007636AD" w14:paraId="5B34F828" w14:textId="77777777" w:rsidTr="005A53E0">
        <w:trPr>
          <w:trHeight w:val="133"/>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57EF17B2" w14:textId="77777777" w:rsidR="003C0C91" w:rsidRPr="007636AD" w:rsidRDefault="003C0C91" w:rsidP="003B76E2">
            <w:pPr>
              <w:jc w:val="both"/>
              <w:rPr>
                <w:b/>
                <w:bCs/>
                <w:sz w:val="22"/>
                <w:szCs w:val="22"/>
              </w:rPr>
            </w:pPr>
            <w:r w:rsidRPr="007636AD">
              <w:rPr>
                <w:b/>
                <w:bCs/>
                <w:sz w:val="22"/>
                <w:szCs w:val="22"/>
              </w:rPr>
              <w:t>Minimum</w:t>
            </w:r>
          </w:p>
        </w:tc>
        <w:tc>
          <w:tcPr>
            <w:tcW w:w="1467" w:type="dxa"/>
            <w:tcBorders>
              <w:top w:val="nil"/>
              <w:left w:val="nil"/>
              <w:bottom w:val="single" w:sz="4" w:space="0" w:color="auto"/>
              <w:right w:val="single" w:sz="4" w:space="0" w:color="auto"/>
            </w:tcBorders>
            <w:shd w:val="clear" w:color="auto" w:fill="auto"/>
            <w:noWrap/>
            <w:vAlign w:val="center"/>
            <w:hideMark/>
          </w:tcPr>
          <w:p w14:paraId="0A6CE149" w14:textId="38C25B54" w:rsidR="003C0C91" w:rsidRPr="007636AD" w:rsidRDefault="003C0C91" w:rsidP="003B76E2">
            <w:pPr>
              <w:jc w:val="both"/>
              <w:rPr>
                <w:sz w:val="22"/>
                <w:szCs w:val="22"/>
              </w:rPr>
            </w:pPr>
            <w:r w:rsidRPr="007636AD">
              <w:rPr>
                <w:sz w:val="22"/>
                <w:szCs w:val="22"/>
              </w:rPr>
              <w:t>16</w:t>
            </w:r>
            <w:r w:rsidR="005A53E0">
              <w:rPr>
                <w:sz w:val="22"/>
                <w:szCs w:val="22"/>
              </w:rPr>
              <w:t>.</w:t>
            </w:r>
            <w:r w:rsidRPr="007636AD">
              <w:rPr>
                <w:sz w:val="22"/>
                <w:szCs w:val="22"/>
              </w:rPr>
              <w:t>56</w:t>
            </w:r>
          </w:p>
        </w:tc>
        <w:tc>
          <w:tcPr>
            <w:tcW w:w="1701" w:type="dxa"/>
            <w:tcBorders>
              <w:top w:val="nil"/>
              <w:left w:val="nil"/>
              <w:bottom w:val="single" w:sz="4" w:space="0" w:color="auto"/>
              <w:right w:val="single" w:sz="4" w:space="0" w:color="auto"/>
            </w:tcBorders>
            <w:shd w:val="clear" w:color="auto" w:fill="auto"/>
            <w:noWrap/>
            <w:vAlign w:val="center"/>
            <w:hideMark/>
          </w:tcPr>
          <w:p w14:paraId="0E0B5AEE" w14:textId="2998DC13" w:rsidR="003C0C91" w:rsidRPr="007636AD" w:rsidRDefault="003C0C91" w:rsidP="003B76E2">
            <w:pPr>
              <w:jc w:val="both"/>
              <w:rPr>
                <w:sz w:val="22"/>
                <w:szCs w:val="22"/>
              </w:rPr>
            </w:pPr>
            <w:r w:rsidRPr="007636AD">
              <w:rPr>
                <w:sz w:val="22"/>
                <w:szCs w:val="22"/>
              </w:rPr>
              <w:t>17</w:t>
            </w:r>
            <w:r w:rsidR="005A53E0">
              <w:rPr>
                <w:sz w:val="22"/>
                <w:szCs w:val="22"/>
              </w:rPr>
              <w:t>.</w:t>
            </w:r>
            <w:r w:rsidRPr="007636AD">
              <w:rPr>
                <w:sz w:val="22"/>
                <w:szCs w:val="22"/>
              </w:rPr>
              <w:t>22</w:t>
            </w:r>
          </w:p>
        </w:tc>
        <w:tc>
          <w:tcPr>
            <w:tcW w:w="1701" w:type="dxa"/>
            <w:tcBorders>
              <w:top w:val="nil"/>
              <w:left w:val="nil"/>
              <w:bottom w:val="single" w:sz="4" w:space="0" w:color="auto"/>
              <w:right w:val="single" w:sz="4" w:space="0" w:color="auto"/>
            </w:tcBorders>
            <w:shd w:val="clear" w:color="auto" w:fill="auto"/>
            <w:noWrap/>
            <w:vAlign w:val="center"/>
            <w:hideMark/>
          </w:tcPr>
          <w:p w14:paraId="64AC12C8" w14:textId="66F9C766" w:rsidR="003C0C91" w:rsidRPr="007636AD" w:rsidRDefault="003C0C91" w:rsidP="003B76E2">
            <w:pPr>
              <w:jc w:val="both"/>
              <w:rPr>
                <w:sz w:val="22"/>
                <w:szCs w:val="22"/>
              </w:rPr>
            </w:pPr>
            <w:r w:rsidRPr="007636AD">
              <w:rPr>
                <w:sz w:val="22"/>
                <w:szCs w:val="22"/>
              </w:rPr>
              <w:t>535</w:t>
            </w:r>
            <w:r w:rsidR="005A53E0">
              <w:rPr>
                <w:sz w:val="22"/>
                <w:szCs w:val="22"/>
              </w:rPr>
              <w:t>.</w:t>
            </w:r>
            <w:r w:rsidRPr="007636AD">
              <w:rPr>
                <w:sz w:val="22"/>
                <w:szCs w:val="22"/>
              </w:rPr>
              <w:t>3</w:t>
            </w:r>
          </w:p>
        </w:tc>
        <w:tc>
          <w:tcPr>
            <w:tcW w:w="1559" w:type="dxa"/>
            <w:tcBorders>
              <w:top w:val="nil"/>
              <w:left w:val="nil"/>
              <w:bottom w:val="single" w:sz="4" w:space="0" w:color="auto"/>
              <w:right w:val="single" w:sz="4" w:space="0" w:color="auto"/>
            </w:tcBorders>
            <w:shd w:val="clear" w:color="auto" w:fill="auto"/>
            <w:noWrap/>
            <w:vAlign w:val="center"/>
            <w:hideMark/>
          </w:tcPr>
          <w:p w14:paraId="385976F2" w14:textId="5EF13F8A" w:rsidR="003C0C91" w:rsidRPr="007636AD" w:rsidRDefault="003C0C91" w:rsidP="003B76E2">
            <w:pPr>
              <w:jc w:val="both"/>
              <w:rPr>
                <w:sz w:val="22"/>
                <w:szCs w:val="22"/>
              </w:rPr>
            </w:pPr>
            <w:r w:rsidRPr="007636AD">
              <w:rPr>
                <w:sz w:val="22"/>
                <w:szCs w:val="22"/>
              </w:rPr>
              <w:t>66</w:t>
            </w:r>
            <w:r w:rsidR="005A53E0">
              <w:rPr>
                <w:sz w:val="22"/>
                <w:szCs w:val="22"/>
              </w:rPr>
              <w:t>.</w:t>
            </w:r>
            <w:r w:rsidRPr="007636AD">
              <w:rPr>
                <w:sz w:val="22"/>
                <w:szCs w:val="22"/>
              </w:rPr>
              <w:t>57</w:t>
            </w:r>
          </w:p>
        </w:tc>
      </w:tr>
      <w:tr w:rsidR="003C0C91" w:rsidRPr="007636AD" w14:paraId="23F0468D" w14:textId="77777777" w:rsidTr="005A53E0">
        <w:trPr>
          <w:trHeight w:val="271"/>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1A20F2FF" w14:textId="77777777" w:rsidR="003C0C91" w:rsidRPr="007636AD" w:rsidRDefault="003C0C91" w:rsidP="003B76E2">
            <w:pPr>
              <w:jc w:val="both"/>
              <w:rPr>
                <w:b/>
                <w:bCs/>
                <w:sz w:val="22"/>
                <w:szCs w:val="22"/>
              </w:rPr>
            </w:pPr>
            <w:r w:rsidRPr="007636AD">
              <w:rPr>
                <w:b/>
                <w:bCs/>
                <w:sz w:val="22"/>
                <w:szCs w:val="22"/>
              </w:rPr>
              <w:t>25% Percentile</w:t>
            </w:r>
          </w:p>
        </w:tc>
        <w:tc>
          <w:tcPr>
            <w:tcW w:w="1467" w:type="dxa"/>
            <w:tcBorders>
              <w:top w:val="nil"/>
              <w:left w:val="nil"/>
              <w:bottom w:val="single" w:sz="4" w:space="0" w:color="auto"/>
              <w:right w:val="single" w:sz="4" w:space="0" w:color="auto"/>
            </w:tcBorders>
            <w:shd w:val="clear" w:color="auto" w:fill="auto"/>
            <w:noWrap/>
            <w:vAlign w:val="center"/>
            <w:hideMark/>
          </w:tcPr>
          <w:p w14:paraId="7D16D9A7" w14:textId="1B00E57B" w:rsidR="003C0C91" w:rsidRPr="007636AD" w:rsidRDefault="003C0C91" w:rsidP="003B76E2">
            <w:pPr>
              <w:jc w:val="both"/>
              <w:rPr>
                <w:sz w:val="22"/>
                <w:szCs w:val="22"/>
              </w:rPr>
            </w:pPr>
            <w:r w:rsidRPr="007636AD">
              <w:rPr>
                <w:sz w:val="22"/>
                <w:szCs w:val="22"/>
              </w:rPr>
              <w:t>18</w:t>
            </w:r>
            <w:r w:rsidR="005A53E0">
              <w:rPr>
                <w:sz w:val="22"/>
                <w:szCs w:val="22"/>
              </w:rPr>
              <w:t>.</w:t>
            </w:r>
            <w:r w:rsidRPr="007636AD">
              <w:rPr>
                <w:sz w:val="22"/>
                <w:szCs w:val="22"/>
              </w:rPr>
              <w:t>75</w:t>
            </w:r>
          </w:p>
        </w:tc>
        <w:tc>
          <w:tcPr>
            <w:tcW w:w="1701" w:type="dxa"/>
            <w:tcBorders>
              <w:top w:val="nil"/>
              <w:left w:val="nil"/>
              <w:bottom w:val="single" w:sz="4" w:space="0" w:color="auto"/>
              <w:right w:val="single" w:sz="4" w:space="0" w:color="auto"/>
            </w:tcBorders>
            <w:shd w:val="clear" w:color="auto" w:fill="auto"/>
            <w:noWrap/>
            <w:vAlign w:val="center"/>
            <w:hideMark/>
          </w:tcPr>
          <w:p w14:paraId="70A8E4A2" w14:textId="4F3E1A85" w:rsidR="003C0C91" w:rsidRPr="007636AD" w:rsidRDefault="003C0C91" w:rsidP="003B76E2">
            <w:pPr>
              <w:jc w:val="both"/>
              <w:rPr>
                <w:sz w:val="22"/>
                <w:szCs w:val="22"/>
              </w:rPr>
            </w:pPr>
            <w:r w:rsidRPr="007636AD">
              <w:rPr>
                <w:sz w:val="22"/>
                <w:szCs w:val="22"/>
              </w:rPr>
              <w:t>18</w:t>
            </w:r>
            <w:r w:rsidR="005A53E0">
              <w:rPr>
                <w:sz w:val="22"/>
                <w:szCs w:val="22"/>
              </w:rPr>
              <w:t>.</w:t>
            </w:r>
            <w:r w:rsidRPr="007636AD">
              <w:rPr>
                <w:sz w:val="22"/>
                <w:szCs w:val="22"/>
              </w:rPr>
              <w:t>35</w:t>
            </w:r>
          </w:p>
        </w:tc>
        <w:tc>
          <w:tcPr>
            <w:tcW w:w="1701" w:type="dxa"/>
            <w:tcBorders>
              <w:top w:val="nil"/>
              <w:left w:val="nil"/>
              <w:bottom w:val="single" w:sz="4" w:space="0" w:color="auto"/>
              <w:right w:val="single" w:sz="4" w:space="0" w:color="auto"/>
            </w:tcBorders>
            <w:shd w:val="clear" w:color="auto" w:fill="auto"/>
            <w:noWrap/>
            <w:vAlign w:val="center"/>
            <w:hideMark/>
          </w:tcPr>
          <w:p w14:paraId="1A581C8E" w14:textId="77777777" w:rsidR="003C0C91" w:rsidRPr="007636AD" w:rsidRDefault="003C0C91" w:rsidP="003B76E2">
            <w:pPr>
              <w:jc w:val="both"/>
              <w:rPr>
                <w:sz w:val="22"/>
                <w:szCs w:val="22"/>
              </w:rPr>
            </w:pPr>
            <w:r w:rsidRPr="007636AD">
              <w:rPr>
                <w:sz w:val="22"/>
                <w:szCs w:val="22"/>
              </w:rPr>
              <w:t>1125</w:t>
            </w:r>
          </w:p>
        </w:tc>
        <w:tc>
          <w:tcPr>
            <w:tcW w:w="1559" w:type="dxa"/>
            <w:tcBorders>
              <w:top w:val="nil"/>
              <w:left w:val="nil"/>
              <w:bottom w:val="single" w:sz="4" w:space="0" w:color="auto"/>
              <w:right w:val="single" w:sz="4" w:space="0" w:color="auto"/>
            </w:tcBorders>
            <w:shd w:val="clear" w:color="auto" w:fill="auto"/>
            <w:noWrap/>
            <w:vAlign w:val="center"/>
            <w:hideMark/>
          </w:tcPr>
          <w:p w14:paraId="414C373F" w14:textId="49EACA5A" w:rsidR="003C0C91" w:rsidRPr="007636AD" w:rsidRDefault="003C0C91" w:rsidP="003B76E2">
            <w:pPr>
              <w:jc w:val="both"/>
              <w:rPr>
                <w:sz w:val="22"/>
                <w:szCs w:val="22"/>
              </w:rPr>
            </w:pPr>
            <w:r w:rsidRPr="007636AD">
              <w:rPr>
                <w:sz w:val="22"/>
                <w:szCs w:val="22"/>
              </w:rPr>
              <w:t>69</w:t>
            </w:r>
            <w:r w:rsidR="005A53E0">
              <w:rPr>
                <w:sz w:val="22"/>
                <w:szCs w:val="22"/>
              </w:rPr>
              <w:t>.</w:t>
            </w:r>
            <w:r w:rsidRPr="007636AD">
              <w:rPr>
                <w:sz w:val="22"/>
                <w:szCs w:val="22"/>
              </w:rPr>
              <w:t>71</w:t>
            </w:r>
          </w:p>
        </w:tc>
      </w:tr>
      <w:tr w:rsidR="003C0C91" w:rsidRPr="007636AD" w14:paraId="22773930" w14:textId="77777777" w:rsidTr="005A53E0">
        <w:trPr>
          <w:trHeight w:val="133"/>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53CF60D2" w14:textId="77777777" w:rsidR="003C0C91" w:rsidRPr="007636AD" w:rsidRDefault="003C0C91" w:rsidP="003B76E2">
            <w:pPr>
              <w:jc w:val="both"/>
              <w:rPr>
                <w:b/>
                <w:bCs/>
                <w:sz w:val="22"/>
                <w:szCs w:val="22"/>
              </w:rPr>
            </w:pPr>
            <w:r w:rsidRPr="007636AD">
              <w:rPr>
                <w:b/>
                <w:bCs/>
                <w:sz w:val="22"/>
                <w:szCs w:val="22"/>
              </w:rPr>
              <w:t>Median</w:t>
            </w:r>
          </w:p>
        </w:tc>
        <w:tc>
          <w:tcPr>
            <w:tcW w:w="1467" w:type="dxa"/>
            <w:tcBorders>
              <w:top w:val="nil"/>
              <w:left w:val="nil"/>
              <w:bottom w:val="single" w:sz="4" w:space="0" w:color="auto"/>
              <w:right w:val="single" w:sz="4" w:space="0" w:color="auto"/>
            </w:tcBorders>
            <w:shd w:val="clear" w:color="auto" w:fill="auto"/>
            <w:noWrap/>
            <w:vAlign w:val="center"/>
            <w:hideMark/>
          </w:tcPr>
          <w:p w14:paraId="55C22AB6" w14:textId="7189E19B" w:rsidR="003C0C91" w:rsidRPr="007636AD" w:rsidRDefault="003C0C91" w:rsidP="003B76E2">
            <w:pPr>
              <w:jc w:val="both"/>
              <w:rPr>
                <w:sz w:val="22"/>
                <w:szCs w:val="22"/>
              </w:rPr>
            </w:pPr>
            <w:r w:rsidRPr="007636AD">
              <w:rPr>
                <w:sz w:val="22"/>
                <w:szCs w:val="22"/>
              </w:rPr>
              <w:t>35</w:t>
            </w:r>
            <w:r w:rsidR="005A53E0">
              <w:rPr>
                <w:sz w:val="22"/>
                <w:szCs w:val="22"/>
              </w:rPr>
              <w:t>.</w:t>
            </w:r>
            <w:r w:rsidRPr="007636AD">
              <w:rPr>
                <w:sz w:val="22"/>
                <w:szCs w:val="22"/>
              </w:rPr>
              <w:t>7</w:t>
            </w:r>
          </w:p>
        </w:tc>
        <w:tc>
          <w:tcPr>
            <w:tcW w:w="1701" w:type="dxa"/>
            <w:tcBorders>
              <w:top w:val="nil"/>
              <w:left w:val="nil"/>
              <w:bottom w:val="single" w:sz="4" w:space="0" w:color="auto"/>
              <w:right w:val="single" w:sz="4" w:space="0" w:color="auto"/>
            </w:tcBorders>
            <w:shd w:val="clear" w:color="auto" w:fill="auto"/>
            <w:noWrap/>
            <w:vAlign w:val="center"/>
            <w:hideMark/>
          </w:tcPr>
          <w:p w14:paraId="14ED5A77" w14:textId="23E8B4EF" w:rsidR="003C0C91" w:rsidRPr="007636AD" w:rsidRDefault="003C0C91" w:rsidP="003B76E2">
            <w:pPr>
              <w:jc w:val="both"/>
              <w:rPr>
                <w:sz w:val="22"/>
                <w:szCs w:val="22"/>
              </w:rPr>
            </w:pPr>
            <w:r w:rsidRPr="007636AD">
              <w:rPr>
                <w:sz w:val="22"/>
                <w:szCs w:val="22"/>
              </w:rPr>
              <w:t>25</w:t>
            </w:r>
            <w:r w:rsidR="005A53E0">
              <w:rPr>
                <w:sz w:val="22"/>
                <w:szCs w:val="22"/>
              </w:rPr>
              <w:t>.</w:t>
            </w:r>
            <w:r w:rsidRPr="007636AD">
              <w:rPr>
                <w:sz w:val="22"/>
                <w:szCs w:val="22"/>
              </w:rPr>
              <w:t>74</w:t>
            </w:r>
          </w:p>
        </w:tc>
        <w:tc>
          <w:tcPr>
            <w:tcW w:w="1701" w:type="dxa"/>
            <w:tcBorders>
              <w:top w:val="nil"/>
              <w:left w:val="nil"/>
              <w:bottom w:val="single" w:sz="4" w:space="0" w:color="auto"/>
              <w:right w:val="single" w:sz="4" w:space="0" w:color="auto"/>
            </w:tcBorders>
            <w:shd w:val="clear" w:color="auto" w:fill="auto"/>
            <w:noWrap/>
            <w:vAlign w:val="center"/>
            <w:hideMark/>
          </w:tcPr>
          <w:p w14:paraId="70B4529B" w14:textId="77777777" w:rsidR="003C0C91" w:rsidRPr="007636AD" w:rsidRDefault="003C0C91" w:rsidP="003B76E2">
            <w:pPr>
              <w:jc w:val="both"/>
              <w:rPr>
                <w:sz w:val="22"/>
                <w:szCs w:val="22"/>
              </w:rPr>
            </w:pPr>
            <w:r w:rsidRPr="007636AD">
              <w:rPr>
                <w:sz w:val="22"/>
                <w:szCs w:val="22"/>
              </w:rPr>
              <w:t>1592</w:t>
            </w:r>
          </w:p>
        </w:tc>
        <w:tc>
          <w:tcPr>
            <w:tcW w:w="1559" w:type="dxa"/>
            <w:tcBorders>
              <w:top w:val="nil"/>
              <w:left w:val="nil"/>
              <w:bottom w:val="single" w:sz="4" w:space="0" w:color="auto"/>
              <w:right w:val="single" w:sz="4" w:space="0" w:color="auto"/>
            </w:tcBorders>
            <w:shd w:val="clear" w:color="auto" w:fill="auto"/>
            <w:noWrap/>
            <w:vAlign w:val="center"/>
            <w:hideMark/>
          </w:tcPr>
          <w:p w14:paraId="50D1FA2C" w14:textId="7A87BC87" w:rsidR="003C0C91" w:rsidRPr="007636AD" w:rsidRDefault="003C0C91" w:rsidP="003B76E2">
            <w:pPr>
              <w:jc w:val="both"/>
              <w:rPr>
                <w:sz w:val="22"/>
                <w:szCs w:val="22"/>
              </w:rPr>
            </w:pPr>
            <w:r w:rsidRPr="007636AD">
              <w:rPr>
                <w:sz w:val="22"/>
                <w:szCs w:val="22"/>
              </w:rPr>
              <w:t>82</w:t>
            </w:r>
            <w:r w:rsidR="005A53E0">
              <w:rPr>
                <w:sz w:val="22"/>
                <w:szCs w:val="22"/>
              </w:rPr>
              <w:t>.</w:t>
            </w:r>
            <w:r w:rsidRPr="007636AD">
              <w:rPr>
                <w:sz w:val="22"/>
                <w:szCs w:val="22"/>
              </w:rPr>
              <w:t>05</w:t>
            </w:r>
          </w:p>
        </w:tc>
      </w:tr>
      <w:tr w:rsidR="003C0C91" w:rsidRPr="007636AD" w14:paraId="0D69BE08" w14:textId="77777777" w:rsidTr="005A53E0">
        <w:trPr>
          <w:trHeight w:val="271"/>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52D999B0" w14:textId="77777777" w:rsidR="003C0C91" w:rsidRPr="007636AD" w:rsidRDefault="003C0C91" w:rsidP="003B76E2">
            <w:pPr>
              <w:jc w:val="both"/>
              <w:rPr>
                <w:b/>
                <w:bCs/>
                <w:sz w:val="22"/>
                <w:szCs w:val="22"/>
              </w:rPr>
            </w:pPr>
            <w:r w:rsidRPr="007636AD">
              <w:rPr>
                <w:b/>
                <w:bCs/>
                <w:sz w:val="22"/>
                <w:szCs w:val="22"/>
              </w:rPr>
              <w:t>75% Percentile</w:t>
            </w:r>
          </w:p>
        </w:tc>
        <w:tc>
          <w:tcPr>
            <w:tcW w:w="1467" w:type="dxa"/>
            <w:tcBorders>
              <w:top w:val="nil"/>
              <w:left w:val="nil"/>
              <w:bottom w:val="single" w:sz="4" w:space="0" w:color="auto"/>
              <w:right w:val="single" w:sz="4" w:space="0" w:color="auto"/>
            </w:tcBorders>
            <w:shd w:val="clear" w:color="auto" w:fill="auto"/>
            <w:noWrap/>
            <w:vAlign w:val="center"/>
            <w:hideMark/>
          </w:tcPr>
          <w:p w14:paraId="00E9D812" w14:textId="13BF2842" w:rsidR="003C0C91" w:rsidRPr="007636AD" w:rsidRDefault="003C0C91" w:rsidP="003B76E2">
            <w:pPr>
              <w:jc w:val="both"/>
              <w:rPr>
                <w:sz w:val="22"/>
                <w:szCs w:val="22"/>
              </w:rPr>
            </w:pPr>
            <w:r w:rsidRPr="007636AD">
              <w:rPr>
                <w:sz w:val="22"/>
                <w:szCs w:val="22"/>
              </w:rPr>
              <w:t>47</w:t>
            </w:r>
            <w:r w:rsidR="005A53E0">
              <w:rPr>
                <w:sz w:val="22"/>
                <w:szCs w:val="22"/>
              </w:rPr>
              <w:t>.</w:t>
            </w:r>
            <w:r w:rsidRPr="007636AD">
              <w:rPr>
                <w:sz w:val="22"/>
                <w:szCs w:val="22"/>
              </w:rPr>
              <w:t>04</w:t>
            </w:r>
          </w:p>
        </w:tc>
        <w:tc>
          <w:tcPr>
            <w:tcW w:w="1701" w:type="dxa"/>
            <w:tcBorders>
              <w:top w:val="nil"/>
              <w:left w:val="nil"/>
              <w:bottom w:val="single" w:sz="4" w:space="0" w:color="auto"/>
              <w:right w:val="single" w:sz="4" w:space="0" w:color="auto"/>
            </w:tcBorders>
            <w:shd w:val="clear" w:color="auto" w:fill="auto"/>
            <w:noWrap/>
            <w:vAlign w:val="center"/>
            <w:hideMark/>
          </w:tcPr>
          <w:p w14:paraId="2612E9EE" w14:textId="49B6F025" w:rsidR="003C0C91" w:rsidRPr="007636AD" w:rsidRDefault="003C0C91" w:rsidP="003B76E2">
            <w:pPr>
              <w:jc w:val="both"/>
              <w:rPr>
                <w:sz w:val="22"/>
                <w:szCs w:val="22"/>
              </w:rPr>
            </w:pPr>
            <w:r w:rsidRPr="007636AD">
              <w:rPr>
                <w:sz w:val="22"/>
                <w:szCs w:val="22"/>
              </w:rPr>
              <w:t>30</w:t>
            </w:r>
            <w:r w:rsidR="005A53E0">
              <w:rPr>
                <w:sz w:val="22"/>
                <w:szCs w:val="22"/>
              </w:rPr>
              <w:t>.</w:t>
            </w:r>
            <w:r w:rsidRPr="007636AD">
              <w:rPr>
                <w:sz w:val="22"/>
                <w:szCs w:val="22"/>
              </w:rPr>
              <w:t>14</w:t>
            </w:r>
          </w:p>
        </w:tc>
        <w:tc>
          <w:tcPr>
            <w:tcW w:w="1701" w:type="dxa"/>
            <w:tcBorders>
              <w:top w:val="nil"/>
              <w:left w:val="nil"/>
              <w:bottom w:val="single" w:sz="4" w:space="0" w:color="auto"/>
              <w:right w:val="single" w:sz="4" w:space="0" w:color="auto"/>
            </w:tcBorders>
            <w:shd w:val="clear" w:color="auto" w:fill="auto"/>
            <w:noWrap/>
            <w:vAlign w:val="center"/>
            <w:hideMark/>
          </w:tcPr>
          <w:p w14:paraId="3EA51C90" w14:textId="77777777" w:rsidR="003C0C91" w:rsidRPr="007636AD" w:rsidRDefault="003C0C91" w:rsidP="003B76E2">
            <w:pPr>
              <w:jc w:val="both"/>
              <w:rPr>
                <w:sz w:val="22"/>
                <w:szCs w:val="22"/>
              </w:rPr>
            </w:pPr>
            <w:r w:rsidRPr="007636AD">
              <w:rPr>
                <w:sz w:val="22"/>
                <w:szCs w:val="22"/>
              </w:rPr>
              <w:t>1751</w:t>
            </w:r>
          </w:p>
        </w:tc>
        <w:tc>
          <w:tcPr>
            <w:tcW w:w="1559" w:type="dxa"/>
            <w:tcBorders>
              <w:top w:val="nil"/>
              <w:left w:val="nil"/>
              <w:bottom w:val="single" w:sz="4" w:space="0" w:color="auto"/>
              <w:right w:val="single" w:sz="4" w:space="0" w:color="auto"/>
            </w:tcBorders>
            <w:shd w:val="clear" w:color="auto" w:fill="auto"/>
            <w:noWrap/>
            <w:vAlign w:val="center"/>
            <w:hideMark/>
          </w:tcPr>
          <w:p w14:paraId="5F45A221" w14:textId="2AD6257F" w:rsidR="003C0C91" w:rsidRPr="007636AD" w:rsidRDefault="003C0C91" w:rsidP="003B76E2">
            <w:pPr>
              <w:jc w:val="both"/>
              <w:rPr>
                <w:sz w:val="22"/>
                <w:szCs w:val="22"/>
              </w:rPr>
            </w:pPr>
            <w:r w:rsidRPr="007636AD">
              <w:rPr>
                <w:sz w:val="22"/>
                <w:szCs w:val="22"/>
              </w:rPr>
              <w:t>90</w:t>
            </w:r>
            <w:r w:rsidR="005A53E0">
              <w:rPr>
                <w:sz w:val="22"/>
                <w:szCs w:val="22"/>
              </w:rPr>
              <w:t>.</w:t>
            </w:r>
            <w:r w:rsidRPr="007636AD">
              <w:rPr>
                <w:sz w:val="22"/>
                <w:szCs w:val="22"/>
              </w:rPr>
              <w:t>69</w:t>
            </w:r>
          </w:p>
        </w:tc>
      </w:tr>
      <w:tr w:rsidR="003C0C91" w:rsidRPr="007636AD" w14:paraId="3432EBEA" w14:textId="77777777" w:rsidTr="005A53E0">
        <w:trPr>
          <w:trHeight w:val="133"/>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2CABFDEB" w14:textId="77777777" w:rsidR="003C0C91" w:rsidRPr="007636AD" w:rsidRDefault="003C0C91" w:rsidP="003B76E2">
            <w:pPr>
              <w:jc w:val="both"/>
              <w:rPr>
                <w:b/>
                <w:bCs/>
                <w:sz w:val="22"/>
                <w:szCs w:val="22"/>
              </w:rPr>
            </w:pPr>
            <w:r w:rsidRPr="007636AD">
              <w:rPr>
                <w:b/>
                <w:bCs/>
                <w:sz w:val="22"/>
                <w:szCs w:val="22"/>
              </w:rPr>
              <w:t>Maximum</w:t>
            </w:r>
          </w:p>
        </w:tc>
        <w:tc>
          <w:tcPr>
            <w:tcW w:w="1467" w:type="dxa"/>
            <w:tcBorders>
              <w:top w:val="nil"/>
              <w:left w:val="nil"/>
              <w:bottom w:val="single" w:sz="4" w:space="0" w:color="auto"/>
              <w:right w:val="single" w:sz="4" w:space="0" w:color="auto"/>
            </w:tcBorders>
            <w:shd w:val="clear" w:color="auto" w:fill="auto"/>
            <w:noWrap/>
            <w:vAlign w:val="center"/>
            <w:hideMark/>
          </w:tcPr>
          <w:p w14:paraId="5D38DF02" w14:textId="02F2686D" w:rsidR="003C0C91" w:rsidRPr="007636AD" w:rsidRDefault="003C0C91" w:rsidP="003B76E2">
            <w:pPr>
              <w:jc w:val="both"/>
              <w:rPr>
                <w:sz w:val="22"/>
                <w:szCs w:val="22"/>
              </w:rPr>
            </w:pPr>
            <w:r w:rsidRPr="007636AD">
              <w:rPr>
                <w:sz w:val="22"/>
                <w:szCs w:val="22"/>
              </w:rPr>
              <w:t>47</w:t>
            </w:r>
            <w:r w:rsidR="005A53E0">
              <w:rPr>
                <w:sz w:val="22"/>
                <w:szCs w:val="22"/>
              </w:rPr>
              <w:t>.</w:t>
            </w:r>
            <w:r w:rsidRPr="007636AD">
              <w:rPr>
                <w:sz w:val="22"/>
                <w:szCs w:val="22"/>
              </w:rPr>
              <w:t>36</w:t>
            </w:r>
          </w:p>
        </w:tc>
        <w:tc>
          <w:tcPr>
            <w:tcW w:w="1701" w:type="dxa"/>
            <w:tcBorders>
              <w:top w:val="nil"/>
              <w:left w:val="nil"/>
              <w:bottom w:val="single" w:sz="4" w:space="0" w:color="auto"/>
              <w:right w:val="single" w:sz="4" w:space="0" w:color="auto"/>
            </w:tcBorders>
            <w:shd w:val="clear" w:color="auto" w:fill="auto"/>
            <w:noWrap/>
            <w:vAlign w:val="center"/>
            <w:hideMark/>
          </w:tcPr>
          <w:p w14:paraId="69D04A3B" w14:textId="21D165CE" w:rsidR="003C0C91" w:rsidRPr="007636AD" w:rsidRDefault="003C0C91" w:rsidP="003B76E2">
            <w:pPr>
              <w:jc w:val="both"/>
              <w:rPr>
                <w:sz w:val="22"/>
                <w:szCs w:val="22"/>
              </w:rPr>
            </w:pPr>
            <w:r w:rsidRPr="007636AD">
              <w:rPr>
                <w:sz w:val="22"/>
                <w:szCs w:val="22"/>
              </w:rPr>
              <w:t>30</w:t>
            </w:r>
            <w:r w:rsidR="005A53E0">
              <w:rPr>
                <w:sz w:val="22"/>
                <w:szCs w:val="22"/>
              </w:rPr>
              <w:t>.</w:t>
            </w:r>
            <w:r w:rsidRPr="007636AD">
              <w:rPr>
                <w:sz w:val="22"/>
                <w:szCs w:val="22"/>
              </w:rPr>
              <w:t>26</w:t>
            </w:r>
          </w:p>
        </w:tc>
        <w:tc>
          <w:tcPr>
            <w:tcW w:w="1701" w:type="dxa"/>
            <w:tcBorders>
              <w:top w:val="nil"/>
              <w:left w:val="nil"/>
              <w:bottom w:val="single" w:sz="4" w:space="0" w:color="auto"/>
              <w:right w:val="single" w:sz="4" w:space="0" w:color="auto"/>
            </w:tcBorders>
            <w:shd w:val="clear" w:color="auto" w:fill="auto"/>
            <w:noWrap/>
            <w:vAlign w:val="center"/>
            <w:hideMark/>
          </w:tcPr>
          <w:p w14:paraId="76BCB8F5" w14:textId="77777777" w:rsidR="003C0C91" w:rsidRPr="007636AD" w:rsidRDefault="003C0C91" w:rsidP="003B76E2">
            <w:pPr>
              <w:jc w:val="both"/>
              <w:rPr>
                <w:sz w:val="22"/>
                <w:szCs w:val="22"/>
              </w:rPr>
            </w:pPr>
            <w:r w:rsidRPr="007636AD">
              <w:rPr>
                <w:sz w:val="22"/>
                <w:szCs w:val="22"/>
              </w:rPr>
              <w:t>1897</w:t>
            </w:r>
          </w:p>
        </w:tc>
        <w:tc>
          <w:tcPr>
            <w:tcW w:w="1559" w:type="dxa"/>
            <w:tcBorders>
              <w:top w:val="nil"/>
              <w:left w:val="nil"/>
              <w:bottom w:val="single" w:sz="4" w:space="0" w:color="auto"/>
              <w:right w:val="single" w:sz="4" w:space="0" w:color="auto"/>
            </w:tcBorders>
            <w:shd w:val="clear" w:color="auto" w:fill="auto"/>
            <w:noWrap/>
            <w:vAlign w:val="center"/>
            <w:hideMark/>
          </w:tcPr>
          <w:p w14:paraId="4110950D" w14:textId="73E52AF6" w:rsidR="003C0C91" w:rsidRPr="007636AD" w:rsidRDefault="003C0C91" w:rsidP="003B76E2">
            <w:pPr>
              <w:jc w:val="both"/>
              <w:rPr>
                <w:sz w:val="22"/>
                <w:szCs w:val="22"/>
              </w:rPr>
            </w:pPr>
            <w:r w:rsidRPr="007636AD">
              <w:rPr>
                <w:sz w:val="22"/>
                <w:szCs w:val="22"/>
              </w:rPr>
              <w:t>112</w:t>
            </w:r>
            <w:r w:rsidR="005A53E0">
              <w:rPr>
                <w:sz w:val="22"/>
                <w:szCs w:val="22"/>
              </w:rPr>
              <w:t>.</w:t>
            </w:r>
            <w:r w:rsidRPr="007636AD">
              <w:rPr>
                <w:sz w:val="22"/>
                <w:szCs w:val="22"/>
              </w:rPr>
              <w:t>9</w:t>
            </w:r>
          </w:p>
        </w:tc>
      </w:tr>
      <w:tr w:rsidR="003C0C91" w:rsidRPr="007636AD" w14:paraId="1A658BB2" w14:textId="77777777" w:rsidTr="005A53E0">
        <w:trPr>
          <w:trHeight w:val="133"/>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209141D5" w14:textId="77777777" w:rsidR="003C0C91" w:rsidRPr="007636AD" w:rsidRDefault="003C0C91" w:rsidP="003B76E2">
            <w:pPr>
              <w:jc w:val="both"/>
              <w:rPr>
                <w:b/>
                <w:bCs/>
                <w:sz w:val="22"/>
                <w:szCs w:val="22"/>
              </w:rPr>
            </w:pPr>
            <w:r w:rsidRPr="007636AD">
              <w:rPr>
                <w:b/>
                <w:bCs/>
                <w:sz w:val="22"/>
                <w:szCs w:val="22"/>
              </w:rPr>
              <w:t>Range</w:t>
            </w:r>
          </w:p>
        </w:tc>
        <w:tc>
          <w:tcPr>
            <w:tcW w:w="1467" w:type="dxa"/>
            <w:tcBorders>
              <w:top w:val="nil"/>
              <w:left w:val="nil"/>
              <w:bottom w:val="single" w:sz="4" w:space="0" w:color="auto"/>
              <w:right w:val="single" w:sz="4" w:space="0" w:color="auto"/>
            </w:tcBorders>
            <w:shd w:val="clear" w:color="auto" w:fill="auto"/>
            <w:noWrap/>
            <w:vAlign w:val="center"/>
            <w:hideMark/>
          </w:tcPr>
          <w:p w14:paraId="7F974957" w14:textId="6693C614" w:rsidR="003C0C91" w:rsidRPr="007636AD" w:rsidRDefault="003C0C91" w:rsidP="003B76E2">
            <w:pPr>
              <w:jc w:val="both"/>
              <w:rPr>
                <w:sz w:val="22"/>
                <w:szCs w:val="22"/>
              </w:rPr>
            </w:pPr>
            <w:r w:rsidRPr="007636AD">
              <w:rPr>
                <w:sz w:val="22"/>
                <w:szCs w:val="22"/>
              </w:rPr>
              <w:t>30</w:t>
            </w:r>
            <w:r w:rsidR="005A53E0">
              <w:rPr>
                <w:sz w:val="22"/>
                <w:szCs w:val="22"/>
              </w:rPr>
              <w:t>.</w:t>
            </w:r>
            <w:r w:rsidRPr="007636AD">
              <w:rPr>
                <w:sz w:val="22"/>
                <w:szCs w:val="22"/>
              </w:rPr>
              <w:t>8</w:t>
            </w:r>
          </w:p>
        </w:tc>
        <w:tc>
          <w:tcPr>
            <w:tcW w:w="1701" w:type="dxa"/>
            <w:tcBorders>
              <w:top w:val="nil"/>
              <w:left w:val="nil"/>
              <w:bottom w:val="single" w:sz="4" w:space="0" w:color="auto"/>
              <w:right w:val="single" w:sz="4" w:space="0" w:color="auto"/>
            </w:tcBorders>
            <w:shd w:val="clear" w:color="auto" w:fill="auto"/>
            <w:noWrap/>
            <w:vAlign w:val="center"/>
            <w:hideMark/>
          </w:tcPr>
          <w:p w14:paraId="69E57AF3" w14:textId="2B4AD9CC" w:rsidR="003C0C91" w:rsidRPr="007636AD" w:rsidRDefault="003C0C91" w:rsidP="003B76E2">
            <w:pPr>
              <w:jc w:val="both"/>
              <w:rPr>
                <w:sz w:val="22"/>
                <w:szCs w:val="22"/>
              </w:rPr>
            </w:pPr>
            <w:r w:rsidRPr="007636AD">
              <w:rPr>
                <w:sz w:val="22"/>
                <w:szCs w:val="22"/>
              </w:rPr>
              <w:t>13</w:t>
            </w:r>
            <w:r w:rsidR="005A53E0">
              <w:rPr>
                <w:sz w:val="22"/>
                <w:szCs w:val="22"/>
              </w:rPr>
              <w:t>.</w:t>
            </w:r>
            <w:r w:rsidRPr="007636AD">
              <w:rPr>
                <w:sz w:val="22"/>
                <w:szCs w:val="22"/>
              </w:rPr>
              <w:t>04</w:t>
            </w:r>
          </w:p>
        </w:tc>
        <w:tc>
          <w:tcPr>
            <w:tcW w:w="1701" w:type="dxa"/>
            <w:tcBorders>
              <w:top w:val="nil"/>
              <w:left w:val="nil"/>
              <w:bottom w:val="single" w:sz="4" w:space="0" w:color="auto"/>
              <w:right w:val="single" w:sz="4" w:space="0" w:color="auto"/>
            </w:tcBorders>
            <w:shd w:val="clear" w:color="auto" w:fill="auto"/>
            <w:noWrap/>
            <w:vAlign w:val="center"/>
            <w:hideMark/>
          </w:tcPr>
          <w:p w14:paraId="23AAAF4B" w14:textId="77777777" w:rsidR="003C0C91" w:rsidRPr="007636AD" w:rsidRDefault="003C0C91" w:rsidP="003B76E2">
            <w:pPr>
              <w:jc w:val="both"/>
              <w:rPr>
                <w:sz w:val="22"/>
                <w:szCs w:val="22"/>
              </w:rPr>
            </w:pPr>
            <w:r w:rsidRPr="007636AD">
              <w:rPr>
                <w:sz w:val="22"/>
                <w:szCs w:val="22"/>
              </w:rPr>
              <w:t>1362</w:t>
            </w:r>
          </w:p>
        </w:tc>
        <w:tc>
          <w:tcPr>
            <w:tcW w:w="1559" w:type="dxa"/>
            <w:tcBorders>
              <w:top w:val="nil"/>
              <w:left w:val="nil"/>
              <w:bottom w:val="single" w:sz="4" w:space="0" w:color="auto"/>
              <w:right w:val="single" w:sz="4" w:space="0" w:color="auto"/>
            </w:tcBorders>
            <w:shd w:val="clear" w:color="auto" w:fill="auto"/>
            <w:noWrap/>
            <w:vAlign w:val="center"/>
            <w:hideMark/>
          </w:tcPr>
          <w:p w14:paraId="6613A31D" w14:textId="0E465054" w:rsidR="003C0C91" w:rsidRPr="007636AD" w:rsidRDefault="003C0C91" w:rsidP="003B76E2">
            <w:pPr>
              <w:jc w:val="both"/>
              <w:rPr>
                <w:sz w:val="22"/>
                <w:szCs w:val="22"/>
              </w:rPr>
            </w:pPr>
            <w:r w:rsidRPr="007636AD">
              <w:rPr>
                <w:sz w:val="22"/>
                <w:szCs w:val="22"/>
              </w:rPr>
              <w:t>46</w:t>
            </w:r>
            <w:r w:rsidR="005A53E0">
              <w:rPr>
                <w:sz w:val="22"/>
                <w:szCs w:val="22"/>
              </w:rPr>
              <w:t>.</w:t>
            </w:r>
            <w:r w:rsidRPr="007636AD">
              <w:rPr>
                <w:sz w:val="22"/>
                <w:szCs w:val="22"/>
              </w:rPr>
              <w:t>33</w:t>
            </w:r>
          </w:p>
        </w:tc>
      </w:tr>
      <w:tr w:rsidR="003C0C91" w:rsidRPr="007636AD" w14:paraId="1758195D" w14:textId="77777777" w:rsidTr="005A53E0">
        <w:trPr>
          <w:trHeight w:val="133"/>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44ACDE51" w14:textId="77777777" w:rsidR="003C0C91" w:rsidRPr="007636AD" w:rsidRDefault="003C0C91" w:rsidP="003B76E2">
            <w:pPr>
              <w:jc w:val="both"/>
              <w:rPr>
                <w:b/>
                <w:bCs/>
                <w:sz w:val="22"/>
                <w:szCs w:val="22"/>
              </w:rPr>
            </w:pPr>
            <w:r w:rsidRPr="007636AD">
              <w:rPr>
                <w:b/>
                <w:bCs/>
                <w:sz w:val="22"/>
                <w:szCs w:val="22"/>
              </w:rPr>
              <w:t>Mean</w:t>
            </w:r>
          </w:p>
        </w:tc>
        <w:tc>
          <w:tcPr>
            <w:tcW w:w="1467" w:type="dxa"/>
            <w:tcBorders>
              <w:top w:val="nil"/>
              <w:left w:val="nil"/>
              <w:bottom w:val="single" w:sz="4" w:space="0" w:color="auto"/>
              <w:right w:val="single" w:sz="4" w:space="0" w:color="auto"/>
            </w:tcBorders>
            <w:shd w:val="clear" w:color="auto" w:fill="auto"/>
            <w:noWrap/>
            <w:vAlign w:val="center"/>
            <w:hideMark/>
          </w:tcPr>
          <w:p w14:paraId="36D99B2C" w14:textId="0557561A" w:rsidR="003C0C91" w:rsidRPr="007636AD" w:rsidRDefault="003C0C91" w:rsidP="003B76E2">
            <w:pPr>
              <w:jc w:val="both"/>
              <w:rPr>
                <w:sz w:val="22"/>
                <w:szCs w:val="22"/>
              </w:rPr>
            </w:pPr>
            <w:r w:rsidRPr="007636AD">
              <w:rPr>
                <w:sz w:val="22"/>
                <w:szCs w:val="22"/>
              </w:rPr>
              <w:t>33</w:t>
            </w:r>
            <w:r w:rsidR="005A53E0">
              <w:rPr>
                <w:sz w:val="22"/>
                <w:szCs w:val="22"/>
              </w:rPr>
              <w:t>.</w:t>
            </w:r>
            <w:r w:rsidRPr="007636AD">
              <w:rPr>
                <w:sz w:val="22"/>
                <w:szCs w:val="22"/>
              </w:rPr>
              <w:t>83</w:t>
            </w:r>
          </w:p>
        </w:tc>
        <w:tc>
          <w:tcPr>
            <w:tcW w:w="1701" w:type="dxa"/>
            <w:tcBorders>
              <w:top w:val="nil"/>
              <w:left w:val="nil"/>
              <w:bottom w:val="single" w:sz="4" w:space="0" w:color="auto"/>
              <w:right w:val="single" w:sz="4" w:space="0" w:color="auto"/>
            </w:tcBorders>
            <w:shd w:val="clear" w:color="auto" w:fill="auto"/>
            <w:noWrap/>
            <w:vAlign w:val="center"/>
            <w:hideMark/>
          </w:tcPr>
          <w:p w14:paraId="5522C757" w14:textId="3B230110" w:rsidR="003C0C91" w:rsidRPr="007636AD" w:rsidRDefault="003C0C91" w:rsidP="003B76E2">
            <w:pPr>
              <w:jc w:val="both"/>
              <w:rPr>
                <w:sz w:val="22"/>
                <w:szCs w:val="22"/>
              </w:rPr>
            </w:pPr>
            <w:r w:rsidRPr="007636AD">
              <w:rPr>
                <w:sz w:val="22"/>
                <w:szCs w:val="22"/>
              </w:rPr>
              <w:t>24</w:t>
            </w:r>
            <w:r w:rsidR="005A53E0">
              <w:rPr>
                <w:sz w:val="22"/>
                <w:szCs w:val="22"/>
              </w:rPr>
              <w:t>.</w:t>
            </w:r>
            <w:r w:rsidRPr="007636AD">
              <w:rPr>
                <w:sz w:val="22"/>
                <w:szCs w:val="22"/>
              </w:rPr>
              <w:t>74</w:t>
            </w:r>
          </w:p>
        </w:tc>
        <w:tc>
          <w:tcPr>
            <w:tcW w:w="1701" w:type="dxa"/>
            <w:tcBorders>
              <w:top w:val="nil"/>
              <w:left w:val="nil"/>
              <w:bottom w:val="single" w:sz="4" w:space="0" w:color="auto"/>
              <w:right w:val="single" w:sz="4" w:space="0" w:color="auto"/>
            </w:tcBorders>
            <w:shd w:val="clear" w:color="auto" w:fill="auto"/>
            <w:noWrap/>
            <w:vAlign w:val="center"/>
            <w:hideMark/>
          </w:tcPr>
          <w:p w14:paraId="32464513" w14:textId="77777777" w:rsidR="003C0C91" w:rsidRPr="007636AD" w:rsidRDefault="003C0C91" w:rsidP="003B76E2">
            <w:pPr>
              <w:jc w:val="both"/>
              <w:rPr>
                <w:sz w:val="22"/>
                <w:szCs w:val="22"/>
              </w:rPr>
            </w:pPr>
            <w:r w:rsidRPr="007636AD">
              <w:rPr>
                <w:sz w:val="22"/>
                <w:szCs w:val="22"/>
              </w:rPr>
              <w:t>1440</w:t>
            </w:r>
          </w:p>
        </w:tc>
        <w:tc>
          <w:tcPr>
            <w:tcW w:w="1559" w:type="dxa"/>
            <w:tcBorders>
              <w:top w:val="nil"/>
              <w:left w:val="nil"/>
              <w:bottom w:val="single" w:sz="4" w:space="0" w:color="auto"/>
              <w:right w:val="single" w:sz="4" w:space="0" w:color="auto"/>
            </w:tcBorders>
            <w:shd w:val="clear" w:color="auto" w:fill="auto"/>
            <w:noWrap/>
            <w:vAlign w:val="center"/>
            <w:hideMark/>
          </w:tcPr>
          <w:p w14:paraId="4CD4B607" w14:textId="3A144665" w:rsidR="003C0C91" w:rsidRPr="007636AD" w:rsidRDefault="003C0C91" w:rsidP="003B76E2">
            <w:pPr>
              <w:jc w:val="both"/>
              <w:rPr>
                <w:sz w:val="22"/>
                <w:szCs w:val="22"/>
              </w:rPr>
            </w:pPr>
            <w:r w:rsidRPr="007636AD">
              <w:rPr>
                <w:sz w:val="22"/>
                <w:szCs w:val="22"/>
              </w:rPr>
              <w:t>83</w:t>
            </w:r>
            <w:r w:rsidR="005A53E0">
              <w:rPr>
                <w:sz w:val="22"/>
                <w:szCs w:val="22"/>
              </w:rPr>
              <w:t>.</w:t>
            </w:r>
            <w:r w:rsidRPr="007636AD">
              <w:rPr>
                <w:sz w:val="22"/>
                <w:szCs w:val="22"/>
              </w:rPr>
              <w:t>3</w:t>
            </w:r>
          </w:p>
        </w:tc>
      </w:tr>
      <w:tr w:rsidR="003C0C91" w:rsidRPr="007636AD" w14:paraId="74974110" w14:textId="77777777" w:rsidTr="005A53E0">
        <w:trPr>
          <w:trHeight w:val="271"/>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29D1D110" w14:textId="77777777" w:rsidR="003C0C91" w:rsidRPr="007636AD" w:rsidRDefault="003C0C91" w:rsidP="003B76E2">
            <w:pPr>
              <w:jc w:val="both"/>
              <w:rPr>
                <w:b/>
                <w:bCs/>
                <w:sz w:val="22"/>
                <w:szCs w:val="22"/>
              </w:rPr>
            </w:pPr>
            <w:r w:rsidRPr="007636AD">
              <w:rPr>
                <w:b/>
                <w:bCs/>
                <w:sz w:val="22"/>
                <w:szCs w:val="22"/>
              </w:rPr>
              <w:t>Std. Deviation</w:t>
            </w:r>
          </w:p>
        </w:tc>
        <w:tc>
          <w:tcPr>
            <w:tcW w:w="1467" w:type="dxa"/>
            <w:tcBorders>
              <w:top w:val="nil"/>
              <w:left w:val="nil"/>
              <w:bottom w:val="single" w:sz="4" w:space="0" w:color="auto"/>
              <w:right w:val="single" w:sz="4" w:space="0" w:color="auto"/>
            </w:tcBorders>
            <w:shd w:val="clear" w:color="auto" w:fill="auto"/>
            <w:noWrap/>
            <w:vAlign w:val="center"/>
            <w:hideMark/>
          </w:tcPr>
          <w:p w14:paraId="714E2934" w14:textId="638F8024" w:rsidR="003C0C91" w:rsidRPr="007636AD" w:rsidRDefault="003C0C91" w:rsidP="003B76E2">
            <w:pPr>
              <w:jc w:val="both"/>
              <w:rPr>
                <w:sz w:val="22"/>
                <w:szCs w:val="22"/>
              </w:rPr>
            </w:pPr>
            <w:r w:rsidRPr="007636AD">
              <w:rPr>
                <w:sz w:val="22"/>
                <w:szCs w:val="22"/>
              </w:rPr>
              <w:t>15</w:t>
            </w:r>
            <w:r w:rsidR="005A53E0">
              <w:rPr>
                <w:sz w:val="22"/>
                <w:szCs w:val="22"/>
              </w:rPr>
              <w:t>.</w:t>
            </w:r>
            <w:r w:rsidRPr="007636AD">
              <w:rPr>
                <w:sz w:val="22"/>
                <w:szCs w:val="22"/>
              </w:rPr>
              <w:t>32</w:t>
            </w:r>
          </w:p>
        </w:tc>
        <w:tc>
          <w:tcPr>
            <w:tcW w:w="1701" w:type="dxa"/>
            <w:tcBorders>
              <w:top w:val="nil"/>
              <w:left w:val="nil"/>
              <w:bottom w:val="single" w:sz="4" w:space="0" w:color="auto"/>
              <w:right w:val="single" w:sz="4" w:space="0" w:color="auto"/>
            </w:tcBorders>
            <w:shd w:val="clear" w:color="auto" w:fill="auto"/>
            <w:noWrap/>
            <w:vAlign w:val="center"/>
            <w:hideMark/>
          </w:tcPr>
          <w:p w14:paraId="5E8F9A4A" w14:textId="478E3CBC" w:rsidR="003C0C91" w:rsidRPr="007636AD" w:rsidRDefault="003C0C91" w:rsidP="003B76E2">
            <w:pPr>
              <w:jc w:val="both"/>
              <w:rPr>
                <w:sz w:val="22"/>
                <w:szCs w:val="22"/>
              </w:rPr>
            </w:pPr>
            <w:r w:rsidRPr="007636AD">
              <w:rPr>
                <w:sz w:val="22"/>
                <w:szCs w:val="22"/>
              </w:rPr>
              <w:t>6</w:t>
            </w:r>
            <w:r w:rsidR="005A53E0">
              <w:rPr>
                <w:sz w:val="22"/>
                <w:szCs w:val="22"/>
              </w:rPr>
              <w:t>.</w:t>
            </w:r>
            <w:r w:rsidRPr="007636AD">
              <w:rPr>
                <w:sz w:val="22"/>
                <w:szCs w:val="22"/>
              </w:rPr>
              <w:t>36</w:t>
            </w:r>
          </w:p>
        </w:tc>
        <w:tc>
          <w:tcPr>
            <w:tcW w:w="1701" w:type="dxa"/>
            <w:tcBorders>
              <w:top w:val="nil"/>
              <w:left w:val="nil"/>
              <w:bottom w:val="single" w:sz="4" w:space="0" w:color="auto"/>
              <w:right w:val="single" w:sz="4" w:space="0" w:color="auto"/>
            </w:tcBorders>
            <w:shd w:val="clear" w:color="auto" w:fill="auto"/>
            <w:noWrap/>
            <w:vAlign w:val="center"/>
            <w:hideMark/>
          </w:tcPr>
          <w:p w14:paraId="461EE006" w14:textId="05FE6D12" w:rsidR="003C0C91" w:rsidRPr="007636AD" w:rsidRDefault="003C0C91" w:rsidP="003B76E2">
            <w:pPr>
              <w:jc w:val="both"/>
              <w:rPr>
                <w:sz w:val="22"/>
                <w:szCs w:val="22"/>
              </w:rPr>
            </w:pPr>
            <w:r w:rsidRPr="007636AD">
              <w:rPr>
                <w:sz w:val="22"/>
                <w:szCs w:val="22"/>
              </w:rPr>
              <w:t>481</w:t>
            </w:r>
            <w:r w:rsidR="005A53E0">
              <w:rPr>
                <w:sz w:val="22"/>
                <w:szCs w:val="22"/>
              </w:rPr>
              <w:t>.</w:t>
            </w:r>
            <w:r w:rsidRPr="007636AD">
              <w:rPr>
                <w:sz w:val="22"/>
                <w:szCs w:val="22"/>
              </w:rPr>
              <w:t>3</w:t>
            </w:r>
          </w:p>
        </w:tc>
        <w:tc>
          <w:tcPr>
            <w:tcW w:w="1559" w:type="dxa"/>
            <w:tcBorders>
              <w:top w:val="nil"/>
              <w:left w:val="nil"/>
              <w:bottom w:val="single" w:sz="4" w:space="0" w:color="auto"/>
              <w:right w:val="single" w:sz="4" w:space="0" w:color="auto"/>
            </w:tcBorders>
            <w:shd w:val="clear" w:color="auto" w:fill="auto"/>
            <w:noWrap/>
            <w:vAlign w:val="center"/>
            <w:hideMark/>
          </w:tcPr>
          <w:p w14:paraId="29852989" w14:textId="1695F32C" w:rsidR="003C0C91" w:rsidRPr="007636AD" w:rsidRDefault="003C0C91" w:rsidP="003B76E2">
            <w:pPr>
              <w:jc w:val="both"/>
              <w:rPr>
                <w:sz w:val="22"/>
                <w:szCs w:val="22"/>
              </w:rPr>
            </w:pPr>
            <w:r w:rsidRPr="007636AD">
              <w:rPr>
                <w:sz w:val="22"/>
                <w:szCs w:val="22"/>
              </w:rPr>
              <w:t>15</w:t>
            </w:r>
            <w:r w:rsidR="005A53E0">
              <w:rPr>
                <w:sz w:val="22"/>
                <w:szCs w:val="22"/>
              </w:rPr>
              <w:t>.</w:t>
            </w:r>
            <w:r w:rsidRPr="007636AD">
              <w:rPr>
                <w:sz w:val="22"/>
                <w:szCs w:val="22"/>
              </w:rPr>
              <w:t>01</w:t>
            </w:r>
          </w:p>
        </w:tc>
      </w:tr>
      <w:tr w:rsidR="003C0C91" w:rsidRPr="007636AD" w14:paraId="6304220C" w14:textId="77777777" w:rsidTr="005A53E0">
        <w:trPr>
          <w:trHeight w:val="271"/>
        </w:trPr>
        <w:tc>
          <w:tcPr>
            <w:tcW w:w="2361" w:type="dxa"/>
            <w:tcBorders>
              <w:top w:val="nil"/>
              <w:left w:val="single" w:sz="4" w:space="0" w:color="auto"/>
              <w:bottom w:val="single" w:sz="4" w:space="0" w:color="auto"/>
              <w:right w:val="single" w:sz="4" w:space="0" w:color="auto"/>
            </w:tcBorders>
            <w:shd w:val="clear" w:color="000000" w:fill="D0CECE"/>
            <w:vAlign w:val="center"/>
            <w:hideMark/>
          </w:tcPr>
          <w:p w14:paraId="69A7E9E9" w14:textId="77777777" w:rsidR="003C0C91" w:rsidRPr="007636AD" w:rsidRDefault="003C0C91" w:rsidP="003B76E2">
            <w:pPr>
              <w:jc w:val="both"/>
              <w:rPr>
                <w:b/>
                <w:bCs/>
                <w:sz w:val="22"/>
                <w:szCs w:val="22"/>
              </w:rPr>
            </w:pPr>
            <w:r w:rsidRPr="007636AD">
              <w:rPr>
                <w:b/>
                <w:bCs/>
                <w:sz w:val="22"/>
                <w:szCs w:val="22"/>
              </w:rPr>
              <w:t>Std. Error of Mean</w:t>
            </w:r>
          </w:p>
        </w:tc>
        <w:tc>
          <w:tcPr>
            <w:tcW w:w="1467" w:type="dxa"/>
            <w:tcBorders>
              <w:top w:val="nil"/>
              <w:left w:val="nil"/>
              <w:bottom w:val="single" w:sz="4" w:space="0" w:color="auto"/>
              <w:right w:val="single" w:sz="4" w:space="0" w:color="auto"/>
            </w:tcBorders>
            <w:shd w:val="clear" w:color="auto" w:fill="auto"/>
            <w:noWrap/>
            <w:vAlign w:val="center"/>
            <w:hideMark/>
          </w:tcPr>
          <w:p w14:paraId="69C58D72" w14:textId="0C6B1EC6" w:rsidR="003C0C91" w:rsidRPr="007636AD" w:rsidRDefault="003C0C91" w:rsidP="003B76E2">
            <w:pPr>
              <w:jc w:val="both"/>
              <w:rPr>
                <w:sz w:val="22"/>
                <w:szCs w:val="22"/>
              </w:rPr>
            </w:pPr>
            <w:r w:rsidRPr="007636AD">
              <w:rPr>
                <w:sz w:val="22"/>
                <w:szCs w:val="22"/>
              </w:rPr>
              <w:t>7</w:t>
            </w:r>
            <w:r w:rsidR="005A53E0">
              <w:rPr>
                <w:sz w:val="22"/>
                <w:szCs w:val="22"/>
              </w:rPr>
              <w:t>.</w:t>
            </w:r>
            <w:r w:rsidRPr="007636AD">
              <w:rPr>
                <w:sz w:val="22"/>
                <w:szCs w:val="22"/>
              </w:rPr>
              <w:t>659</w:t>
            </w:r>
          </w:p>
        </w:tc>
        <w:tc>
          <w:tcPr>
            <w:tcW w:w="1701" w:type="dxa"/>
            <w:tcBorders>
              <w:top w:val="nil"/>
              <w:left w:val="nil"/>
              <w:bottom w:val="single" w:sz="4" w:space="0" w:color="auto"/>
              <w:right w:val="single" w:sz="4" w:space="0" w:color="auto"/>
            </w:tcBorders>
            <w:shd w:val="clear" w:color="auto" w:fill="auto"/>
            <w:noWrap/>
            <w:vAlign w:val="center"/>
            <w:hideMark/>
          </w:tcPr>
          <w:p w14:paraId="5AD04DA4" w14:textId="7C14CA5A" w:rsidR="003C0C91" w:rsidRPr="007636AD" w:rsidRDefault="003C0C91" w:rsidP="003B76E2">
            <w:pPr>
              <w:jc w:val="both"/>
              <w:rPr>
                <w:sz w:val="22"/>
                <w:szCs w:val="22"/>
              </w:rPr>
            </w:pPr>
            <w:r w:rsidRPr="007636AD">
              <w:rPr>
                <w:sz w:val="22"/>
                <w:szCs w:val="22"/>
              </w:rPr>
              <w:t>3</w:t>
            </w:r>
            <w:r w:rsidR="005A53E0">
              <w:rPr>
                <w:sz w:val="22"/>
                <w:szCs w:val="22"/>
              </w:rPr>
              <w:t>.</w:t>
            </w:r>
            <w:r w:rsidRPr="007636AD">
              <w:rPr>
                <w:sz w:val="22"/>
                <w:szCs w:val="22"/>
              </w:rPr>
              <w:t>18</w:t>
            </w:r>
          </w:p>
        </w:tc>
        <w:tc>
          <w:tcPr>
            <w:tcW w:w="1701" w:type="dxa"/>
            <w:tcBorders>
              <w:top w:val="nil"/>
              <w:left w:val="nil"/>
              <w:bottom w:val="single" w:sz="4" w:space="0" w:color="auto"/>
              <w:right w:val="single" w:sz="4" w:space="0" w:color="auto"/>
            </w:tcBorders>
            <w:shd w:val="clear" w:color="auto" w:fill="auto"/>
            <w:noWrap/>
            <w:vAlign w:val="center"/>
            <w:hideMark/>
          </w:tcPr>
          <w:p w14:paraId="043F76C1" w14:textId="5F45FCE2" w:rsidR="003C0C91" w:rsidRPr="007636AD" w:rsidRDefault="003C0C91" w:rsidP="003B76E2">
            <w:pPr>
              <w:jc w:val="both"/>
              <w:rPr>
                <w:sz w:val="22"/>
                <w:szCs w:val="22"/>
              </w:rPr>
            </w:pPr>
            <w:r w:rsidRPr="007636AD">
              <w:rPr>
                <w:sz w:val="22"/>
                <w:szCs w:val="22"/>
              </w:rPr>
              <w:t>196</w:t>
            </w:r>
            <w:r w:rsidR="005A53E0">
              <w:rPr>
                <w:sz w:val="22"/>
                <w:szCs w:val="22"/>
              </w:rPr>
              <w:t>.</w:t>
            </w:r>
            <w:r w:rsidRPr="007636AD">
              <w:rPr>
                <w:sz w:val="22"/>
                <w:szCs w:val="22"/>
              </w:rPr>
              <w:t>5</w:t>
            </w:r>
          </w:p>
        </w:tc>
        <w:tc>
          <w:tcPr>
            <w:tcW w:w="1559" w:type="dxa"/>
            <w:tcBorders>
              <w:top w:val="nil"/>
              <w:left w:val="nil"/>
              <w:bottom w:val="single" w:sz="4" w:space="0" w:color="auto"/>
              <w:right w:val="single" w:sz="4" w:space="0" w:color="auto"/>
            </w:tcBorders>
            <w:shd w:val="clear" w:color="auto" w:fill="auto"/>
            <w:noWrap/>
            <w:vAlign w:val="center"/>
            <w:hideMark/>
          </w:tcPr>
          <w:p w14:paraId="11BB8C5A" w14:textId="6743E6DE" w:rsidR="003C0C91" w:rsidRPr="007636AD" w:rsidRDefault="003C0C91" w:rsidP="003B76E2">
            <w:pPr>
              <w:jc w:val="both"/>
              <w:rPr>
                <w:sz w:val="22"/>
                <w:szCs w:val="22"/>
              </w:rPr>
            </w:pPr>
            <w:r w:rsidRPr="007636AD">
              <w:rPr>
                <w:sz w:val="22"/>
                <w:szCs w:val="22"/>
              </w:rPr>
              <w:t>5</w:t>
            </w:r>
            <w:r w:rsidR="005A53E0">
              <w:rPr>
                <w:sz w:val="22"/>
                <w:szCs w:val="22"/>
              </w:rPr>
              <w:t>.</w:t>
            </w:r>
            <w:r w:rsidRPr="007636AD">
              <w:rPr>
                <w:sz w:val="22"/>
                <w:szCs w:val="22"/>
              </w:rPr>
              <w:t>307</w:t>
            </w:r>
          </w:p>
        </w:tc>
      </w:tr>
    </w:tbl>
    <w:p w14:paraId="58FF19C6" w14:textId="77777777" w:rsidR="003C0C91" w:rsidRDefault="003C0C91" w:rsidP="003B76E2">
      <w:pPr>
        <w:jc w:val="both"/>
        <w:rPr>
          <w:lang w:val="en-US"/>
        </w:rPr>
      </w:pPr>
    </w:p>
    <w:tbl>
      <w:tblPr>
        <w:tblW w:w="8784" w:type="dxa"/>
        <w:tblCellMar>
          <w:left w:w="70" w:type="dxa"/>
          <w:right w:w="70" w:type="dxa"/>
        </w:tblCellMar>
        <w:tblLook w:val="04A0" w:firstRow="1" w:lastRow="0" w:firstColumn="1" w:lastColumn="0" w:noHBand="0" w:noVBand="1"/>
      </w:tblPr>
      <w:tblGrid>
        <w:gridCol w:w="2339"/>
        <w:gridCol w:w="1484"/>
        <w:gridCol w:w="1701"/>
        <w:gridCol w:w="1701"/>
        <w:gridCol w:w="1559"/>
      </w:tblGrid>
      <w:tr w:rsidR="003C0C91" w:rsidRPr="007636AD" w14:paraId="440EC3E9" w14:textId="77777777" w:rsidTr="005A53E0">
        <w:trPr>
          <w:trHeight w:val="345"/>
        </w:trPr>
        <w:tc>
          <w:tcPr>
            <w:tcW w:w="2339" w:type="dxa"/>
            <w:tcBorders>
              <w:top w:val="single" w:sz="4" w:space="0" w:color="auto"/>
              <w:left w:val="single" w:sz="4" w:space="0" w:color="auto"/>
              <w:bottom w:val="single" w:sz="4" w:space="0" w:color="auto"/>
              <w:right w:val="single" w:sz="4" w:space="0" w:color="auto"/>
            </w:tcBorders>
            <w:shd w:val="clear" w:color="000000" w:fill="AEAAAA"/>
            <w:noWrap/>
            <w:vAlign w:val="center"/>
            <w:hideMark/>
          </w:tcPr>
          <w:p w14:paraId="5BFE52D5" w14:textId="77777777" w:rsidR="003C0C91" w:rsidRPr="007636AD" w:rsidRDefault="003C0C91" w:rsidP="003B76E2">
            <w:pPr>
              <w:jc w:val="both"/>
              <w:rPr>
                <w:b/>
                <w:bCs/>
                <w:sz w:val="22"/>
                <w:szCs w:val="22"/>
              </w:rPr>
            </w:pPr>
            <w:r w:rsidRPr="007636AD">
              <w:rPr>
                <w:b/>
                <w:bCs/>
                <w:sz w:val="22"/>
                <w:szCs w:val="22"/>
              </w:rPr>
              <w:t xml:space="preserve">  Cmax</w:t>
            </w:r>
          </w:p>
        </w:tc>
        <w:tc>
          <w:tcPr>
            <w:tcW w:w="1484" w:type="dxa"/>
            <w:tcBorders>
              <w:top w:val="single" w:sz="4" w:space="0" w:color="auto"/>
              <w:left w:val="nil"/>
              <w:bottom w:val="single" w:sz="4" w:space="0" w:color="auto"/>
              <w:right w:val="single" w:sz="4" w:space="0" w:color="auto"/>
            </w:tcBorders>
            <w:shd w:val="clear" w:color="000000" w:fill="AEAAAA"/>
            <w:noWrap/>
            <w:vAlign w:val="center"/>
            <w:hideMark/>
          </w:tcPr>
          <w:p w14:paraId="46BC98A9" w14:textId="77777777" w:rsidR="003C0C91" w:rsidRPr="007636AD" w:rsidRDefault="003C0C91" w:rsidP="003B76E2">
            <w:pPr>
              <w:jc w:val="both"/>
              <w:rPr>
                <w:b/>
                <w:bCs/>
                <w:sz w:val="22"/>
                <w:szCs w:val="22"/>
              </w:rPr>
            </w:pPr>
            <w:r w:rsidRPr="007636AD">
              <w:rPr>
                <w:b/>
                <w:bCs/>
                <w:sz w:val="22"/>
                <w:szCs w:val="22"/>
              </w:rPr>
              <w:t>BR</w:t>
            </w:r>
            <w:r w:rsidRPr="007636AD">
              <w:rPr>
                <w:b/>
                <w:bCs/>
                <w:sz w:val="22"/>
                <w:szCs w:val="22"/>
                <w:vertAlign w:val="subscript"/>
              </w:rPr>
              <w:t xml:space="preserve"> </w:t>
            </w:r>
            <w:r w:rsidRPr="007636AD">
              <w:rPr>
                <w:b/>
                <w:bCs/>
                <w:sz w:val="22"/>
                <w:szCs w:val="22"/>
              </w:rPr>
              <w:t>(nM)</w:t>
            </w:r>
          </w:p>
        </w:tc>
        <w:tc>
          <w:tcPr>
            <w:tcW w:w="1701" w:type="dxa"/>
            <w:tcBorders>
              <w:top w:val="single" w:sz="4" w:space="0" w:color="auto"/>
              <w:left w:val="nil"/>
              <w:bottom w:val="single" w:sz="4" w:space="0" w:color="auto"/>
              <w:right w:val="single" w:sz="4" w:space="0" w:color="auto"/>
            </w:tcBorders>
            <w:shd w:val="clear" w:color="000000" w:fill="AEAAAA"/>
            <w:vAlign w:val="center"/>
            <w:hideMark/>
          </w:tcPr>
          <w:p w14:paraId="4C3958B8" w14:textId="77777777" w:rsidR="003C0C91" w:rsidRPr="007636AD" w:rsidRDefault="003C0C91" w:rsidP="003B76E2">
            <w:pPr>
              <w:jc w:val="both"/>
              <w:rPr>
                <w:b/>
                <w:bCs/>
                <w:sz w:val="22"/>
                <w:szCs w:val="22"/>
              </w:rPr>
            </w:pPr>
            <w:r w:rsidRPr="007636AD">
              <w:rPr>
                <w:b/>
                <w:bCs/>
                <w:sz w:val="22"/>
                <w:szCs w:val="22"/>
              </w:rPr>
              <w:t>BRG (nM)</w:t>
            </w:r>
          </w:p>
        </w:tc>
        <w:tc>
          <w:tcPr>
            <w:tcW w:w="1701" w:type="dxa"/>
            <w:tcBorders>
              <w:top w:val="single" w:sz="4" w:space="0" w:color="auto"/>
              <w:left w:val="nil"/>
              <w:bottom w:val="single" w:sz="4" w:space="0" w:color="auto"/>
              <w:right w:val="single" w:sz="4" w:space="0" w:color="auto"/>
            </w:tcBorders>
            <w:shd w:val="clear" w:color="000000" w:fill="AEAAAA"/>
            <w:vAlign w:val="center"/>
            <w:hideMark/>
          </w:tcPr>
          <w:p w14:paraId="4F0D7611" w14:textId="77777777" w:rsidR="003C0C91" w:rsidRPr="007636AD" w:rsidRDefault="003C0C91" w:rsidP="003B76E2">
            <w:pPr>
              <w:jc w:val="both"/>
              <w:rPr>
                <w:b/>
                <w:bCs/>
                <w:sz w:val="22"/>
                <w:szCs w:val="22"/>
              </w:rPr>
            </w:pPr>
            <w:r w:rsidRPr="007636AD">
              <w:rPr>
                <w:b/>
                <w:bCs/>
                <w:sz w:val="22"/>
                <w:szCs w:val="22"/>
              </w:rPr>
              <w:t>C3G (μM)</w:t>
            </w:r>
          </w:p>
        </w:tc>
        <w:tc>
          <w:tcPr>
            <w:tcW w:w="1559" w:type="dxa"/>
            <w:tcBorders>
              <w:top w:val="single" w:sz="4" w:space="0" w:color="auto"/>
              <w:left w:val="nil"/>
              <w:bottom w:val="single" w:sz="4" w:space="0" w:color="auto"/>
              <w:right w:val="single" w:sz="4" w:space="0" w:color="auto"/>
            </w:tcBorders>
            <w:shd w:val="clear" w:color="000000" w:fill="AEAAAA"/>
            <w:vAlign w:val="center"/>
            <w:hideMark/>
          </w:tcPr>
          <w:p w14:paraId="5277413E" w14:textId="77777777" w:rsidR="003C0C91" w:rsidRPr="007636AD" w:rsidRDefault="003C0C91" w:rsidP="003B76E2">
            <w:pPr>
              <w:jc w:val="both"/>
              <w:rPr>
                <w:b/>
                <w:bCs/>
                <w:sz w:val="22"/>
                <w:szCs w:val="22"/>
              </w:rPr>
            </w:pPr>
            <w:r w:rsidRPr="007636AD">
              <w:rPr>
                <w:b/>
                <w:bCs/>
                <w:sz w:val="22"/>
                <w:szCs w:val="22"/>
              </w:rPr>
              <w:t>TC (μM)</w:t>
            </w:r>
          </w:p>
        </w:tc>
      </w:tr>
      <w:tr w:rsidR="003C0C91" w:rsidRPr="007636AD" w14:paraId="3871FF94" w14:textId="77777777" w:rsidTr="005A53E0">
        <w:trPr>
          <w:trHeight w:val="345"/>
        </w:trPr>
        <w:tc>
          <w:tcPr>
            <w:tcW w:w="2339" w:type="dxa"/>
            <w:tcBorders>
              <w:top w:val="nil"/>
              <w:left w:val="single" w:sz="4" w:space="0" w:color="auto"/>
              <w:bottom w:val="single" w:sz="4" w:space="0" w:color="auto"/>
              <w:right w:val="single" w:sz="4" w:space="0" w:color="auto"/>
            </w:tcBorders>
            <w:shd w:val="clear" w:color="000000" w:fill="D0CECE"/>
            <w:vAlign w:val="center"/>
            <w:hideMark/>
          </w:tcPr>
          <w:p w14:paraId="057E9A10" w14:textId="77777777" w:rsidR="003C0C91" w:rsidRPr="007636AD" w:rsidRDefault="003C0C91" w:rsidP="003B76E2">
            <w:pPr>
              <w:jc w:val="both"/>
              <w:rPr>
                <w:b/>
                <w:bCs/>
                <w:sz w:val="22"/>
                <w:szCs w:val="22"/>
              </w:rPr>
            </w:pPr>
            <w:r w:rsidRPr="007636AD">
              <w:rPr>
                <w:b/>
                <w:bCs/>
                <w:color w:val="000000"/>
                <w:sz w:val="22"/>
                <w:szCs w:val="22"/>
              </w:rPr>
              <w:t>Number</w:t>
            </w:r>
            <w:r w:rsidRPr="007636AD">
              <w:rPr>
                <w:b/>
                <w:bCs/>
                <w:sz w:val="22"/>
                <w:szCs w:val="22"/>
              </w:rPr>
              <w:t xml:space="preserve"> of values</w:t>
            </w:r>
          </w:p>
        </w:tc>
        <w:tc>
          <w:tcPr>
            <w:tcW w:w="1484" w:type="dxa"/>
            <w:tcBorders>
              <w:top w:val="nil"/>
              <w:left w:val="nil"/>
              <w:bottom w:val="single" w:sz="4" w:space="0" w:color="auto"/>
              <w:right w:val="single" w:sz="4" w:space="0" w:color="auto"/>
            </w:tcBorders>
            <w:shd w:val="clear" w:color="auto" w:fill="auto"/>
            <w:noWrap/>
            <w:vAlign w:val="center"/>
            <w:hideMark/>
          </w:tcPr>
          <w:p w14:paraId="64E9182D" w14:textId="77777777" w:rsidR="003C0C91" w:rsidRPr="007636AD" w:rsidRDefault="003C0C91" w:rsidP="003B76E2">
            <w:pPr>
              <w:jc w:val="both"/>
              <w:rPr>
                <w:sz w:val="22"/>
                <w:szCs w:val="22"/>
              </w:rPr>
            </w:pPr>
            <w:r w:rsidRPr="007636AD">
              <w:rPr>
                <w:sz w:val="22"/>
                <w:szCs w:val="22"/>
              </w:rPr>
              <w:t>4</w:t>
            </w:r>
          </w:p>
        </w:tc>
        <w:tc>
          <w:tcPr>
            <w:tcW w:w="1701" w:type="dxa"/>
            <w:tcBorders>
              <w:top w:val="nil"/>
              <w:left w:val="nil"/>
              <w:bottom w:val="single" w:sz="4" w:space="0" w:color="auto"/>
              <w:right w:val="single" w:sz="4" w:space="0" w:color="auto"/>
            </w:tcBorders>
            <w:shd w:val="clear" w:color="auto" w:fill="auto"/>
            <w:noWrap/>
            <w:vAlign w:val="center"/>
            <w:hideMark/>
          </w:tcPr>
          <w:p w14:paraId="5D51514F" w14:textId="77777777" w:rsidR="003C0C91" w:rsidRPr="007636AD" w:rsidRDefault="003C0C91" w:rsidP="003B76E2">
            <w:pPr>
              <w:jc w:val="both"/>
              <w:rPr>
                <w:sz w:val="22"/>
                <w:szCs w:val="22"/>
              </w:rPr>
            </w:pPr>
            <w:r w:rsidRPr="007636AD">
              <w:rPr>
                <w:sz w:val="22"/>
                <w:szCs w:val="22"/>
              </w:rPr>
              <w:t>4</w:t>
            </w:r>
          </w:p>
        </w:tc>
        <w:tc>
          <w:tcPr>
            <w:tcW w:w="1701" w:type="dxa"/>
            <w:tcBorders>
              <w:top w:val="nil"/>
              <w:left w:val="nil"/>
              <w:bottom w:val="single" w:sz="4" w:space="0" w:color="auto"/>
              <w:right w:val="single" w:sz="4" w:space="0" w:color="auto"/>
            </w:tcBorders>
            <w:shd w:val="clear" w:color="auto" w:fill="auto"/>
            <w:noWrap/>
            <w:vAlign w:val="center"/>
            <w:hideMark/>
          </w:tcPr>
          <w:p w14:paraId="13A9312C" w14:textId="77777777" w:rsidR="003C0C91" w:rsidRPr="007636AD" w:rsidRDefault="003C0C91" w:rsidP="003B76E2">
            <w:pPr>
              <w:jc w:val="both"/>
              <w:rPr>
                <w:sz w:val="22"/>
                <w:szCs w:val="22"/>
              </w:rPr>
            </w:pPr>
            <w:r w:rsidRPr="007636AD">
              <w:rPr>
                <w:sz w:val="22"/>
                <w:szCs w:val="22"/>
              </w:rPr>
              <w:t>6</w:t>
            </w:r>
          </w:p>
        </w:tc>
        <w:tc>
          <w:tcPr>
            <w:tcW w:w="1559" w:type="dxa"/>
            <w:tcBorders>
              <w:top w:val="nil"/>
              <w:left w:val="nil"/>
              <w:bottom w:val="single" w:sz="4" w:space="0" w:color="auto"/>
              <w:right w:val="single" w:sz="4" w:space="0" w:color="auto"/>
            </w:tcBorders>
            <w:shd w:val="clear" w:color="auto" w:fill="auto"/>
            <w:noWrap/>
            <w:vAlign w:val="center"/>
            <w:hideMark/>
          </w:tcPr>
          <w:p w14:paraId="5CD026EB" w14:textId="77777777" w:rsidR="003C0C91" w:rsidRPr="007636AD" w:rsidRDefault="003C0C91" w:rsidP="003B76E2">
            <w:pPr>
              <w:jc w:val="both"/>
              <w:rPr>
                <w:sz w:val="22"/>
                <w:szCs w:val="22"/>
              </w:rPr>
            </w:pPr>
            <w:r w:rsidRPr="007636AD">
              <w:rPr>
                <w:sz w:val="22"/>
                <w:szCs w:val="22"/>
              </w:rPr>
              <w:t>8</w:t>
            </w:r>
          </w:p>
        </w:tc>
      </w:tr>
      <w:tr w:rsidR="003C0C91" w:rsidRPr="007636AD" w14:paraId="6662D71D" w14:textId="77777777" w:rsidTr="005A53E0">
        <w:trPr>
          <w:trHeight w:val="172"/>
        </w:trPr>
        <w:tc>
          <w:tcPr>
            <w:tcW w:w="2339" w:type="dxa"/>
            <w:tcBorders>
              <w:top w:val="nil"/>
              <w:left w:val="single" w:sz="4" w:space="0" w:color="auto"/>
              <w:bottom w:val="single" w:sz="4" w:space="0" w:color="auto"/>
              <w:right w:val="single" w:sz="4" w:space="0" w:color="auto"/>
            </w:tcBorders>
            <w:shd w:val="clear" w:color="000000" w:fill="D0CECE"/>
            <w:vAlign w:val="center"/>
            <w:hideMark/>
          </w:tcPr>
          <w:p w14:paraId="0866B46D" w14:textId="77777777" w:rsidR="003C0C91" w:rsidRPr="007636AD" w:rsidRDefault="003C0C91" w:rsidP="003B76E2">
            <w:pPr>
              <w:jc w:val="both"/>
              <w:rPr>
                <w:b/>
                <w:bCs/>
                <w:sz w:val="22"/>
                <w:szCs w:val="22"/>
              </w:rPr>
            </w:pPr>
            <w:r w:rsidRPr="007636AD">
              <w:rPr>
                <w:b/>
                <w:bCs/>
                <w:sz w:val="22"/>
                <w:szCs w:val="22"/>
              </w:rPr>
              <w:t>Minimum</w:t>
            </w:r>
          </w:p>
        </w:tc>
        <w:tc>
          <w:tcPr>
            <w:tcW w:w="1484" w:type="dxa"/>
            <w:tcBorders>
              <w:top w:val="nil"/>
              <w:left w:val="nil"/>
              <w:bottom w:val="single" w:sz="4" w:space="0" w:color="auto"/>
              <w:right w:val="single" w:sz="4" w:space="0" w:color="auto"/>
            </w:tcBorders>
            <w:shd w:val="clear" w:color="auto" w:fill="auto"/>
            <w:noWrap/>
            <w:vAlign w:val="center"/>
            <w:hideMark/>
          </w:tcPr>
          <w:p w14:paraId="67245D09" w14:textId="2577464C" w:rsidR="003C0C91" w:rsidRPr="007636AD" w:rsidRDefault="003C0C91" w:rsidP="003B76E2">
            <w:pPr>
              <w:jc w:val="both"/>
              <w:rPr>
                <w:sz w:val="22"/>
                <w:szCs w:val="22"/>
              </w:rPr>
            </w:pPr>
            <w:r w:rsidRPr="007636AD">
              <w:rPr>
                <w:sz w:val="22"/>
                <w:szCs w:val="22"/>
              </w:rPr>
              <w:t>3</w:t>
            </w:r>
            <w:r w:rsidR="005A53E0">
              <w:rPr>
                <w:sz w:val="22"/>
                <w:szCs w:val="22"/>
              </w:rPr>
              <w:t>.</w:t>
            </w:r>
            <w:r w:rsidRPr="007636AD">
              <w:rPr>
                <w:sz w:val="22"/>
                <w:szCs w:val="22"/>
              </w:rPr>
              <w:t>693</w:t>
            </w:r>
          </w:p>
        </w:tc>
        <w:tc>
          <w:tcPr>
            <w:tcW w:w="1701" w:type="dxa"/>
            <w:tcBorders>
              <w:top w:val="nil"/>
              <w:left w:val="nil"/>
              <w:bottom w:val="single" w:sz="4" w:space="0" w:color="auto"/>
              <w:right w:val="single" w:sz="4" w:space="0" w:color="auto"/>
            </w:tcBorders>
            <w:shd w:val="clear" w:color="auto" w:fill="auto"/>
            <w:noWrap/>
            <w:vAlign w:val="center"/>
            <w:hideMark/>
          </w:tcPr>
          <w:p w14:paraId="79121F3F" w14:textId="3A158896" w:rsidR="003C0C91" w:rsidRPr="007636AD" w:rsidRDefault="003C0C91" w:rsidP="003B76E2">
            <w:pPr>
              <w:jc w:val="both"/>
              <w:rPr>
                <w:sz w:val="22"/>
                <w:szCs w:val="22"/>
              </w:rPr>
            </w:pPr>
            <w:r w:rsidRPr="007636AD">
              <w:rPr>
                <w:sz w:val="22"/>
                <w:szCs w:val="22"/>
              </w:rPr>
              <w:t>2</w:t>
            </w:r>
            <w:r w:rsidR="005A53E0">
              <w:rPr>
                <w:sz w:val="22"/>
                <w:szCs w:val="22"/>
              </w:rPr>
              <w:t>.</w:t>
            </w:r>
            <w:r w:rsidRPr="007636AD">
              <w:rPr>
                <w:sz w:val="22"/>
                <w:szCs w:val="22"/>
              </w:rPr>
              <w:t>676</w:t>
            </w:r>
          </w:p>
        </w:tc>
        <w:tc>
          <w:tcPr>
            <w:tcW w:w="1701" w:type="dxa"/>
            <w:tcBorders>
              <w:top w:val="nil"/>
              <w:left w:val="nil"/>
              <w:bottom w:val="single" w:sz="4" w:space="0" w:color="auto"/>
              <w:right w:val="single" w:sz="4" w:space="0" w:color="auto"/>
            </w:tcBorders>
            <w:shd w:val="clear" w:color="auto" w:fill="auto"/>
            <w:noWrap/>
            <w:vAlign w:val="center"/>
            <w:hideMark/>
          </w:tcPr>
          <w:p w14:paraId="4745B331" w14:textId="2D609E6F" w:rsidR="003C0C91" w:rsidRPr="007636AD" w:rsidRDefault="003C0C91" w:rsidP="003B76E2">
            <w:pPr>
              <w:jc w:val="both"/>
              <w:rPr>
                <w:sz w:val="22"/>
                <w:szCs w:val="22"/>
              </w:rPr>
            </w:pPr>
            <w:r w:rsidRPr="007636AD">
              <w:rPr>
                <w:sz w:val="22"/>
                <w:szCs w:val="22"/>
              </w:rPr>
              <w:t>0</w:t>
            </w:r>
            <w:r w:rsidR="005A53E0">
              <w:rPr>
                <w:sz w:val="22"/>
                <w:szCs w:val="22"/>
              </w:rPr>
              <w:t>.</w:t>
            </w:r>
            <w:r w:rsidRPr="007636AD">
              <w:rPr>
                <w:sz w:val="22"/>
                <w:szCs w:val="22"/>
              </w:rPr>
              <w:t>247</w:t>
            </w:r>
          </w:p>
        </w:tc>
        <w:tc>
          <w:tcPr>
            <w:tcW w:w="1559" w:type="dxa"/>
            <w:tcBorders>
              <w:top w:val="nil"/>
              <w:left w:val="nil"/>
              <w:bottom w:val="single" w:sz="4" w:space="0" w:color="auto"/>
              <w:right w:val="single" w:sz="4" w:space="0" w:color="auto"/>
            </w:tcBorders>
            <w:shd w:val="clear" w:color="auto" w:fill="auto"/>
            <w:noWrap/>
            <w:vAlign w:val="center"/>
            <w:hideMark/>
          </w:tcPr>
          <w:p w14:paraId="57F829A7" w14:textId="2829EB2E" w:rsidR="003C0C91" w:rsidRPr="007636AD" w:rsidRDefault="003C0C91" w:rsidP="003B76E2">
            <w:pPr>
              <w:jc w:val="both"/>
              <w:rPr>
                <w:sz w:val="22"/>
                <w:szCs w:val="22"/>
              </w:rPr>
            </w:pPr>
            <w:r w:rsidRPr="007636AD">
              <w:rPr>
                <w:sz w:val="22"/>
                <w:szCs w:val="22"/>
              </w:rPr>
              <w:t>19</w:t>
            </w:r>
            <w:r w:rsidR="005A53E0">
              <w:rPr>
                <w:sz w:val="22"/>
                <w:szCs w:val="22"/>
              </w:rPr>
              <w:t>.</w:t>
            </w:r>
            <w:r w:rsidRPr="007636AD">
              <w:rPr>
                <w:sz w:val="22"/>
                <w:szCs w:val="22"/>
              </w:rPr>
              <w:t>98</w:t>
            </w:r>
          </w:p>
        </w:tc>
      </w:tr>
      <w:tr w:rsidR="003C0C91" w:rsidRPr="007636AD" w14:paraId="1C88563E" w14:textId="77777777" w:rsidTr="005A53E0">
        <w:trPr>
          <w:trHeight w:val="345"/>
        </w:trPr>
        <w:tc>
          <w:tcPr>
            <w:tcW w:w="2339" w:type="dxa"/>
            <w:tcBorders>
              <w:top w:val="nil"/>
              <w:left w:val="single" w:sz="4" w:space="0" w:color="auto"/>
              <w:bottom w:val="single" w:sz="4" w:space="0" w:color="auto"/>
              <w:right w:val="single" w:sz="4" w:space="0" w:color="auto"/>
            </w:tcBorders>
            <w:shd w:val="clear" w:color="000000" w:fill="D0CECE"/>
            <w:vAlign w:val="center"/>
            <w:hideMark/>
          </w:tcPr>
          <w:p w14:paraId="78E35F81" w14:textId="77777777" w:rsidR="003C0C91" w:rsidRPr="007636AD" w:rsidRDefault="003C0C91" w:rsidP="003B76E2">
            <w:pPr>
              <w:jc w:val="both"/>
              <w:rPr>
                <w:b/>
                <w:bCs/>
                <w:sz w:val="22"/>
                <w:szCs w:val="22"/>
              </w:rPr>
            </w:pPr>
            <w:r w:rsidRPr="007636AD">
              <w:rPr>
                <w:b/>
                <w:bCs/>
                <w:sz w:val="22"/>
                <w:szCs w:val="22"/>
              </w:rPr>
              <w:t>25% Percentile</w:t>
            </w:r>
          </w:p>
        </w:tc>
        <w:tc>
          <w:tcPr>
            <w:tcW w:w="1484" w:type="dxa"/>
            <w:tcBorders>
              <w:top w:val="nil"/>
              <w:left w:val="nil"/>
              <w:bottom w:val="single" w:sz="4" w:space="0" w:color="auto"/>
              <w:right w:val="single" w:sz="4" w:space="0" w:color="auto"/>
            </w:tcBorders>
            <w:shd w:val="clear" w:color="auto" w:fill="auto"/>
            <w:noWrap/>
            <w:vAlign w:val="center"/>
            <w:hideMark/>
          </w:tcPr>
          <w:p w14:paraId="45D3CE40" w14:textId="2C69A43F" w:rsidR="003C0C91" w:rsidRPr="007636AD" w:rsidRDefault="003C0C91" w:rsidP="003B76E2">
            <w:pPr>
              <w:jc w:val="both"/>
              <w:rPr>
                <w:sz w:val="22"/>
                <w:szCs w:val="22"/>
              </w:rPr>
            </w:pPr>
            <w:r w:rsidRPr="007636AD">
              <w:rPr>
                <w:sz w:val="22"/>
                <w:szCs w:val="22"/>
              </w:rPr>
              <w:t>4</w:t>
            </w:r>
            <w:r w:rsidR="005A53E0">
              <w:rPr>
                <w:sz w:val="22"/>
                <w:szCs w:val="22"/>
              </w:rPr>
              <w:t>.</w:t>
            </w:r>
            <w:r w:rsidRPr="007636AD">
              <w:rPr>
                <w:sz w:val="22"/>
                <w:szCs w:val="22"/>
              </w:rPr>
              <w:t>648</w:t>
            </w:r>
          </w:p>
        </w:tc>
        <w:tc>
          <w:tcPr>
            <w:tcW w:w="1701" w:type="dxa"/>
            <w:tcBorders>
              <w:top w:val="nil"/>
              <w:left w:val="nil"/>
              <w:bottom w:val="single" w:sz="4" w:space="0" w:color="auto"/>
              <w:right w:val="single" w:sz="4" w:space="0" w:color="auto"/>
            </w:tcBorders>
            <w:shd w:val="clear" w:color="auto" w:fill="auto"/>
            <w:noWrap/>
            <w:vAlign w:val="center"/>
            <w:hideMark/>
          </w:tcPr>
          <w:p w14:paraId="699C46C9" w14:textId="776EF7D4" w:rsidR="003C0C91" w:rsidRPr="007636AD" w:rsidRDefault="003C0C91" w:rsidP="003B76E2">
            <w:pPr>
              <w:jc w:val="both"/>
              <w:rPr>
                <w:sz w:val="22"/>
                <w:szCs w:val="22"/>
              </w:rPr>
            </w:pPr>
            <w:r w:rsidRPr="007636AD">
              <w:rPr>
                <w:sz w:val="22"/>
                <w:szCs w:val="22"/>
              </w:rPr>
              <w:t>2</w:t>
            </w:r>
            <w:r w:rsidR="005A53E0">
              <w:rPr>
                <w:sz w:val="22"/>
                <w:szCs w:val="22"/>
              </w:rPr>
              <w:t>.</w:t>
            </w:r>
            <w:r w:rsidRPr="007636AD">
              <w:rPr>
                <w:sz w:val="22"/>
                <w:szCs w:val="22"/>
              </w:rPr>
              <w:t>933</w:t>
            </w:r>
          </w:p>
        </w:tc>
        <w:tc>
          <w:tcPr>
            <w:tcW w:w="1701" w:type="dxa"/>
            <w:tcBorders>
              <w:top w:val="nil"/>
              <w:left w:val="nil"/>
              <w:bottom w:val="single" w:sz="4" w:space="0" w:color="auto"/>
              <w:right w:val="single" w:sz="4" w:space="0" w:color="auto"/>
            </w:tcBorders>
            <w:shd w:val="clear" w:color="auto" w:fill="auto"/>
            <w:noWrap/>
            <w:vAlign w:val="center"/>
            <w:hideMark/>
          </w:tcPr>
          <w:p w14:paraId="2B548F8C" w14:textId="1B6DB1F4" w:rsidR="003C0C91" w:rsidRPr="007636AD" w:rsidRDefault="003C0C91" w:rsidP="003B76E2">
            <w:pPr>
              <w:jc w:val="both"/>
              <w:rPr>
                <w:sz w:val="22"/>
                <w:szCs w:val="22"/>
              </w:rPr>
            </w:pPr>
            <w:r w:rsidRPr="007636AD">
              <w:rPr>
                <w:sz w:val="22"/>
                <w:szCs w:val="22"/>
              </w:rPr>
              <w:t>0</w:t>
            </w:r>
            <w:r w:rsidR="005A53E0">
              <w:rPr>
                <w:sz w:val="22"/>
                <w:szCs w:val="22"/>
              </w:rPr>
              <w:t>.</w:t>
            </w:r>
            <w:r w:rsidRPr="007636AD">
              <w:rPr>
                <w:sz w:val="22"/>
                <w:szCs w:val="22"/>
              </w:rPr>
              <w:t>3243</w:t>
            </w:r>
          </w:p>
        </w:tc>
        <w:tc>
          <w:tcPr>
            <w:tcW w:w="1559" w:type="dxa"/>
            <w:tcBorders>
              <w:top w:val="nil"/>
              <w:left w:val="nil"/>
              <w:bottom w:val="single" w:sz="4" w:space="0" w:color="auto"/>
              <w:right w:val="single" w:sz="4" w:space="0" w:color="auto"/>
            </w:tcBorders>
            <w:shd w:val="clear" w:color="auto" w:fill="auto"/>
            <w:noWrap/>
            <w:vAlign w:val="center"/>
            <w:hideMark/>
          </w:tcPr>
          <w:p w14:paraId="6613B15E" w14:textId="6414CCF1" w:rsidR="003C0C91" w:rsidRPr="007636AD" w:rsidRDefault="003C0C91" w:rsidP="003B76E2">
            <w:pPr>
              <w:jc w:val="both"/>
              <w:rPr>
                <w:sz w:val="22"/>
                <w:szCs w:val="22"/>
              </w:rPr>
            </w:pPr>
            <w:r w:rsidRPr="007636AD">
              <w:rPr>
                <w:sz w:val="22"/>
                <w:szCs w:val="22"/>
              </w:rPr>
              <w:t>21</w:t>
            </w:r>
            <w:r w:rsidR="005A53E0">
              <w:rPr>
                <w:sz w:val="22"/>
                <w:szCs w:val="22"/>
              </w:rPr>
              <w:t>.</w:t>
            </w:r>
            <w:r w:rsidRPr="007636AD">
              <w:rPr>
                <w:sz w:val="22"/>
                <w:szCs w:val="22"/>
              </w:rPr>
              <w:t>02</w:t>
            </w:r>
          </w:p>
        </w:tc>
      </w:tr>
      <w:tr w:rsidR="003C0C91" w:rsidRPr="007636AD" w14:paraId="66B6EAE5" w14:textId="77777777" w:rsidTr="005A53E0">
        <w:trPr>
          <w:trHeight w:val="172"/>
        </w:trPr>
        <w:tc>
          <w:tcPr>
            <w:tcW w:w="2339" w:type="dxa"/>
            <w:tcBorders>
              <w:top w:val="nil"/>
              <w:left w:val="single" w:sz="4" w:space="0" w:color="auto"/>
              <w:bottom w:val="single" w:sz="4" w:space="0" w:color="auto"/>
              <w:right w:val="single" w:sz="4" w:space="0" w:color="auto"/>
            </w:tcBorders>
            <w:shd w:val="clear" w:color="000000" w:fill="D0CECE"/>
            <w:vAlign w:val="center"/>
            <w:hideMark/>
          </w:tcPr>
          <w:p w14:paraId="35613C00" w14:textId="77777777" w:rsidR="003C0C91" w:rsidRPr="007636AD" w:rsidRDefault="003C0C91" w:rsidP="003B76E2">
            <w:pPr>
              <w:jc w:val="both"/>
              <w:rPr>
                <w:b/>
                <w:bCs/>
                <w:sz w:val="22"/>
                <w:szCs w:val="22"/>
              </w:rPr>
            </w:pPr>
            <w:r w:rsidRPr="007636AD">
              <w:rPr>
                <w:b/>
                <w:bCs/>
                <w:sz w:val="22"/>
                <w:szCs w:val="22"/>
              </w:rPr>
              <w:t>Median</w:t>
            </w:r>
          </w:p>
        </w:tc>
        <w:tc>
          <w:tcPr>
            <w:tcW w:w="1484" w:type="dxa"/>
            <w:tcBorders>
              <w:top w:val="nil"/>
              <w:left w:val="nil"/>
              <w:bottom w:val="single" w:sz="4" w:space="0" w:color="auto"/>
              <w:right w:val="single" w:sz="4" w:space="0" w:color="auto"/>
            </w:tcBorders>
            <w:shd w:val="clear" w:color="auto" w:fill="auto"/>
            <w:noWrap/>
            <w:vAlign w:val="center"/>
            <w:hideMark/>
          </w:tcPr>
          <w:p w14:paraId="6E479DAB" w14:textId="66EF4D6D" w:rsidR="003C0C91" w:rsidRPr="007636AD" w:rsidRDefault="003C0C91" w:rsidP="003B76E2">
            <w:pPr>
              <w:jc w:val="both"/>
              <w:rPr>
                <w:sz w:val="22"/>
                <w:szCs w:val="22"/>
              </w:rPr>
            </w:pPr>
            <w:r w:rsidRPr="007636AD">
              <w:rPr>
                <w:sz w:val="22"/>
                <w:szCs w:val="22"/>
              </w:rPr>
              <w:t>10</w:t>
            </w:r>
            <w:r w:rsidR="005A53E0">
              <w:rPr>
                <w:sz w:val="22"/>
                <w:szCs w:val="22"/>
              </w:rPr>
              <w:t>.</w:t>
            </w:r>
            <w:r w:rsidRPr="007636AD">
              <w:rPr>
                <w:sz w:val="22"/>
                <w:szCs w:val="22"/>
              </w:rPr>
              <w:t>92</w:t>
            </w:r>
          </w:p>
        </w:tc>
        <w:tc>
          <w:tcPr>
            <w:tcW w:w="1701" w:type="dxa"/>
            <w:tcBorders>
              <w:top w:val="nil"/>
              <w:left w:val="nil"/>
              <w:bottom w:val="single" w:sz="4" w:space="0" w:color="auto"/>
              <w:right w:val="single" w:sz="4" w:space="0" w:color="auto"/>
            </w:tcBorders>
            <w:shd w:val="clear" w:color="auto" w:fill="auto"/>
            <w:noWrap/>
            <w:vAlign w:val="center"/>
            <w:hideMark/>
          </w:tcPr>
          <w:p w14:paraId="4C78A8E0" w14:textId="3B1A9A9A" w:rsidR="003C0C91" w:rsidRPr="007636AD" w:rsidRDefault="003C0C91" w:rsidP="003B76E2">
            <w:pPr>
              <w:jc w:val="both"/>
              <w:rPr>
                <w:sz w:val="22"/>
                <w:szCs w:val="22"/>
              </w:rPr>
            </w:pPr>
            <w:r w:rsidRPr="007636AD">
              <w:rPr>
                <w:sz w:val="22"/>
                <w:szCs w:val="22"/>
              </w:rPr>
              <w:t>7</w:t>
            </w:r>
            <w:r w:rsidR="005A53E0">
              <w:rPr>
                <w:sz w:val="22"/>
                <w:szCs w:val="22"/>
              </w:rPr>
              <w:t>.</w:t>
            </w:r>
            <w:r w:rsidRPr="007636AD">
              <w:rPr>
                <w:sz w:val="22"/>
                <w:szCs w:val="22"/>
              </w:rPr>
              <w:t>748</w:t>
            </w:r>
          </w:p>
        </w:tc>
        <w:tc>
          <w:tcPr>
            <w:tcW w:w="1701" w:type="dxa"/>
            <w:tcBorders>
              <w:top w:val="nil"/>
              <w:left w:val="nil"/>
              <w:bottom w:val="single" w:sz="4" w:space="0" w:color="auto"/>
              <w:right w:val="single" w:sz="4" w:space="0" w:color="auto"/>
            </w:tcBorders>
            <w:shd w:val="clear" w:color="auto" w:fill="auto"/>
            <w:noWrap/>
            <w:vAlign w:val="center"/>
            <w:hideMark/>
          </w:tcPr>
          <w:p w14:paraId="4BF367AD" w14:textId="3B5A51F4" w:rsidR="003C0C91" w:rsidRPr="007636AD" w:rsidRDefault="003C0C91" w:rsidP="003B76E2">
            <w:pPr>
              <w:jc w:val="both"/>
              <w:rPr>
                <w:sz w:val="22"/>
                <w:szCs w:val="22"/>
              </w:rPr>
            </w:pPr>
            <w:r w:rsidRPr="007636AD">
              <w:rPr>
                <w:sz w:val="22"/>
                <w:szCs w:val="22"/>
              </w:rPr>
              <w:t>0</w:t>
            </w:r>
            <w:r w:rsidR="005A53E0">
              <w:rPr>
                <w:sz w:val="22"/>
                <w:szCs w:val="22"/>
              </w:rPr>
              <w:t>.</w:t>
            </w:r>
            <w:r w:rsidRPr="007636AD">
              <w:rPr>
                <w:sz w:val="22"/>
                <w:szCs w:val="22"/>
              </w:rPr>
              <w:t>4105</w:t>
            </w:r>
          </w:p>
        </w:tc>
        <w:tc>
          <w:tcPr>
            <w:tcW w:w="1559" w:type="dxa"/>
            <w:tcBorders>
              <w:top w:val="nil"/>
              <w:left w:val="nil"/>
              <w:bottom w:val="single" w:sz="4" w:space="0" w:color="auto"/>
              <w:right w:val="single" w:sz="4" w:space="0" w:color="auto"/>
            </w:tcBorders>
            <w:shd w:val="clear" w:color="auto" w:fill="auto"/>
            <w:noWrap/>
            <w:vAlign w:val="center"/>
            <w:hideMark/>
          </w:tcPr>
          <w:p w14:paraId="53DD2A91" w14:textId="093D5315" w:rsidR="003C0C91" w:rsidRPr="007636AD" w:rsidRDefault="003C0C91" w:rsidP="003B76E2">
            <w:pPr>
              <w:jc w:val="both"/>
              <w:rPr>
                <w:sz w:val="22"/>
                <w:szCs w:val="22"/>
              </w:rPr>
            </w:pPr>
            <w:r w:rsidRPr="007636AD">
              <w:rPr>
                <w:sz w:val="22"/>
                <w:szCs w:val="22"/>
              </w:rPr>
              <w:t>22</w:t>
            </w:r>
            <w:r w:rsidR="005A53E0">
              <w:rPr>
                <w:sz w:val="22"/>
                <w:szCs w:val="22"/>
              </w:rPr>
              <w:t>.</w:t>
            </w:r>
            <w:r w:rsidRPr="007636AD">
              <w:rPr>
                <w:sz w:val="22"/>
                <w:szCs w:val="22"/>
              </w:rPr>
              <w:t>31</w:t>
            </w:r>
          </w:p>
        </w:tc>
      </w:tr>
      <w:tr w:rsidR="003C0C91" w:rsidRPr="007636AD" w14:paraId="2A996526" w14:textId="77777777" w:rsidTr="005A53E0">
        <w:trPr>
          <w:trHeight w:val="345"/>
        </w:trPr>
        <w:tc>
          <w:tcPr>
            <w:tcW w:w="2339" w:type="dxa"/>
            <w:tcBorders>
              <w:top w:val="nil"/>
              <w:left w:val="single" w:sz="4" w:space="0" w:color="auto"/>
              <w:bottom w:val="single" w:sz="4" w:space="0" w:color="auto"/>
              <w:right w:val="single" w:sz="4" w:space="0" w:color="auto"/>
            </w:tcBorders>
            <w:shd w:val="clear" w:color="000000" w:fill="D0CECE"/>
            <w:vAlign w:val="center"/>
            <w:hideMark/>
          </w:tcPr>
          <w:p w14:paraId="125E3474" w14:textId="77777777" w:rsidR="003C0C91" w:rsidRPr="007636AD" w:rsidRDefault="003C0C91" w:rsidP="003B76E2">
            <w:pPr>
              <w:jc w:val="both"/>
              <w:rPr>
                <w:b/>
                <w:bCs/>
                <w:sz w:val="22"/>
                <w:szCs w:val="22"/>
              </w:rPr>
            </w:pPr>
            <w:r w:rsidRPr="007636AD">
              <w:rPr>
                <w:b/>
                <w:bCs/>
                <w:sz w:val="22"/>
                <w:szCs w:val="22"/>
              </w:rPr>
              <w:t>75% Percentile</w:t>
            </w:r>
          </w:p>
        </w:tc>
        <w:tc>
          <w:tcPr>
            <w:tcW w:w="1484" w:type="dxa"/>
            <w:tcBorders>
              <w:top w:val="nil"/>
              <w:left w:val="nil"/>
              <w:bottom w:val="single" w:sz="4" w:space="0" w:color="auto"/>
              <w:right w:val="single" w:sz="4" w:space="0" w:color="auto"/>
            </w:tcBorders>
            <w:shd w:val="clear" w:color="auto" w:fill="auto"/>
            <w:noWrap/>
            <w:vAlign w:val="center"/>
            <w:hideMark/>
          </w:tcPr>
          <w:p w14:paraId="430EF0C6" w14:textId="3F1C95FB" w:rsidR="003C0C91" w:rsidRPr="007636AD" w:rsidRDefault="003C0C91" w:rsidP="003B76E2">
            <w:pPr>
              <w:jc w:val="both"/>
              <w:rPr>
                <w:sz w:val="22"/>
                <w:szCs w:val="22"/>
              </w:rPr>
            </w:pPr>
            <w:r w:rsidRPr="007636AD">
              <w:rPr>
                <w:sz w:val="22"/>
                <w:szCs w:val="22"/>
              </w:rPr>
              <w:t>15</w:t>
            </w:r>
            <w:r w:rsidR="005A53E0">
              <w:rPr>
                <w:sz w:val="22"/>
                <w:szCs w:val="22"/>
              </w:rPr>
              <w:t>.</w:t>
            </w:r>
            <w:r w:rsidRPr="007636AD">
              <w:rPr>
                <w:sz w:val="22"/>
                <w:szCs w:val="22"/>
              </w:rPr>
              <w:t>38</w:t>
            </w:r>
          </w:p>
        </w:tc>
        <w:tc>
          <w:tcPr>
            <w:tcW w:w="1701" w:type="dxa"/>
            <w:tcBorders>
              <w:top w:val="nil"/>
              <w:left w:val="nil"/>
              <w:bottom w:val="single" w:sz="4" w:space="0" w:color="auto"/>
              <w:right w:val="single" w:sz="4" w:space="0" w:color="auto"/>
            </w:tcBorders>
            <w:shd w:val="clear" w:color="auto" w:fill="auto"/>
            <w:noWrap/>
            <w:vAlign w:val="center"/>
            <w:hideMark/>
          </w:tcPr>
          <w:p w14:paraId="2F37C355" w14:textId="4B1A7FE3" w:rsidR="003C0C91" w:rsidRPr="007636AD" w:rsidRDefault="003C0C91" w:rsidP="003B76E2">
            <w:pPr>
              <w:jc w:val="both"/>
              <w:rPr>
                <w:sz w:val="22"/>
                <w:szCs w:val="22"/>
              </w:rPr>
            </w:pPr>
            <w:r w:rsidRPr="007636AD">
              <w:rPr>
                <w:sz w:val="22"/>
                <w:szCs w:val="22"/>
              </w:rPr>
              <w:t>13</w:t>
            </w:r>
            <w:r w:rsidR="005A53E0">
              <w:rPr>
                <w:sz w:val="22"/>
                <w:szCs w:val="22"/>
              </w:rPr>
              <w:t>.</w:t>
            </w:r>
            <w:r w:rsidRPr="007636AD">
              <w:rPr>
                <w:sz w:val="22"/>
                <w:szCs w:val="22"/>
              </w:rPr>
              <w:t>57</w:t>
            </w:r>
          </w:p>
        </w:tc>
        <w:tc>
          <w:tcPr>
            <w:tcW w:w="1701" w:type="dxa"/>
            <w:tcBorders>
              <w:top w:val="nil"/>
              <w:left w:val="nil"/>
              <w:bottom w:val="single" w:sz="4" w:space="0" w:color="auto"/>
              <w:right w:val="single" w:sz="4" w:space="0" w:color="auto"/>
            </w:tcBorders>
            <w:shd w:val="clear" w:color="auto" w:fill="auto"/>
            <w:noWrap/>
            <w:vAlign w:val="center"/>
            <w:hideMark/>
          </w:tcPr>
          <w:p w14:paraId="094D60D5" w14:textId="3A6A0A93" w:rsidR="003C0C91" w:rsidRPr="007636AD" w:rsidRDefault="003C0C91" w:rsidP="003B76E2">
            <w:pPr>
              <w:jc w:val="both"/>
              <w:rPr>
                <w:sz w:val="22"/>
                <w:szCs w:val="22"/>
              </w:rPr>
            </w:pPr>
            <w:r w:rsidRPr="007636AD">
              <w:rPr>
                <w:sz w:val="22"/>
                <w:szCs w:val="22"/>
              </w:rPr>
              <w:t>0</w:t>
            </w:r>
            <w:r w:rsidR="005A53E0">
              <w:rPr>
                <w:sz w:val="22"/>
                <w:szCs w:val="22"/>
              </w:rPr>
              <w:t>.</w:t>
            </w:r>
            <w:r w:rsidRPr="007636AD">
              <w:rPr>
                <w:sz w:val="22"/>
                <w:szCs w:val="22"/>
              </w:rPr>
              <w:t>546</w:t>
            </w:r>
          </w:p>
        </w:tc>
        <w:tc>
          <w:tcPr>
            <w:tcW w:w="1559" w:type="dxa"/>
            <w:tcBorders>
              <w:top w:val="nil"/>
              <w:left w:val="nil"/>
              <w:bottom w:val="single" w:sz="4" w:space="0" w:color="auto"/>
              <w:right w:val="single" w:sz="4" w:space="0" w:color="auto"/>
            </w:tcBorders>
            <w:shd w:val="clear" w:color="auto" w:fill="auto"/>
            <w:noWrap/>
            <w:vAlign w:val="center"/>
            <w:hideMark/>
          </w:tcPr>
          <w:p w14:paraId="788893C2" w14:textId="40E2B229" w:rsidR="003C0C91" w:rsidRPr="007636AD" w:rsidRDefault="003C0C91" w:rsidP="003B76E2">
            <w:pPr>
              <w:jc w:val="both"/>
              <w:rPr>
                <w:sz w:val="22"/>
                <w:szCs w:val="22"/>
              </w:rPr>
            </w:pPr>
            <w:r w:rsidRPr="007636AD">
              <w:rPr>
                <w:sz w:val="22"/>
                <w:szCs w:val="22"/>
              </w:rPr>
              <w:t>23</w:t>
            </w:r>
            <w:r w:rsidR="005A53E0">
              <w:rPr>
                <w:sz w:val="22"/>
                <w:szCs w:val="22"/>
              </w:rPr>
              <w:t>.</w:t>
            </w:r>
            <w:r w:rsidRPr="007636AD">
              <w:rPr>
                <w:sz w:val="22"/>
                <w:szCs w:val="22"/>
              </w:rPr>
              <w:t>74</w:t>
            </w:r>
          </w:p>
        </w:tc>
      </w:tr>
      <w:tr w:rsidR="003C0C91" w:rsidRPr="007636AD" w14:paraId="7349A2A3" w14:textId="77777777" w:rsidTr="005A53E0">
        <w:trPr>
          <w:trHeight w:val="172"/>
        </w:trPr>
        <w:tc>
          <w:tcPr>
            <w:tcW w:w="2339" w:type="dxa"/>
            <w:tcBorders>
              <w:top w:val="nil"/>
              <w:left w:val="single" w:sz="4" w:space="0" w:color="auto"/>
              <w:bottom w:val="single" w:sz="4" w:space="0" w:color="auto"/>
              <w:right w:val="single" w:sz="4" w:space="0" w:color="auto"/>
            </w:tcBorders>
            <w:shd w:val="clear" w:color="000000" w:fill="D0CECE"/>
            <w:vAlign w:val="center"/>
            <w:hideMark/>
          </w:tcPr>
          <w:p w14:paraId="59CA3D64" w14:textId="77777777" w:rsidR="003C0C91" w:rsidRPr="007636AD" w:rsidRDefault="003C0C91" w:rsidP="003B76E2">
            <w:pPr>
              <w:jc w:val="both"/>
              <w:rPr>
                <w:b/>
                <w:bCs/>
                <w:sz w:val="22"/>
                <w:szCs w:val="22"/>
              </w:rPr>
            </w:pPr>
            <w:r w:rsidRPr="007636AD">
              <w:rPr>
                <w:b/>
                <w:bCs/>
                <w:sz w:val="22"/>
                <w:szCs w:val="22"/>
              </w:rPr>
              <w:t>Maximum</w:t>
            </w:r>
          </w:p>
        </w:tc>
        <w:tc>
          <w:tcPr>
            <w:tcW w:w="1484" w:type="dxa"/>
            <w:tcBorders>
              <w:top w:val="nil"/>
              <w:left w:val="nil"/>
              <w:bottom w:val="single" w:sz="4" w:space="0" w:color="auto"/>
              <w:right w:val="single" w:sz="4" w:space="0" w:color="auto"/>
            </w:tcBorders>
            <w:shd w:val="clear" w:color="auto" w:fill="auto"/>
            <w:noWrap/>
            <w:vAlign w:val="center"/>
            <w:hideMark/>
          </w:tcPr>
          <w:p w14:paraId="3EA21652" w14:textId="60E8BD6E" w:rsidR="003C0C91" w:rsidRPr="007636AD" w:rsidRDefault="003C0C91" w:rsidP="003B76E2">
            <w:pPr>
              <w:jc w:val="both"/>
              <w:rPr>
                <w:sz w:val="22"/>
                <w:szCs w:val="22"/>
              </w:rPr>
            </w:pPr>
            <w:r w:rsidRPr="007636AD">
              <w:rPr>
                <w:sz w:val="22"/>
                <w:szCs w:val="22"/>
              </w:rPr>
              <w:t>15</w:t>
            </w:r>
            <w:r w:rsidR="005A53E0">
              <w:rPr>
                <w:sz w:val="22"/>
                <w:szCs w:val="22"/>
              </w:rPr>
              <w:t>.</w:t>
            </w:r>
            <w:r w:rsidRPr="007636AD">
              <w:rPr>
                <w:sz w:val="22"/>
                <w:szCs w:val="22"/>
              </w:rPr>
              <w:t>73</w:t>
            </w:r>
          </w:p>
        </w:tc>
        <w:tc>
          <w:tcPr>
            <w:tcW w:w="1701" w:type="dxa"/>
            <w:tcBorders>
              <w:top w:val="nil"/>
              <w:left w:val="nil"/>
              <w:bottom w:val="single" w:sz="4" w:space="0" w:color="auto"/>
              <w:right w:val="single" w:sz="4" w:space="0" w:color="auto"/>
            </w:tcBorders>
            <w:shd w:val="clear" w:color="auto" w:fill="auto"/>
            <w:noWrap/>
            <w:vAlign w:val="center"/>
            <w:hideMark/>
          </w:tcPr>
          <w:p w14:paraId="6B3F1E54" w14:textId="41E114A8" w:rsidR="003C0C91" w:rsidRPr="007636AD" w:rsidRDefault="003C0C91" w:rsidP="003B76E2">
            <w:pPr>
              <w:jc w:val="both"/>
              <w:rPr>
                <w:sz w:val="22"/>
                <w:szCs w:val="22"/>
              </w:rPr>
            </w:pPr>
            <w:r w:rsidRPr="007636AD">
              <w:rPr>
                <w:sz w:val="22"/>
                <w:szCs w:val="22"/>
              </w:rPr>
              <w:t>14</w:t>
            </w:r>
            <w:r w:rsidR="005A53E0">
              <w:rPr>
                <w:sz w:val="22"/>
                <w:szCs w:val="22"/>
              </w:rPr>
              <w:t>.</w:t>
            </w:r>
            <w:r w:rsidRPr="007636AD">
              <w:rPr>
                <w:sz w:val="22"/>
                <w:szCs w:val="22"/>
              </w:rPr>
              <w:t>16</w:t>
            </w:r>
          </w:p>
        </w:tc>
        <w:tc>
          <w:tcPr>
            <w:tcW w:w="1701" w:type="dxa"/>
            <w:tcBorders>
              <w:top w:val="nil"/>
              <w:left w:val="nil"/>
              <w:bottom w:val="single" w:sz="4" w:space="0" w:color="auto"/>
              <w:right w:val="single" w:sz="4" w:space="0" w:color="auto"/>
            </w:tcBorders>
            <w:shd w:val="clear" w:color="auto" w:fill="auto"/>
            <w:noWrap/>
            <w:vAlign w:val="center"/>
            <w:hideMark/>
          </w:tcPr>
          <w:p w14:paraId="6F7B74D9" w14:textId="6BEC7AE0" w:rsidR="003C0C91" w:rsidRPr="007636AD" w:rsidRDefault="003C0C91" w:rsidP="003B76E2">
            <w:pPr>
              <w:jc w:val="both"/>
              <w:rPr>
                <w:sz w:val="22"/>
                <w:szCs w:val="22"/>
              </w:rPr>
            </w:pPr>
            <w:r w:rsidRPr="007636AD">
              <w:rPr>
                <w:sz w:val="22"/>
                <w:szCs w:val="22"/>
              </w:rPr>
              <w:t>0</w:t>
            </w:r>
            <w:r w:rsidR="005A53E0">
              <w:rPr>
                <w:sz w:val="22"/>
                <w:szCs w:val="22"/>
              </w:rPr>
              <w:t>.</w:t>
            </w:r>
            <w:r w:rsidRPr="007636AD">
              <w:rPr>
                <w:sz w:val="22"/>
                <w:szCs w:val="22"/>
              </w:rPr>
              <w:t>777</w:t>
            </w:r>
          </w:p>
        </w:tc>
        <w:tc>
          <w:tcPr>
            <w:tcW w:w="1559" w:type="dxa"/>
            <w:tcBorders>
              <w:top w:val="nil"/>
              <w:left w:val="nil"/>
              <w:bottom w:val="single" w:sz="4" w:space="0" w:color="auto"/>
              <w:right w:val="single" w:sz="4" w:space="0" w:color="auto"/>
            </w:tcBorders>
            <w:shd w:val="clear" w:color="auto" w:fill="auto"/>
            <w:noWrap/>
            <w:vAlign w:val="center"/>
            <w:hideMark/>
          </w:tcPr>
          <w:p w14:paraId="6E3E9E3E" w14:textId="39E79DD4" w:rsidR="003C0C91" w:rsidRPr="007636AD" w:rsidRDefault="003C0C91" w:rsidP="003B76E2">
            <w:pPr>
              <w:jc w:val="both"/>
              <w:rPr>
                <w:sz w:val="22"/>
                <w:szCs w:val="22"/>
              </w:rPr>
            </w:pPr>
            <w:r w:rsidRPr="007636AD">
              <w:rPr>
                <w:sz w:val="22"/>
                <w:szCs w:val="22"/>
              </w:rPr>
              <w:t>36</w:t>
            </w:r>
            <w:r w:rsidR="005A53E0">
              <w:rPr>
                <w:sz w:val="22"/>
                <w:szCs w:val="22"/>
              </w:rPr>
              <w:t>.</w:t>
            </w:r>
            <w:r w:rsidRPr="007636AD">
              <w:rPr>
                <w:sz w:val="22"/>
                <w:szCs w:val="22"/>
              </w:rPr>
              <w:t>48</w:t>
            </w:r>
          </w:p>
        </w:tc>
      </w:tr>
      <w:tr w:rsidR="003C0C91" w:rsidRPr="007636AD" w14:paraId="4554B7DA" w14:textId="77777777" w:rsidTr="005A53E0">
        <w:trPr>
          <w:trHeight w:val="172"/>
        </w:trPr>
        <w:tc>
          <w:tcPr>
            <w:tcW w:w="2339" w:type="dxa"/>
            <w:tcBorders>
              <w:top w:val="nil"/>
              <w:left w:val="single" w:sz="4" w:space="0" w:color="auto"/>
              <w:bottom w:val="single" w:sz="4" w:space="0" w:color="auto"/>
              <w:right w:val="single" w:sz="4" w:space="0" w:color="auto"/>
            </w:tcBorders>
            <w:shd w:val="clear" w:color="000000" w:fill="D0CECE"/>
            <w:vAlign w:val="center"/>
            <w:hideMark/>
          </w:tcPr>
          <w:p w14:paraId="6AF139A1" w14:textId="77777777" w:rsidR="003C0C91" w:rsidRPr="007636AD" w:rsidRDefault="003C0C91" w:rsidP="003B76E2">
            <w:pPr>
              <w:jc w:val="both"/>
              <w:rPr>
                <w:b/>
                <w:bCs/>
                <w:sz w:val="22"/>
                <w:szCs w:val="22"/>
              </w:rPr>
            </w:pPr>
            <w:r w:rsidRPr="007636AD">
              <w:rPr>
                <w:b/>
                <w:bCs/>
                <w:sz w:val="22"/>
                <w:szCs w:val="22"/>
              </w:rPr>
              <w:t>Range</w:t>
            </w:r>
          </w:p>
        </w:tc>
        <w:tc>
          <w:tcPr>
            <w:tcW w:w="1484" w:type="dxa"/>
            <w:tcBorders>
              <w:top w:val="nil"/>
              <w:left w:val="nil"/>
              <w:bottom w:val="single" w:sz="4" w:space="0" w:color="auto"/>
              <w:right w:val="single" w:sz="4" w:space="0" w:color="auto"/>
            </w:tcBorders>
            <w:shd w:val="clear" w:color="auto" w:fill="auto"/>
            <w:noWrap/>
            <w:vAlign w:val="center"/>
            <w:hideMark/>
          </w:tcPr>
          <w:p w14:paraId="433CBD6A" w14:textId="319A79BE" w:rsidR="003C0C91" w:rsidRPr="007636AD" w:rsidRDefault="003C0C91" w:rsidP="003B76E2">
            <w:pPr>
              <w:jc w:val="both"/>
              <w:rPr>
                <w:sz w:val="22"/>
                <w:szCs w:val="22"/>
              </w:rPr>
            </w:pPr>
            <w:r w:rsidRPr="007636AD">
              <w:rPr>
                <w:sz w:val="22"/>
                <w:szCs w:val="22"/>
              </w:rPr>
              <w:t>12</w:t>
            </w:r>
            <w:r w:rsidR="005A53E0">
              <w:rPr>
                <w:sz w:val="22"/>
                <w:szCs w:val="22"/>
              </w:rPr>
              <w:t>.</w:t>
            </w:r>
            <w:r w:rsidRPr="007636AD">
              <w:rPr>
                <w:sz w:val="22"/>
                <w:szCs w:val="22"/>
              </w:rPr>
              <w:t>04</w:t>
            </w:r>
          </w:p>
        </w:tc>
        <w:tc>
          <w:tcPr>
            <w:tcW w:w="1701" w:type="dxa"/>
            <w:tcBorders>
              <w:top w:val="nil"/>
              <w:left w:val="nil"/>
              <w:bottom w:val="single" w:sz="4" w:space="0" w:color="auto"/>
              <w:right w:val="single" w:sz="4" w:space="0" w:color="auto"/>
            </w:tcBorders>
            <w:shd w:val="clear" w:color="auto" w:fill="auto"/>
            <w:noWrap/>
            <w:vAlign w:val="center"/>
            <w:hideMark/>
          </w:tcPr>
          <w:p w14:paraId="0C3B62F4" w14:textId="5D62B8D4" w:rsidR="003C0C91" w:rsidRPr="007636AD" w:rsidRDefault="003C0C91" w:rsidP="003B76E2">
            <w:pPr>
              <w:jc w:val="both"/>
              <w:rPr>
                <w:sz w:val="22"/>
                <w:szCs w:val="22"/>
              </w:rPr>
            </w:pPr>
            <w:r w:rsidRPr="007636AD">
              <w:rPr>
                <w:sz w:val="22"/>
                <w:szCs w:val="22"/>
              </w:rPr>
              <w:t>11</w:t>
            </w:r>
            <w:r w:rsidR="005A53E0">
              <w:rPr>
                <w:sz w:val="22"/>
                <w:szCs w:val="22"/>
              </w:rPr>
              <w:t>.</w:t>
            </w:r>
            <w:r w:rsidRPr="007636AD">
              <w:rPr>
                <w:sz w:val="22"/>
                <w:szCs w:val="22"/>
              </w:rPr>
              <w:t>48</w:t>
            </w:r>
          </w:p>
        </w:tc>
        <w:tc>
          <w:tcPr>
            <w:tcW w:w="1701" w:type="dxa"/>
            <w:tcBorders>
              <w:top w:val="nil"/>
              <w:left w:val="nil"/>
              <w:bottom w:val="single" w:sz="4" w:space="0" w:color="auto"/>
              <w:right w:val="single" w:sz="4" w:space="0" w:color="auto"/>
            </w:tcBorders>
            <w:shd w:val="clear" w:color="auto" w:fill="auto"/>
            <w:noWrap/>
            <w:vAlign w:val="center"/>
            <w:hideMark/>
          </w:tcPr>
          <w:p w14:paraId="5D4FDD24" w14:textId="1ACEEC15" w:rsidR="003C0C91" w:rsidRPr="007636AD" w:rsidRDefault="003C0C91" w:rsidP="003B76E2">
            <w:pPr>
              <w:jc w:val="both"/>
              <w:rPr>
                <w:sz w:val="22"/>
                <w:szCs w:val="22"/>
              </w:rPr>
            </w:pPr>
            <w:r w:rsidRPr="007636AD">
              <w:rPr>
                <w:sz w:val="22"/>
                <w:szCs w:val="22"/>
              </w:rPr>
              <w:t>0</w:t>
            </w:r>
            <w:r w:rsidR="005A53E0">
              <w:rPr>
                <w:sz w:val="22"/>
                <w:szCs w:val="22"/>
              </w:rPr>
              <w:t>.</w:t>
            </w:r>
            <w:r w:rsidRPr="007636AD">
              <w:rPr>
                <w:sz w:val="22"/>
                <w:szCs w:val="22"/>
              </w:rPr>
              <w:t>53</w:t>
            </w:r>
          </w:p>
        </w:tc>
        <w:tc>
          <w:tcPr>
            <w:tcW w:w="1559" w:type="dxa"/>
            <w:tcBorders>
              <w:top w:val="nil"/>
              <w:left w:val="nil"/>
              <w:bottom w:val="single" w:sz="4" w:space="0" w:color="auto"/>
              <w:right w:val="single" w:sz="4" w:space="0" w:color="auto"/>
            </w:tcBorders>
            <w:shd w:val="clear" w:color="auto" w:fill="auto"/>
            <w:noWrap/>
            <w:vAlign w:val="center"/>
            <w:hideMark/>
          </w:tcPr>
          <w:p w14:paraId="5BE39840" w14:textId="2DCD6937" w:rsidR="003C0C91" w:rsidRPr="007636AD" w:rsidRDefault="003C0C91" w:rsidP="003B76E2">
            <w:pPr>
              <w:jc w:val="both"/>
              <w:rPr>
                <w:sz w:val="22"/>
                <w:szCs w:val="22"/>
              </w:rPr>
            </w:pPr>
            <w:r w:rsidRPr="007636AD">
              <w:rPr>
                <w:sz w:val="22"/>
                <w:szCs w:val="22"/>
              </w:rPr>
              <w:t>16</w:t>
            </w:r>
            <w:r w:rsidR="005A53E0">
              <w:rPr>
                <w:sz w:val="22"/>
                <w:szCs w:val="22"/>
              </w:rPr>
              <w:t>.</w:t>
            </w:r>
            <w:r w:rsidRPr="007636AD">
              <w:rPr>
                <w:sz w:val="22"/>
                <w:szCs w:val="22"/>
              </w:rPr>
              <w:t>5</w:t>
            </w:r>
          </w:p>
        </w:tc>
      </w:tr>
      <w:tr w:rsidR="003C0C91" w:rsidRPr="007636AD" w14:paraId="1E6519EC" w14:textId="77777777" w:rsidTr="005A53E0">
        <w:trPr>
          <w:trHeight w:val="172"/>
        </w:trPr>
        <w:tc>
          <w:tcPr>
            <w:tcW w:w="2339" w:type="dxa"/>
            <w:tcBorders>
              <w:top w:val="nil"/>
              <w:left w:val="single" w:sz="4" w:space="0" w:color="auto"/>
              <w:bottom w:val="single" w:sz="4" w:space="0" w:color="auto"/>
              <w:right w:val="single" w:sz="4" w:space="0" w:color="auto"/>
            </w:tcBorders>
            <w:shd w:val="clear" w:color="000000" w:fill="D0CECE"/>
            <w:vAlign w:val="center"/>
            <w:hideMark/>
          </w:tcPr>
          <w:p w14:paraId="5E1DEF8C" w14:textId="77777777" w:rsidR="003C0C91" w:rsidRPr="007636AD" w:rsidRDefault="003C0C91" w:rsidP="003B76E2">
            <w:pPr>
              <w:jc w:val="both"/>
              <w:rPr>
                <w:b/>
                <w:bCs/>
                <w:sz w:val="22"/>
                <w:szCs w:val="22"/>
              </w:rPr>
            </w:pPr>
            <w:r w:rsidRPr="007636AD">
              <w:rPr>
                <w:b/>
                <w:bCs/>
                <w:sz w:val="22"/>
                <w:szCs w:val="22"/>
              </w:rPr>
              <w:t>Mean</w:t>
            </w:r>
          </w:p>
        </w:tc>
        <w:tc>
          <w:tcPr>
            <w:tcW w:w="1484" w:type="dxa"/>
            <w:tcBorders>
              <w:top w:val="nil"/>
              <w:left w:val="nil"/>
              <w:bottom w:val="single" w:sz="4" w:space="0" w:color="auto"/>
              <w:right w:val="single" w:sz="4" w:space="0" w:color="auto"/>
            </w:tcBorders>
            <w:shd w:val="clear" w:color="auto" w:fill="auto"/>
            <w:noWrap/>
            <w:vAlign w:val="center"/>
            <w:hideMark/>
          </w:tcPr>
          <w:p w14:paraId="3D7BC765" w14:textId="067F3C4D" w:rsidR="003C0C91" w:rsidRPr="007636AD" w:rsidRDefault="003C0C91" w:rsidP="003B76E2">
            <w:pPr>
              <w:jc w:val="both"/>
              <w:rPr>
                <w:sz w:val="22"/>
                <w:szCs w:val="22"/>
              </w:rPr>
            </w:pPr>
            <w:r w:rsidRPr="007636AD">
              <w:rPr>
                <w:sz w:val="22"/>
                <w:szCs w:val="22"/>
              </w:rPr>
              <w:t>10</w:t>
            </w:r>
            <w:r w:rsidR="005A53E0">
              <w:rPr>
                <w:sz w:val="22"/>
                <w:szCs w:val="22"/>
              </w:rPr>
              <w:t>.</w:t>
            </w:r>
            <w:r w:rsidRPr="007636AD">
              <w:rPr>
                <w:sz w:val="22"/>
                <w:szCs w:val="22"/>
              </w:rPr>
              <w:t>32</w:t>
            </w:r>
          </w:p>
        </w:tc>
        <w:tc>
          <w:tcPr>
            <w:tcW w:w="1701" w:type="dxa"/>
            <w:tcBorders>
              <w:top w:val="nil"/>
              <w:left w:val="nil"/>
              <w:bottom w:val="single" w:sz="4" w:space="0" w:color="auto"/>
              <w:right w:val="single" w:sz="4" w:space="0" w:color="auto"/>
            </w:tcBorders>
            <w:shd w:val="clear" w:color="auto" w:fill="auto"/>
            <w:noWrap/>
            <w:vAlign w:val="center"/>
            <w:hideMark/>
          </w:tcPr>
          <w:p w14:paraId="509D38FE" w14:textId="5A9F21C4" w:rsidR="003C0C91" w:rsidRPr="007636AD" w:rsidRDefault="003C0C91" w:rsidP="003B76E2">
            <w:pPr>
              <w:jc w:val="both"/>
              <w:rPr>
                <w:sz w:val="22"/>
                <w:szCs w:val="22"/>
              </w:rPr>
            </w:pPr>
            <w:r w:rsidRPr="007636AD">
              <w:rPr>
                <w:sz w:val="22"/>
                <w:szCs w:val="22"/>
              </w:rPr>
              <w:t>8</w:t>
            </w:r>
            <w:r w:rsidR="005A53E0">
              <w:rPr>
                <w:sz w:val="22"/>
                <w:szCs w:val="22"/>
              </w:rPr>
              <w:t>.</w:t>
            </w:r>
            <w:r w:rsidRPr="007636AD">
              <w:rPr>
                <w:sz w:val="22"/>
                <w:szCs w:val="22"/>
              </w:rPr>
              <w:t>083</w:t>
            </w:r>
          </w:p>
        </w:tc>
        <w:tc>
          <w:tcPr>
            <w:tcW w:w="1701" w:type="dxa"/>
            <w:tcBorders>
              <w:top w:val="nil"/>
              <w:left w:val="nil"/>
              <w:bottom w:val="single" w:sz="4" w:space="0" w:color="auto"/>
              <w:right w:val="single" w:sz="4" w:space="0" w:color="auto"/>
            </w:tcBorders>
            <w:shd w:val="clear" w:color="auto" w:fill="auto"/>
            <w:noWrap/>
            <w:vAlign w:val="center"/>
            <w:hideMark/>
          </w:tcPr>
          <w:p w14:paraId="3AA0572B" w14:textId="7FE9AD00" w:rsidR="003C0C91" w:rsidRPr="007636AD" w:rsidRDefault="003C0C91" w:rsidP="003B76E2">
            <w:pPr>
              <w:jc w:val="both"/>
              <w:rPr>
                <w:sz w:val="22"/>
                <w:szCs w:val="22"/>
              </w:rPr>
            </w:pPr>
            <w:r w:rsidRPr="007636AD">
              <w:rPr>
                <w:sz w:val="22"/>
                <w:szCs w:val="22"/>
              </w:rPr>
              <w:t>0</w:t>
            </w:r>
            <w:r w:rsidR="005A53E0">
              <w:rPr>
                <w:sz w:val="22"/>
                <w:szCs w:val="22"/>
              </w:rPr>
              <w:t>.</w:t>
            </w:r>
            <w:r w:rsidRPr="007636AD">
              <w:rPr>
                <w:sz w:val="22"/>
                <w:szCs w:val="22"/>
              </w:rPr>
              <w:t>444</w:t>
            </w:r>
          </w:p>
        </w:tc>
        <w:tc>
          <w:tcPr>
            <w:tcW w:w="1559" w:type="dxa"/>
            <w:tcBorders>
              <w:top w:val="nil"/>
              <w:left w:val="nil"/>
              <w:bottom w:val="single" w:sz="4" w:space="0" w:color="auto"/>
              <w:right w:val="single" w:sz="4" w:space="0" w:color="auto"/>
            </w:tcBorders>
            <w:shd w:val="clear" w:color="auto" w:fill="auto"/>
            <w:noWrap/>
            <w:vAlign w:val="center"/>
            <w:hideMark/>
          </w:tcPr>
          <w:p w14:paraId="343CDFDE" w14:textId="61CBDF66" w:rsidR="003C0C91" w:rsidRPr="007636AD" w:rsidRDefault="003C0C91" w:rsidP="003B76E2">
            <w:pPr>
              <w:jc w:val="both"/>
              <w:rPr>
                <w:sz w:val="22"/>
                <w:szCs w:val="22"/>
              </w:rPr>
            </w:pPr>
            <w:r w:rsidRPr="007636AD">
              <w:rPr>
                <w:sz w:val="22"/>
                <w:szCs w:val="22"/>
              </w:rPr>
              <w:t>23</w:t>
            </w:r>
            <w:r w:rsidR="005A53E0">
              <w:rPr>
                <w:sz w:val="22"/>
                <w:szCs w:val="22"/>
              </w:rPr>
              <w:t>.</w:t>
            </w:r>
            <w:r w:rsidRPr="007636AD">
              <w:rPr>
                <w:sz w:val="22"/>
                <w:szCs w:val="22"/>
              </w:rPr>
              <w:t>83</w:t>
            </w:r>
          </w:p>
        </w:tc>
      </w:tr>
      <w:tr w:rsidR="003C0C91" w:rsidRPr="007636AD" w14:paraId="41AA0DDA" w14:textId="77777777" w:rsidTr="005A53E0">
        <w:trPr>
          <w:trHeight w:val="345"/>
        </w:trPr>
        <w:tc>
          <w:tcPr>
            <w:tcW w:w="2339" w:type="dxa"/>
            <w:tcBorders>
              <w:top w:val="nil"/>
              <w:left w:val="single" w:sz="4" w:space="0" w:color="auto"/>
              <w:bottom w:val="single" w:sz="4" w:space="0" w:color="auto"/>
              <w:right w:val="single" w:sz="4" w:space="0" w:color="auto"/>
            </w:tcBorders>
            <w:shd w:val="clear" w:color="000000" w:fill="D0CECE"/>
            <w:vAlign w:val="center"/>
            <w:hideMark/>
          </w:tcPr>
          <w:p w14:paraId="27A03725" w14:textId="77777777" w:rsidR="003C0C91" w:rsidRPr="007636AD" w:rsidRDefault="003C0C91" w:rsidP="003B76E2">
            <w:pPr>
              <w:jc w:val="both"/>
              <w:rPr>
                <w:b/>
                <w:bCs/>
                <w:sz w:val="22"/>
                <w:szCs w:val="22"/>
              </w:rPr>
            </w:pPr>
            <w:r w:rsidRPr="007636AD">
              <w:rPr>
                <w:b/>
                <w:bCs/>
                <w:sz w:val="22"/>
                <w:szCs w:val="22"/>
              </w:rPr>
              <w:t>Std. Deviation</w:t>
            </w:r>
          </w:p>
        </w:tc>
        <w:tc>
          <w:tcPr>
            <w:tcW w:w="1484" w:type="dxa"/>
            <w:tcBorders>
              <w:top w:val="nil"/>
              <w:left w:val="nil"/>
              <w:bottom w:val="single" w:sz="4" w:space="0" w:color="auto"/>
              <w:right w:val="single" w:sz="4" w:space="0" w:color="auto"/>
            </w:tcBorders>
            <w:shd w:val="clear" w:color="auto" w:fill="auto"/>
            <w:noWrap/>
            <w:vAlign w:val="center"/>
            <w:hideMark/>
          </w:tcPr>
          <w:p w14:paraId="48705A10" w14:textId="51EE93EB" w:rsidR="003C0C91" w:rsidRPr="007636AD" w:rsidRDefault="003C0C91" w:rsidP="003B76E2">
            <w:pPr>
              <w:jc w:val="both"/>
              <w:rPr>
                <w:sz w:val="22"/>
                <w:szCs w:val="22"/>
              </w:rPr>
            </w:pPr>
            <w:r w:rsidRPr="007636AD">
              <w:rPr>
                <w:sz w:val="22"/>
                <w:szCs w:val="22"/>
              </w:rPr>
              <w:t>5</w:t>
            </w:r>
            <w:r w:rsidR="005A53E0">
              <w:rPr>
                <w:sz w:val="22"/>
                <w:szCs w:val="22"/>
              </w:rPr>
              <w:t>.</w:t>
            </w:r>
            <w:r w:rsidRPr="007636AD">
              <w:rPr>
                <w:sz w:val="22"/>
                <w:szCs w:val="22"/>
              </w:rPr>
              <w:t>69</w:t>
            </w:r>
          </w:p>
        </w:tc>
        <w:tc>
          <w:tcPr>
            <w:tcW w:w="1701" w:type="dxa"/>
            <w:tcBorders>
              <w:top w:val="nil"/>
              <w:left w:val="nil"/>
              <w:bottom w:val="single" w:sz="4" w:space="0" w:color="auto"/>
              <w:right w:val="single" w:sz="4" w:space="0" w:color="auto"/>
            </w:tcBorders>
            <w:shd w:val="clear" w:color="auto" w:fill="auto"/>
            <w:noWrap/>
            <w:vAlign w:val="center"/>
            <w:hideMark/>
          </w:tcPr>
          <w:p w14:paraId="193BE691" w14:textId="44874328" w:rsidR="003C0C91" w:rsidRPr="007636AD" w:rsidRDefault="003C0C91" w:rsidP="003B76E2">
            <w:pPr>
              <w:jc w:val="both"/>
              <w:rPr>
                <w:sz w:val="22"/>
                <w:szCs w:val="22"/>
              </w:rPr>
            </w:pPr>
            <w:r w:rsidRPr="007636AD">
              <w:rPr>
                <w:sz w:val="22"/>
                <w:szCs w:val="22"/>
              </w:rPr>
              <w:t>5</w:t>
            </w:r>
            <w:r w:rsidR="005A53E0">
              <w:rPr>
                <w:sz w:val="22"/>
                <w:szCs w:val="22"/>
              </w:rPr>
              <w:t>.</w:t>
            </w:r>
            <w:r w:rsidRPr="007636AD">
              <w:rPr>
                <w:sz w:val="22"/>
                <w:szCs w:val="22"/>
              </w:rPr>
              <w:t>747</w:t>
            </w:r>
          </w:p>
        </w:tc>
        <w:tc>
          <w:tcPr>
            <w:tcW w:w="1701" w:type="dxa"/>
            <w:tcBorders>
              <w:top w:val="nil"/>
              <w:left w:val="nil"/>
              <w:bottom w:val="single" w:sz="4" w:space="0" w:color="auto"/>
              <w:right w:val="single" w:sz="4" w:space="0" w:color="auto"/>
            </w:tcBorders>
            <w:shd w:val="clear" w:color="auto" w:fill="auto"/>
            <w:noWrap/>
            <w:vAlign w:val="center"/>
            <w:hideMark/>
          </w:tcPr>
          <w:p w14:paraId="2A08F87B" w14:textId="6471C3E6" w:rsidR="003C0C91" w:rsidRPr="007636AD" w:rsidRDefault="003C0C91" w:rsidP="003B76E2">
            <w:pPr>
              <w:jc w:val="both"/>
              <w:rPr>
                <w:sz w:val="22"/>
                <w:szCs w:val="22"/>
              </w:rPr>
            </w:pPr>
            <w:r w:rsidRPr="007636AD">
              <w:rPr>
                <w:sz w:val="22"/>
                <w:szCs w:val="22"/>
              </w:rPr>
              <w:t>0</w:t>
            </w:r>
            <w:r w:rsidR="005A53E0">
              <w:rPr>
                <w:sz w:val="22"/>
                <w:szCs w:val="22"/>
              </w:rPr>
              <w:t>.</w:t>
            </w:r>
            <w:r w:rsidRPr="007636AD">
              <w:rPr>
                <w:sz w:val="22"/>
                <w:szCs w:val="22"/>
              </w:rPr>
              <w:t>1797</w:t>
            </w:r>
          </w:p>
        </w:tc>
        <w:tc>
          <w:tcPr>
            <w:tcW w:w="1559" w:type="dxa"/>
            <w:tcBorders>
              <w:top w:val="nil"/>
              <w:left w:val="nil"/>
              <w:bottom w:val="single" w:sz="4" w:space="0" w:color="auto"/>
              <w:right w:val="single" w:sz="4" w:space="0" w:color="auto"/>
            </w:tcBorders>
            <w:shd w:val="clear" w:color="auto" w:fill="auto"/>
            <w:noWrap/>
            <w:vAlign w:val="center"/>
            <w:hideMark/>
          </w:tcPr>
          <w:p w14:paraId="35315C2E" w14:textId="5A02CC32" w:rsidR="003C0C91" w:rsidRPr="007636AD" w:rsidRDefault="003C0C91" w:rsidP="003B76E2">
            <w:pPr>
              <w:jc w:val="both"/>
              <w:rPr>
                <w:sz w:val="22"/>
                <w:szCs w:val="22"/>
              </w:rPr>
            </w:pPr>
            <w:r w:rsidRPr="007636AD">
              <w:rPr>
                <w:sz w:val="22"/>
                <w:szCs w:val="22"/>
              </w:rPr>
              <w:t>5</w:t>
            </w:r>
            <w:r w:rsidR="005A53E0">
              <w:rPr>
                <w:sz w:val="22"/>
                <w:szCs w:val="22"/>
              </w:rPr>
              <w:t>.</w:t>
            </w:r>
            <w:r w:rsidRPr="007636AD">
              <w:rPr>
                <w:sz w:val="22"/>
                <w:szCs w:val="22"/>
              </w:rPr>
              <w:t>266</w:t>
            </w:r>
          </w:p>
        </w:tc>
      </w:tr>
      <w:tr w:rsidR="003C0C91" w:rsidRPr="007636AD" w14:paraId="2B3944DC" w14:textId="77777777" w:rsidTr="005A53E0">
        <w:trPr>
          <w:trHeight w:val="345"/>
        </w:trPr>
        <w:tc>
          <w:tcPr>
            <w:tcW w:w="2339" w:type="dxa"/>
            <w:tcBorders>
              <w:top w:val="nil"/>
              <w:left w:val="single" w:sz="4" w:space="0" w:color="auto"/>
              <w:bottom w:val="single" w:sz="4" w:space="0" w:color="auto"/>
              <w:right w:val="single" w:sz="4" w:space="0" w:color="auto"/>
            </w:tcBorders>
            <w:shd w:val="clear" w:color="000000" w:fill="D0CECE"/>
            <w:vAlign w:val="center"/>
          </w:tcPr>
          <w:p w14:paraId="33E2466D" w14:textId="77777777" w:rsidR="003C0C91" w:rsidRPr="007636AD" w:rsidRDefault="003C0C91" w:rsidP="003B76E2">
            <w:pPr>
              <w:jc w:val="both"/>
              <w:rPr>
                <w:b/>
                <w:bCs/>
                <w:sz w:val="22"/>
                <w:szCs w:val="22"/>
              </w:rPr>
            </w:pPr>
            <w:r w:rsidRPr="007636AD">
              <w:rPr>
                <w:b/>
                <w:bCs/>
                <w:sz w:val="22"/>
                <w:szCs w:val="22"/>
              </w:rPr>
              <w:t>Std. Error of Mean</w:t>
            </w:r>
          </w:p>
        </w:tc>
        <w:tc>
          <w:tcPr>
            <w:tcW w:w="1484" w:type="dxa"/>
            <w:tcBorders>
              <w:top w:val="nil"/>
              <w:left w:val="nil"/>
              <w:bottom w:val="single" w:sz="4" w:space="0" w:color="auto"/>
              <w:right w:val="single" w:sz="4" w:space="0" w:color="auto"/>
            </w:tcBorders>
            <w:shd w:val="clear" w:color="auto" w:fill="auto"/>
            <w:noWrap/>
            <w:vAlign w:val="center"/>
          </w:tcPr>
          <w:p w14:paraId="0AB4A276" w14:textId="6A8AF6C9" w:rsidR="003C0C91" w:rsidRPr="007636AD" w:rsidRDefault="003C0C91" w:rsidP="003B76E2">
            <w:pPr>
              <w:jc w:val="both"/>
              <w:rPr>
                <w:sz w:val="22"/>
                <w:szCs w:val="22"/>
              </w:rPr>
            </w:pPr>
            <w:r w:rsidRPr="007636AD">
              <w:rPr>
                <w:sz w:val="22"/>
                <w:szCs w:val="22"/>
              </w:rPr>
              <w:t>2</w:t>
            </w:r>
            <w:r w:rsidR="005A53E0">
              <w:rPr>
                <w:sz w:val="22"/>
                <w:szCs w:val="22"/>
              </w:rPr>
              <w:t>.</w:t>
            </w:r>
            <w:r w:rsidRPr="007636AD">
              <w:rPr>
                <w:sz w:val="22"/>
                <w:szCs w:val="22"/>
              </w:rPr>
              <w:t>845</w:t>
            </w:r>
          </w:p>
        </w:tc>
        <w:tc>
          <w:tcPr>
            <w:tcW w:w="1701" w:type="dxa"/>
            <w:tcBorders>
              <w:top w:val="nil"/>
              <w:left w:val="nil"/>
              <w:bottom w:val="single" w:sz="4" w:space="0" w:color="auto"/>
              <w:right w:val="single" w:sz="4" w:space="0" w:color="auto"/>
            </w:tcBorders>
            <w:shd w:val="clear" w:color="auto" w:fill="auto"/>
            <w:noWrap/>
            <w:vAlign w:val="center"/>
          </w:tcPr>
          <w:p w14:paraId="4EC93AB2" w14:textId="295D8205" w:rsidR="003C0C91" w:rsidRPr="007636AD" w:rsidRDefault="003C0C91" w:rsidP="003B76E2">
            <w:pPr>
              <w:jc w:val="both"/>
              <w:rPr>
                <w:sz w:val="22"/>
                <w:szCs w:val="22"/>
              </w:rPr>
            </w:pPr>
            <w:r w:rsidRPr="007636AD">
              <w:rPr>
                <w:sz w:val="22"/>
                <w:szCs w:val="22"/>
              </w:rPr>
              <w:t>2</w:t>
            </w:r>
            <w:r w:rsidR="005A53E0">
              <w:rPr>
                <w:sz w:val="22"/>
                <w:szCs w:val="22"/>
              </w:rPr>
              <w:t>.</w:t>
            </w:r>
            <w:r w:rsidRPr="007636AD">
              <w:rPr>
                <w:sz w:val="22"/>
                <w:szCs w:val="22"/>
              </w:rPr>
              <w:t>873</w:t>
            </w:r>
          </w:p>
        </w:tc>
        <w:tc>
          <w:tcPr>
            <w:tcW w:w="1701" w:type="dxa"/>
            <w:tcBorders>
              <w:top w:val="nil"/>
              <w:left w:val="nil"/>
              <w:bottom w:val="single" w:sz="4" w:space="0" w:color="auto"/>
              <w:right w:val="single" w:sz="4" w:space="0" w:color="auto"/>
            </w:tcBorders>
            <w:shd w:val="clear" w:color="auto" w:fill="auto"/>
            <w:noWrap/>
            <w:vAlign w:val="center"/>
          </w:tcPr>
          <w:p w14:paraId="18DD907D" w14:textId="70915AFC" w:rsidR="003C0C91" w:rsidRPr="007636AD" w:rsidRDefault="003C0C91" w:rsidP="003B76E2">
            <w:pPr>
              <w:jc w:val="both"/>
              <w:rPr>
                <w:sz w:val="22"/>
                <w:szCs w:val="22"/>
              </w:rPr>
            </w:pPr>
            <w:r w:rsidRPr="007636AD">
              <w:rPr>
                <w:sz w:val="22"/>
                <w:szCs w:val="22"/>
              </w:rPr>
              <w:t>0</w:t>
            </w:r>
            <w:r w:rsidR="005A53E0">
              <w:rPr>
                <w:sz w:val="22"/>
                <w:szCs w:val="22"/>
              </w:rPr>
              <w:t>.</w:t>
            </w:r>
            <w:r w:rsidRPr="007636AD">
              <w:rPr>
                <w:sz w:val="22"/>
                <w:szCs w:val="22"/>
              </w:rPr>
              <w:t>07336</w:t>
            </w:r>
          </w:p>
        </w:tc>
        <w:tc>
          <w:tcPr>
            <w:tcW w:w="1559" w:type="dxa"/>
            <w:tcBorders>
              <w:top w:val="nil"/>
              <w:left w:val="nil"/>
              <w:bottom w:val="single" w:sz="4" w:space="0" w:color="auto"/>
              <w:right w:val="single" w:sz="4" w:space="0" w:color="auto"/>
            </w:tcBorders>
            <w:shd w:val="clear" w:color="auto" w:fill="auto"/>
            <w:noWrap/>
            <w:vAlign w:val="center"/>
          </w:tcPr>
          <w:p w14:paraId="06FCCC60" w14:textId="58C8A158" w:rsidR="003C0C91" w:rsidRPr="007636AD" w:rsidRDefault="003C0C91" w:rsidP="003B76E2">
            <w:pPr>
              <w:jc w:val="both"/>
              <w:rPr>
                <w:sz w:val="22"/>
                <w:szCs w:val="22"/>
              </w:rPr>
            </w:pPr>
            <w:r w:rsidRPr="007636AD">
              <w:rPr>
                <w:sz w:val="22"/>
                <w:szCs w:val="22"/>
              </w:rPr>
              <w:t>1</w:t>
            </w:r>
            <w:r w:rsidR="005A53E0">
              <w:rPr>
                <w:sz w:val="22"/>
                <w:szCs w:val="22"/>
              </w:rPr>
              <w:t>.</w:t>
            </w:r>
            <w:r w:rsidRPr="007636AD">
              <w:rPr>
                <w:sz w:val="22"/>
                <w:szCs w:val="22"/>
              </w:rPr>
              <w:t>862</w:t>
            </w:r>
          </w:p>
        </w:tc>
      </w:tr>
    </w:tbl>
    <w:p w14:paraId="20EEB688" w14:textId="5D7210BE" w:rsidR="003C0C91" w:rsidRDefault="003C0C91" w:rsidP="003B76E2">
      <w:pPr>
        <w:jc w:val="both"/>
        <w:rPr>
          <w:lang w:val="en-US"/>
        </w:rPr>
      </w:pPr>
    </w:p>
    <w:tbl>
      <w:tblPr>
        <w:tblW w:w="8784" w:type="dxa"/>
        <w:tblCellMar>
          <w:left w:w="70" w:type="dxa"/>
          <w:right w:w="70" w:type="dxa"/>
        </w:tblCellMar>
        <w:tblLook w:val="04A0" w:firstRow="1" w:lastRow="0" w:firstColumn="1" w:lastColumn="0" w:noHBand="0" w:noVBand="1"/>
      </w:tblPr>
      <w:tblGrid>
        <w:gridCol w:w="2435"/>
        <w:gridCol w:w="1388"/>
        <w:gridCol w:w="1701"/>
        <w:gridCol w:w="1701"/>
        <w:gridCol w:w="1559"/>
      </w:tblGrid>
      <w:tr w:rsidR="002F6663" w:rsidRPr="007636AD" w14:paraId="796EF2C9" w14:textId="77777777" w:rsidTr="005A53E0">
        <w:trPr>
          <w:trHeight w:val="291"/>
        </w:trPr>
        <w:tc>
          <w:tcPr>
            <w:tcW w:w="2435" w:type="dxa"/>
            <w:tcBorders>
              <w:top w:val="single" w:sz="4" w:space="0" w:color="auto"/>
              <w:left w:val="single" w:sz="4" w:space="0" w:color="auto"/>
              <w:bottom w:val="single" w:sz="4" w:space="0" w:color="auto"/>
              <w:right w:val="single" w:sz="4" w:space="0" w:color="auto"/>
            </w:tcBorders>
            <w:shd w:val="clear" w:color="000000" w:fill="AEAAAA"/>
            <w:noWrap/>
            <w:vAlign w:val="center"/>
            <w:hideMark/>
          </w:tcPr>
          <w:p w14:paraId="68FD30C5" w14:textId="2F256F36" w:rsidR="002F6663" w:rsidRPr="007636AD" w:rsidRDefault="007636AD" w:rsidP="003B76E2">
            <w:pPr>
              <w:jc w:val="both"/>
              <w:rPr>
                <w:b/>
                <w:bCs/>
                <w:sz w:val="22"/>
                <w:szCs w:val="22"/>
              </w:rPr>
            </w:pPr>
            <w:r>
              <w:rPr>
                <w:b/>
                <w:bCs/>
                <w:sz w:val="22"/>
                <w:szCs w:val="22"/>
              </w:rPr>
              <w:lastRenderedPageBreak/>
              <w:t>t</w:t>
            </w:r>
            <w:r w:rsidR="002F6663" w:rsidRPr="007636AD">
              <w:rPr>
                <w:b/>
                <w:bCs/>
                <w:sz w:val="22"/>
                <w:szCs w:val="22"/>
              </w:rPr>
              <w:t>max</w:t>
            </w:r>
          </w:p>
        </w:tc>
        <w:tc>
          <w:tcPr>
            <w:tcW w:w="1388" w:type="dxa"/>
            <w:tcBorders>
              <w:top w:val="single" w:sz="4" w:space="0" w:color="auto"/>
              <w:left w:val="nil"/>
              <w:bottom w:val="single" w:sz="4" w:space="0" w:color="auto"/>
              <w:right w:val="single" w:sz="4" w:space="0" w:color="auto"/>
            </w:tcBorders>
            <w:shd w:val="clear" w:color="000000" w:fill="AEAAAA"/>
            <w:noWrap/>
            <w:vAlign w:val="center"/>
            <w:hideMark/>
          </w:tcPr>
          <w:p w14:paraId="5444EDC0" w14:textId="1991BF3D" w:rsidR="002F6663" w:rsidRPr="007636AD" w:rsidRDefault="002F6663" w:rsidP="003B76E2">
            <w:pPr>
              <w:jc w:val="both"/>
              <w:rPr>
                <w:b/>
                <w:bCs/>
                <w:sz w:val="22"/>
                <w:szCs w:val="22"/>
              </w:rPr>
            </w:pPr>
            <w:r w:rsidRPr="007636AD">
              <w:rPr>
                <w:b/>
                <w:bCs/>
                <w:sz w:val="22"/>
                <w:szCs w:val="22"/>
              </w:rPr>
              <w:t>BR (sec)</w:t>
            </w:r>
          </w:p>
        </w:tc>
        <w:tc>
          <w:tcPr>
            <w:tcW w:w="1701" w:type="dxa"/>
            <w:tcBorders>
              <w:top w:val="single" w:sz="4" w:space="0" w:color="auto"/>
              <w:left w:val="nil"/>
              <w:bottom w:val="single" w:sz="4" w:space="0" w:color="auto"/>
              <w:right w:val="single" w:sz="4" w:space="0" w:color="auto"/>
            </w:tcBorders>
            <w:shd w:val="clear" w:color="000000" w:fill="AEAAAA"/>
            <w:noWrap/>
            <w:vAlign w:val="center"/>
            <w:hideMark/>
          </w:tcPr>
          <w:p w14:paraId="7361C613" w14:textId="2D886B12" w:rsidR="002F6663" w:rsidRPr="007636AD" w:rsidRDefault="002F6663" w:rsidP="003B76E2">
            <w:pPr>
              <w:jc w:val="both"/>
              <w:rPr>
                <w:b/>
                <w:bCs/>
                <w:sz w:val="22"/>
                <w:szCs w:val="22"/>
              </w:rPr>
            </w:pPr>
            <w:r w:rsidRPr="007636AD">
              <w:rPr>
                <w:b/>
                <w:bCs/>
                <w:sz w:val="22"/>
                <w:szCs w:val="22"/>
              </w:rPr>
              <w:t>BRG (sec)</w:t>
            </w:r>
          </w:p>
        </w:tc>
        <w:tc>
          <w:tcPr>
            <w:tcW w:w="1701" w:type="dxa"/>
            <w:tcBorders>
              <w:top w:val="single" w:sz="4" w:space="0" w:color="auto"/>
              <w:left w:val="nil"/>
              <w:bottom w:val="single" w:sz="4" w:space="0" w:color="auto"/>
              <w:right w:val="single" w:sz="4" w:space="0" w:color="auto"/>
            </w:tcBorders>
            <w:shd w:val="clear" w:color="000000" w:fill="AEAAAA"/>
            <w:noWrap/>
            <w:vAlign w:val="center"/>
            <w:hideMark/>
          </w:tcPr>
          <w:p w14:paraId="08F8B341" w14:textId="77777777" w:rsidR="002F6663" w:rsidRPr="007636AD" w:rsidRDefault="002F6663" w:rsidP="003B76E2">
            <w:pPr>
              <w:jc w:val="both"/>
              <w:rPr>
                <w:b/>
                <w:bCs/>
                <w:sz w:val="22"/>
                <w:szCs w:val="22"/>
              </w:rPr>
            </w:pPr>
            <w:r w:rsidRPr="007636AD">
              <w:rPr>
                <w:b/>
                <w:bCs/>
                <w:sz w:val="22"/>
                <w:szCs w:val="22"/>
              </w:rPr>
              <w:t>C3G</w:t>
            </w:r>
            <w:r w:rsidRPr="007636AD">
              <w:rPr>
                <w:b/>
                <w:bCs/>
                <w:sz w:val="22"/>
                <w:szCs w:val="22"/>
                <w:vertAlign w:val="subscript"/>
              </w:rPr>
              <w:t xml:space="preserve"> </w:t>
            </w:r>
            <w:r w:rsidRPr="007636AD">
              <w:rPr>
                <w:b/>
                <w:bCs/>
                <w:sz w:val="22"/>
                <w:szCs w:val="22"/>
              </w:rPr>
              <w:t>(sec)</w:t>
            </w:r>
          </w:p>
        </w:tc>
        <w:tc>
          <w:tcPr>
            <w:tcW w:w="1559" w:type="dxa"/>
            <w:tcBorders>
              <w:top w:val="single" w:sz="4" w:space="0" w:color="auto"/>
              <w:left w:val="nil"/>
              <w:bottom w:val="single" w:sz="4" w:space="0" w:color="auto"/>
              <w:right w:val="single" w:sz="4" w:space="0" w:color="auto"/>
            </w:tcBorders>
            <w:shd w:val="clear" w:color="000000" w:fill="AEAAAA"/>
            <w:noWrap/>
            <w:vAlign w:val="center"/>
            <w:hideMark/>
          </w:tcPr>
          <w:p w14:paraId="48016AE7" w14:textId="77777777" w:rsidR="002F6663" w:rsidRPr="007636AD" w:rsidRDefault="002F6663" w:rsidP="003B76E2">
            <w:pPr>
              <w:jc w:val="both"/>
              <w:rPr>
                <w:b/>
                <w:bCs/>
                <w:sz w:val="22"/>
                <w:szCs w:val="22"/>
              </w:rPr>
            </w:pPr>
            <w:r w:rsidRPr="007636AD">
              <w:rPr>
                <w:b/>
                <w:bCs/>
                <w:sz w:val="22"/>
                <w:szCs w:val="22"/>
              </w:rPr>
              <w:t xml:space="preserve">TC </w:t>
            </w:r>
            <w:r w:rsidRPr="007636AD">
              <w:rPr>
                <w:b/>
                <w:bCs/>
                <w:sz w:val="22"/>
                <w:szCs w:val="22"/>
                <w:vertAlign w:val="subscript"/>
              </w:rPr>
              <w:t xml:space="preserve"> </w:t>
            </w:r>
            <w:r w:rsidRPr="007636AD">
              <w:rPr>
                <w:b/>
                <w:bCs/>
                <w:sz w:val="22"/>
                <w:szCs w:val="22"/>
              </w:rPr>
              <w:t>(sec)</w:t>
            </w:r>
          </w:p>
        </w:tc>
      </w:tr>
      <w:tr w:rsidR="002F6663" w:rsidRPr="007636AD" w14:paraId="5C781532" w14:textId="77777777" w:rsidTr="005A53E0">
        <w:trPr>
          <w:trHeight w:val="291"/>
        </w:trPr>
        <w:tc>
          <w:tcPr>
            <w:tcW w:w="2435" w:type="dxa"/>
            <w:tcBorders>
              <w:top w:val="nil"/>
              <w:left w:val="single" w:sz="4" w:space="0" w:color="auto"/>
              <w:bottom w:val="single" w:sz="4" w:space="0" w:color="auto"/>
              <w:right w:val="single" w:sz="4" w:space="0" w:color="auto"/>
            </w:tcBorders>
            <w:shd w:val="clear" w:color="000000" w:fill="D0CECE"/>
            <w:vAlign w:val="center"/>
            <w:hideMark/>
          </w:tcPr>
          <w:p w14:paraId="3065052D" w14:textId="77777777" w:rsidR="002F6663" w:rsidRPr="007636AD" w:rsidRDefault="002F6663" w:rsidP="003B76E2">
            <w:pPr>
              <w:jc w:val="both"/>
              <w:rPr>
                <w:b/>
                <w:bCs/>
                <w:sz w:val="22"/>
                <w:szCs w:val="22"/>
              </w:rPr>
            </w:pPr>
            <w:r w:rsidRPr="007636AD">
              <w:rPr>
                <w:b/>
                <w:bCs/>
                <w:sz w:val="22"/>
                <w:szCs w:val="22"/>
              </w:rPr>
              <w:t>Number of values</w:t>
            </w:r>
          </w:p>
        </w:tc>
        <w:tc>
          <w:tcPr>
            <w:tcW w:w="1388" w:type="dxa"/>
            <w:tcBorders>
              <w:top w:val="nil"/>
              <w:left w:val="nil"/>
              <w:bottom w:val="single" w:sz="4" w:space="0" w:color="auto"/>
              <w:right w:val="single" w:sz="4" w:space="0" w:color="auto"/>
            </w:tcBorders>
            <w:shd w:val="clear" w:color="auto" w:fill="auto"/>
            <w:noWrap/>
            <w:vAlign w:val="center"/>
            <w:hideMark/>
          </w:tcPr>
          <w:p w14:paraId="2E846870" w14:textId="77777777" w:rsidR="002F6663" w:rsidRPr="007636AD" w:rsidRDefault="002F6663" w:rsidP="003B76E2">
            <w:pPr>
              <w:jc w:val="both"/>
              <w:rPr>
                <w:sz w:val="22"/>
                <w:szCs w:val="22"/>
              </w:rPr>
            </w:pPr>
            <w:r w:rsidRPr="007636AD">
              <w:rPr>
                <w:sz w:val="22"/>
                <w:szCs w:val="22"/>
              </w:rPr>
              <w:t>4</w:t>
            </w:r>
          </w:p>
        </w:tc>
        <w:tc>
          <w:tcPr>
            <w:tcW w:w="1701" w:type="dxa"/>
            <w:tcBorders>
              <w:top w:val="nil"/>
              <w:left w:val="nil"/>
              <w:bottom w:val="single" w:sz="4" w:space="0" w:color="auto"/>
              <w:right w:val="single" w:sz="4" w:space="0" w:color="auto"/>
            </w:tcBorders>
            <w:shd w:val="clear" w:color="auto" w:fill="auto"/>
            <w:noWrap/>
            <w:vAlign w:val="center"/>
            <w:hideMark/>
          </w:tcPr>
          <w:p w14:paraId="28A76968" w14:textId="77777777" w:rsidR="002F6663" w:rsidRPr="007636AD" w:rsidRDefault="002F6663" w:rsidP="003B76E2">
            <w:pPr>
              <w:jc w:val="both"/>
              <w:rPr>
                <w:sz w:val="22"/>
                <w:szCs w:val="22"/>
              </w:rPr>
            </w:pPr>
            <w:r w:rsidRPr="007636AD">
              <w:rPr>
                <w:sz w:val="22"/>
                <w:szCs w:val="22"/>
              </w:rPr>
              <w:t>4</w:t>
            </w:r>
          </w:p>
        </w:tc>
        <w:tc>
          <w:tcPr>
            <w:tcW w:w="1701" w:type="dxa"/>
            <w:tcBorders>
              <w:top w:val="nil"/>
              <w:left w:val="nil"/>
              <w:bottom w:val="single" w:sz="4" w:space="0" w:color="auto"/>
              <w:right w:val="single" w:sz="4" w:space="0" w:color="auto"/>
            </w:tcBorders>
            <w:shd w:val="clear" w:color="auto" w:fill="auto"/>
            <w:noWrap/>
            <w:vAlign w:val="center"/>
            <w:hideMark/>
          </w:tcPr>
          <w:p w14:paraId="398370A8" w14:textId="77777777" w:rsidR="002F6663" w:rsidRPr="007636AD" w:rsidRDefault="002F6663" w:rsidP="003B76E2">
            <w:pPr>
              <w:jc w:val="both"/>
              <w:rPr>
                <w:sz w:val="22"/>
                <w:szCs w:val="22"/>
              </w:rPr>
            </w:pPr>
            <w:r w:rsidRPr="007636AD">
              <w:rPr>
                <w:sz w:val="22"/>
                <w:szCs w:val="22"/>
              </w:rPr>
              <w:t>6</w:t>
            </w:r>
          </w:p>
        </w:tc>
        <w:tc>
          <w:tcPr>
            <w:tcW w:w="1559" w:type="dxa"/>
            <w:tcBorders>
              <w:top w:val="nil"/>
              <w:left w:val="nil"/>
              <w:bottom w:val="single" w:sz="4" w:space="0" w:color="auto"/>
              <w:right w:val="single" w:sz="4" w:space="0" w:color="auto"/>
            </w:tcBorders>
            <w:shd w:val="clear" w:color="auto" w:fill="auto"/>
            <w:noWrap/>
            <w:vAlign w:val="center"/>
            <w:hideMark/>
          </w:tcPr>
          <w:p w14:paraId="0285A784" w14:textId="77777777" w:rsidR="002F6663" w:rsidRPr="007636AD" w:rsidRDefault="002F6663" w:rsidP="003B76E2">
            <w:pPr>
              <w:jc w:val="both"/>
              <w:rPr>
                <w:sz w:val="22"/>
                <w:szCs w:val="22"/>
              </w:rPr>
            </w:pPr>
            <w:r w:rsidRPr="007636AD">
              <w:rPr>
                <w:sz w:val="22"/>
                <w:szCs w:val="22"/>
              </w:rPr>
              <w:t>8</w:t>
            </w:r>
          </w:p>
        </w:tc>
      </w:tr>
      <w:tr w:rsidR="002F6663" w:rsidRPr="007636AD" w14:paraId="502BCBBE" w14:textId="77777777" w:rsidTr="005A53E0">
        <w:trPr>
          <w:trHeight w:val="145"/>
        </w:trPr>
        <w:tc>
          <w:tcPr>
            <w:tcW w:w="2435" w:type="dxa"/>
            <w:tcBorders>
              <w:top w:val="nil"/>
              <w:left w:val="single" w:sz="4" w:space="0" w:color="auto"/>
              <w:bottom w:val="single" w:sz="4" w:space="0" w:color="auto"/>
              <w:right w:val="single" w:sz="4" w:space="0" w:color="auto"/>
            </w:tcBorders>
            <w:shd w:val="clear" w:color="000000" w:fill="D0CECE"/>
            <w:vAlign w:val="center"/>
            <w:hideMark/>
          </w:tcPr>
          <w:p w14:paraId="05D1F962" w14:textId="77777777" w:rsidR="002F6663" w:rsidRPr="007636AD" w:rsidRDefault="002F6663" w:rsidP="003B76E2">
            <w:pPr>
              <w:jc w:val="both"/>
              <w:rPr>
                <w:b/>
                <w:bCs/>
                <w:sz w:val="22"/>
                <w:szCs w:val="22"/>
              </w:rPr>
            </w:pPr>
            <w:r w:rsidRPr="007636AD">
              <w:rPr>
                <w:b/>
                <w:bCs/>
                <w:sz w:val="22"/>
                <w:szCs w:val="22"/>
              </w:rPr>
              <w:t>Minimum</w:t>
            </w:r>
          </w:p>
        </w:tc>
        <w:tc>
          <w:tcPr>
            <w:tcW w:w="1388" w:type="dxa"/>
            <w:tcBorders>
              <w:top w:val="nil"/>
              <w:left w:val="nil"/>
              <w:bottom w:val="single" w:sz="4" w:space="0" w:color="auto"/>
              <w:right w:val="single" w:sz="4" w:space="0" w:color="auto"/>
            </w:tcBorders>
            <w:shd w:val="clear" w:color="auto" w:fill="auto"/>
            <w:noWrap/>
            <w:vAlign w:val="center"/>
            <w:hideMark/>
          </w:tcPr>
          <w:p w14:paraId="6358E364" w14:textId="77777777" w:rsidR="002F6663" w:rsidRPr="007636AD" w:rsidRDefault="002F6663" w:rsidP="003B76E2">
            <w:pPr>
              <w:jc w:val="both"/>
              <w:rPr>
                <w:sz w:val="22"/>
                <w:szCs w:val="22"/>
              </w:rPr>
            </w:pPr>
            <w:r w:rsidRPr="007636AD">
              <w:rPr>
                <w:sz w:val="22"/>
                <w:szCs w:val="22"/>
              </w:rPr>
              <w:t>12</w:t>
            </w:r>
          </w:p>
        </w:tc>
        <w:tc>
          <w:tcPr>
            <w:tcW w:w="1701" w:type="dxa"/>
            <w:tcBorders>
              <w:top w:val="nil"/>
              <w:left w:val="nil"/>
              <w:bottom w:val="single" w:sz="4" w:space="0" w:color="auto"/>
              <w:right w:val="single" w:sz="4" w:space="0" w:color="auto"/>
            </w:tcBorders>
            <w:shd w:val="clear" w:color="auto" w:fill="auto"/>
            <w:noWrap/>
            <w:vAlign w:val="center"/>
            <w:hideMark/>
          </w:tcPr>
          <w:p w14:paraId="64185568" w14:textId="77777777" w:rsidR="002F6663" w:rsidRPr="007636AD" w:rsidRDefault="002F6663" w:rsidP="003B76E2">
            <w:pPr>
              <w:jc w:val="both"/>
              <w:rPr>
                <w:sz w:val="22"/>
                <w:szCs w:val="22"/>
              </w:rPr>
            </w:pPr>
            <w:r w:rsidRPr="007636AD">
              <w:rPr>
                <w:sz w:val="22"/>
                <w:szCs w:val="22"/>
              </w:rPr>
              <w:t>12</w:t>
            </w:r>
          </w:p>
        </w:tc>
        <w:tc>
          <w:tcPr>
            <w:tcW w:w="1701" w:type="dxa"/>
            <w:tcBorders>
              <w:top w:val="nil"/>
              <w:left w:val="nil"/>
              <w:bottom w:val="single" w:sz="4" w:space="0" w:color="auto"/>
              <w:right w:val="single" w:sz="4" w:space="0" w:color="auto"/>
            </w:tcBorders>
            <w:shd w:val="clear" w:color="auto" w:fill="auto"/>
            <w:noWrap/>
            <w:vAlign w:val="center"/>
            <w:hideMark/>
          </w:tcPr>
          <w:p w14:paraId="14916E12" w14:textId="77777777" w:rsidR="002F6663" w:rsidRPr="007636AD" w:rsidRDefault="002F6663" w:rsidP="003B76E2">
            <w:pPr>
              <w:jc w:val="both"/>
              <w:rPr>
                <w:sz w:val="22"/>
                <w:szCs w:val="22"/>
              </w:rPr>
            </w:pPr>
            <w:r w:rsidRPr="007636AD">
              <w:rPr>
                <w:sz w:val="22"/>
                <w:szCs w:val="22"/>
              </w:rPr>
              <w:t>20</w:t>
            </w:r>
          </w:p>
        </w:tc>
        <w:tc>
          <w:tcPr>
            <w:tcW w:w="1559" w:type="dxa"/>
            <w:tcBorders>
              <w:top w:val="nil"/>
              <w:left w:val="nil"/>
              <w:bottom w:val="single" w:sz="4" w:space="0" w:color="auto"/>
              <w:right w:val="single" w:sz="4" w:space="0" w:color="auto"/>
            </w:tcBorders>
            <w:shd w:val="clear" w:color="auto" w:fill="auto"/>
            <w:noWrap/>
            <w:vAlign w:val="center"/>
            <w:hideMark/>
          </w:tcPr>
          <w:p w14:paraId="2A38629C" w14:textId="77777777" w:rsidR="002F6663" w:rsidRPr="007636AD" w:rsidRDefault="002F6663" w:rsidP="003B76E2">
            <w:pPr>
              <w:jc w:val="both"/>
              <w:rPr>
                <w:sz w:val="22"/>
                <w:szCs w:val="22"/>
              </w:rPr>
            </w:pPr>
            <w:r w:rsidRPr="007636AD">
              <w:rPr>
                <w:sz w:val="22"/>
                <w:szCs w:val="22"/>
              </w:rPr>
              <w:t>16</w:t>
            </w:r>
          </w:p>
        </w:tc>
      </w:tr>
      <w:tr w:rsidR="002F6663" w:rsidRPr="007636AD" w14:paraId="285E26B6" w14:textId="77777777" w:rsidTr="005A53E0">
        <w:trPr>
          <w:trHeight w:val="291"/>
        </w:trPr>
        <w:tc>
          <w:tcPr>
            <w:tcW w:w="2435" w:type="dxa"/>
            <w:tcBorders>
              <w:top w:val="nil"/>
              <w:left w:val="single" w:sz="4" w:space="0" w:color="auto"/>
              <w:bottom w:val="single" w:sz="4" w:space="0" w:color="auto"/>
              <w:right w:val="single" w:sz="4" w:space="0" w:color="auto"/>
            </w:tcBorders>
            <w:shd w:val="clear" w:color="000000" w:fill="D0CECE"/>
            <w:vAlign w:val="center"/>
            <w:hideMark/>
          </w:tcPr>
          <w:p w14:paraId="3B342665" w14:textId="77777777" w:rsidR="002F6663" w:rsidRPr="007636AD" w:rsidRDefault="002F6663" w:rsidP="003B76E2">
            <w:pPr>
              <w:jc w:val="both"/>
              <w:rPr>
                <w:b/>
                <w:bCs/>
                <w:sz w:val="22"/>
                <w:szCs w:val="22"/>
              </w:rPr>
            </w:pPr>
            <w:r w:rsidRPr="007636AD">
              <w:rPr>
                <w:b/>
                <w:bCs/>
                <w:sz w:val="22"/>
                <w:szCs w:val="22"/>
              </w:rPr>
              <w:t>25% Percentile</w:t>
            </w:r>
          </w:p>
        </w:tc>
        <w:tc>
          <w:tcPr>
            <w:tcW w:w="1388" w:type="dxa"/>
            <w:tcBorders>
              <w:top w:val="nil"/>
              <w:left w:val="nil"/>
              <w:bottom w:val="single" w:sz="4" w:space="0" w:color="auto"/>
              <w:right w:val="single" w:sz="4" w:space="0" w:color="auto"/>
            </w:tcBorders>
            <w:shd w:val="clear" w:color="auto" w:fill="auto"/>
            <w:noWrap/>
            <w:vAlign w:val="center"/>
            <w:hideMark/>
          </w:tcPr>
          <w:p w14:paraId="5AB1B985" w14:textId="77777777" w:rsidR="002F6663" w:rsidRPr="007636AD" w:rsidRDefault="002F6663" w:rsidP="003B76E2">
            <w:pPr>
              <w:jc w:val="both"/>
              <w:rPr>
                <w:sz w:val="22"/>
                <w:szCs w:val="22"/>
              </w:rPr>
            </w:pPr>
            <w:r w:rsidRPr="007636AD">
              <w:rPr>
                <w:sz w:val="22"/>
                <w:szCs w:val="22"/>
              </w:rPr>
              <w:t>12</w:t>
            </w:r>
          </w:p>
        </w:tc>
        <w:tc>
          <w:tcPr>
            <w:tcW w:w="1701" w:type="dxa"/>
            <w:tcBorders>
              <w:top w:val="nil"/>
              <w:left w:val="nil"/>
              <w:bottom w:val="single" w:sz="4" w:space="0" w:color="auto"/>
              <w:right w:val="single" w:sz="4" w:space="0" w:color="auto"/>
            </w:tcBorders>
            <w:shd w:val="clear" w:color="auto" w:fill="auto"/>
            <w:noWrap/>
            <w:vAlign w:val="center"/>
            <w:hideMark/>
          </w:tcPr>
          <w:p w14:paraId="6F27126F" w14:textId="77777777" w:rsidR="002F6663" w:rsidRPr="007636AD" w:rsidRDefault="002F6663" w:rsidP="003B76E2">
            <w:pPr>
              <w:jc w:val="both"/>
              <w:rPr>
                <w:sz w:val="22"/>
                <w:szCs w:val="22"/>
              </w:rPr>
            </w:pPr>
            <w:r w:rsidRPr="007636AD">
              <w:rPr>
                <w:sz w:val="22"/>
                <w:szCs w:val="22"/>
              </w:rPr>
              <w:t>12</w:t>
            </w:r>
          </w:p>
        </w:tc>
        <w:tc>
          <w:tcPr>
            <w:tcW w:w="1701" w:type="dxa"/>
            <w:tcBorders>
              <w:top w:val="nil"/>
              <w:left w:val="nil"/>
              <w:bottom w:val="single" w:sz="4" w:space="0" w:color="auto"/>
              <w:right w:val="single" w:sz="4" w:space="0" w:color="auto"/>
            </w:tcBorders>
            <w:shd w:val="clear" w:color="auto" w:fill="auto"/>
            <w:noWrap/>
            <w:vAlign w:val="center"/>
            <w:hideMark/>
          </w:tcPr>
          <w:p w14:paraId="48FB1479" w14:textId="77777777" w:rsidR="002F6663" w:rsidRPr="007636AD" w:rsidRDefault="002F6663" w:rsidP="003B76E2">
            <w:pPr>
              <w:jc w:val="both"/>
              <w:rPr>
                <w:sz w:val="22"/>
                <w:szCs w:val="22"/>
              </w:rPr>
            </w:pPr>
            <w:r w:rsidRPr="007636AD">
              <w:rPr>
                <w:sz w:val="22"/>
                <w:szCs w:val="22"/>
              </w:rPr>
              <w:t>20</w:t>
            </w:r>
          </w:p>
        </w:tc>
        <w:tc>
          <w:tcPr>
            <w:tcW w:w="1559" w:type="dxa"/>
            <w:tcBorders>
              <w:top w:val="nil"/>
              <w:left w:val="nil"/>
              <w:bottom w:val="single" w:sz="4" w:space="0" w:color="auto"/>
              <w:right w:val="single" w:sz="4" w:space="0" w:color="auto"/>
            </w:tcBorders>
            <w:shd w:val="clear" w:color="auto" w:fill="auto"/>
            <w:noWrap/>
            <w:vAlign w:val="center"/>
            <w:hideMark/>
          </w:tcPr>
          <w:p w14:paraId="634D5260" w14:textId="77777777" w:rsidR="002F6663" w:rsidRPr="007636AD" w:rsidRDefault="002F6663" w:rsidP="003B76E2">
            <w:pPr>
              <w:jc w:val="both"/>
              <w:rPr>
                <w:sz w:val="22"/>
                <w:szCs w:val="22"/>
              </w:rPr>
            </w:pPr>
            <w:r w:rsidRPr="007636AD">
              <w:rPr>
                <w:sz w:val="22"/>
                <w:szCs w:val="22"/>
              </w:rPr>
              <w:t>17</w:t>
            </w:r>
          </w:p>
        </w:tc>
      </w:tr>
      <w:tr w:rsidR="002F6663" w:rsidRPr="007636AD" w14:paraId="0D6C4BF7" w14:textId="77777777" w:rsidTr="005A53E0">
        <w:trPr>
          <w:trHeight w:val="145"/>
        </w:trPr>
        <w:tc>
          <w:tcPr>
            <w:tcW w:w="2435" w:type="dxa"/>
            <w:tcBorders>
              <w:top w:val="nil"/>
              <w:left w:val="single" w:sz="4" w:space="0" w:color="auto"/>
              <w:bottom w:val="single" w:sz="4" w:space="0" w:color="auto"/>
              <w:right w:val="single" w:sz="4" w:space="0" w:color="auto"/>
            </w:tcBorders>
            <w:shd w:val="clear" w:color="000000" w:fill="D0CECE"/>
            <w:vAlign w:val="center"/>
            <w:hideMark/>
          </w:tcPr>
          <w:p w14:paraId="3EFFD4EE" w14:textId="77777777" w:rsidR="002F6663" w:rsidRPr="007636AD" w:rsidRDefault="002F6663" w:rsidP="003B76E2">
            <w:pPr>
              <w:jc w:val="both"/>
              <w:rPr>
                <w:b/>
                <w:bCs/>
                <w:sz w:val="22"/>
                <w:szCs w:val="22"/>
              </w:rPr>
            </w:pPr>
            <w:r w:rsidRPr="007636AD">
              <w:rPr>
                <w:b/>
                <w:bCs/>
                <w:sz w:val="22"/>
                <w:szCs w:val="22"/>
              </w:rPr>
              <w:t>Median</w:t>
            </w:r>
          </w:p>
        </w:tc>
        <w:tc>
          <w:tcPr>
            <w:tcW w:w="1388" w:type="dxa"/>
            <w:tcBorders>
              <w:top w:val="nil"/>
              <w:left w:val="nil"/>
              <w:bottom w:val="single" w:sz="4" w:space="0" w:color="auto"/>
              <w:right w:val="single" w:sz="4" w:space="0" w:color="auto"/>
            </w:tcBorders>
            <w:shd w:val="clear" w:color="auto" w:fill="auto"/>
            <w:noWrap/>
            <w:vAlign w:val="center"/>
            <w:hideMark/>
          </w:tcPr>
          <w:p w14:paraId="77988CDE" w14:textId="77777777" w:rsidR="002F6663" w:rsidRPr="007636AD" w:rsidRDefault="002F6663" w:rsidP="003B76E2">
            <w:pPr>
              <w:jc w:val="both"/>
              <w:rPr>
                <w:sz w:val="22"/>
                <w:szCs w:val="22"/>
              </w:rPr>
            </w:pPr>
            <w:r w:rsidRPr="007636AD">
              <w:rPr>
                <w:sz w:val="22"/>
                <w:szCs w:val="22"/>
              </w:rPr>
              <w:t>14</w:t>
            </w:r>
          </w:p>
        </w:tc>
        <w:tc>
          <w:tcPr>
            <w:tcW w:w="1701" w:type="dxa"/>
            <w:tcBorders>
              <w:top w:val="nil"/>
              <w:left w:val="nil"/>
              <w:bottom w:val="single" w:sz="4" w:space="0" w:color="auto"/>
              <w:right w:val="single" w:sz="4" w:space="0" w:color="auto"/>
            </w:tcBorders>
            <w:shd w:val="clear" w:color="auto" w:fill="auto"/>
            <w:noWrap/>
            <w:vAlign w:val="center"/>
            <w:hideMark/>
          </w:tcPr>
          <w:p w14:paraId="32611BC2" w14:textId="77777777" w:rsidR="002F6663" w:rsidRPr="007636AD" w:rsidRDefault="002F6663" w:rsidP="003B76E2">
            <w:pPr>
              <w:jc w:val="both"/>
              <w:rPr>
                <w:sz w:val="22"/>
                <w:szCs w:val="22"/>
              </w:rPr>
            </w:pPr>
            <w:r w:rsidRPr="007636AD">
              <w:rPr>
                <w:sz w:val="22"/>
                <w:szCs w:val="22"/>
              </w:rPr>
              <w:t>12</w:t>
            </w:r>
          </w:p>
        </w:tc>
        <w:tc>
          <w:tcPr>
            <w:tcW w:w="1701" w:type="dxa"/>
            <w:tcBorders>
              <w:top w:val="nil"/>
              <w:left w:val="nil"/>
              <w:bottom w:val="single" w:sz="4" w:space="0" w:color="auto"/>
              <w:right w:val="single" w:sz="4" w:space="0" w:color="auto"/>
            </w:tcBorders>
            <w:shd w:val="clear" w:color="auto" w:fill="auto"/>
            <w:noWrap/>
            <w:vAlign w:val="center"/>
            <w:hideMark/>
          </w:tcPr>
          <w:p w14:paraId="5272A5BC" w14:textId="77777777" w:rsidR="002F6663" w:rsidRPr="007636AD" w:rsidRDefault="002F6663" w:rsidP="003B76E2">
            <w:pPr>
              <w:jc w:val="both"/>
              <w:rPr>
                <w:sz w:val="22"/>
                <w:szCs w:val="22"/>
              </w:rPr>
            </w:pPr>
            <w:r w:rsidRPr="007636AD">
              <w:rPr>
                <w:sz w:val="22"/>
                <w:szCs w:val="22"/>
              </w:rPr>
              <w:t>22</w:t>
            </w:r>
          </w:p>
        </w:tc>
        <w:tc>
          <w:tcPr>
            <w:tcW w:w="1559" w:type="dxa"/>
            <w:tcBorders>
              <w:top w:val="nil"/>
              <w:left w:val="nil"/>
              <w:bottom w:val="single" w:sz="4" w:space="0" w:color="auto"/>
              <w:right w:val="single" w:sz="4" w:space="0" w:color="auto"/>
            </w:tcBorders>
            <w:shd w:val="clear" w:color="auto" w:fill="auto"/>
            <w:noWrap/>
            <w:vAlign w:val="center"/>
            <w:hideMark/>
          </w:tcPr>
          <w:p w14:paraId="134D0959" w14:textId="77777777" w:rsidR="002F6663" w:rsidRPr="007636AD" w:rsidRDefault="002F6663" w:rsidP="003B76E2">
            <w:pPr>
              <w:jc w:val="both"/>
              <w:rPr>
                <w:sz w:val="22"/>
                <w:szCs w:val="22"/>
              </w:rPr>
            </w:pPr>
            <w:r w:rsidRPr="007636AD">
              <w:rPr>
                <w:sz w:val="22"/>
                <w:szCs w:val="22"/>
              </w:rPr>
              <w:t>20</w:t>
            </w:r>
          </w:p>
        </w:tc>
      </w:tr>
      <w:tr w:rsidR="002F6663" w:rsidRPr="007636AD" w14:paraId="1BE56498" w14:textId="77777777" w:rsidTr="005A53E0">
        <w:trPr>
          <w:trHeight w:val="291"/>
        </w:trPr>
        <w:tc>
          <w:tcPr>
            <w:tcW w:w="2435" w:type="dxa"/>
            <w:tcBorders>
              <w:top w:val="nil"/>
              <w:left w:val="single" w:sz="4" w:space="0" w:color="auto"/>
              <w:bottom w:val="single" w:sz="4" w:space="0" w:color="auto"/>
              <w:right w:val="single" w:sz="4" w:space="0" w:color="auto"/>
            </w:tcBorders>
            <w:shd w:val="clear" w:color="000000" w:fill="D0CECE"/>
            <w:vAlign w:val="center"/>
            <w:hideMark/>
          </w:tcPr>
          <w:p w14:paraId="0EAAF1CA" w14:textId="77777777" w:rsidR="002F6663" w:rsidRPr="007636AD" w:rsidRDefault="002F6663" w:rsidP="003B76E2">
            <w:pPr>
              <w:jc w:val="both"/>
              <w:rPr>
                <w:b/>
                <w:bCs/>
                <w:sz w:val="22"/>
                <w:szCs w:val="22"/>
              </w:rPr>
            </w:pPr>
            <w:r w:rsidRPr="007636AD">
              <w:rPr>
                <w:b/>
                <w:bCs/>
                <w:sz w:val="22"/>
                <w:szCs w:val="22"/>
              </w:rPr>
              <w:t>75% Percentile</w:t>
            </w:r>
          </w:p>
        </w:tc>
        <w:tc>
          <w:tcPr>
            <w:tcW w:w="1388" w:type="dxa"/>
            <w:tcBorders>
              <w:top w:val="nil"/>
              <w:left w:val="nil"/>
              <w:bottom w:val="single" w:sz="4" w:space="0" w:color="auto"/>
              <w:right w:val="single" w:sz="4" w:space="0" w:color="auto"/>
            </w:tcBorders>
            <w:shd w:val="clear" w:color="auto" w:fill="auto"/>
            <w:noWrap/>
            <w:vAlign w:val="center"/>
            <w:hideMark/>
          </w:tcPr>
          <w:p w14:paraId="4F0A888E" w14:textId="77777777" w:rsidR="002F6663" w:rsidRPr="007636AD" w:rsidRDefault="002F6663" w:rsidP="003B76E2">
            <w:pPr>
              <w:jc w:val="both"/>
              <w:rPr>
                <w:sz w:val="22"/>
                <w:szCs w:val="22"/>
              </w:rPr>
            </w:pPr>
            <w:r w:rsidRPr="007636AD">
              <w:rPr>
                <w:sz w:val="22"/>
                <w:szCs w:val="22"/>
              </w:rPr>
              <w:t>19</w:t>
            </w:r>
          </w:p>
        </w:tc>
        <w:tc>
          <w:tcPr>
            <w:tcW w:w="1701" w:type="dxa"/>
            <w:tcBorders>
              <w:top w:val="nil"/>
              <w:left w:val="nil"/>
              <w:bottom w:val="single" w:sz="4" w:space="0" w:color="auto"/>
              <w:right w:val="single" w:sz="4" w:space="0" w:color="auto"/>
            </w:tcBorders>
            <w:shd w:val="clear" w:color="auto" w:fill="auto"/>
            <w:noWrap/>
            <w:vAlign w:val="center"/>
            <w:hideMark/>
          </w:tcPr>
          <w:p w14:paraId="622595F0" w14:textId="77777777" w:rsidR="002F6663" w:rsidRPr="007636AD" w:rsidRDefault="002F6663" w:rsidP="003B76E2">
            <w:pPr>
              <w:jc w:val="both"/>
              <w:rPr>
                <w:sz w:val="22"/>
                <w:szCs w:val="22"/>
              </w:rPr>
            </w:pPr>
            <w:r w:rsidRPr="007636AD">
              <w:rPr>
                <w:sz w:val="22"/>
                <w:szCs w:val="22"/>
              </w:rPr>
              <w:t>27</w:t>
            </w:r>
          </w:p>
        </w:tc>
        <w:tc>
          <w:tcPr>
            <w:tcW w:w="1701" w:type="dxa"/>
            <w:tcBorders>
              <w:top w:val="nil"/>
              <w:left w:val="nil"/>
              <w:bottom w:val="single" w:sz="4" w:space="0" w:color="auto"/>
              <w:right w:val="single" w:sz="4" w:space="0" w:color="auto"/>
            </w:tcBorders>
            <w:shd w:val="clear" w:color="auto" w:fill="auto"/>
            <w:noWrap/>
            <w:vAlign w:val="center"/>
            <w:hideMark/>
          </w:tcPr>
          <w:p w14:paraId="56F5F6AC" w14:textId="77777777" w:rsidR="002F6663" w:rsidRPr="007636AD" w:rsidRDefault="002F6663" w:rsidP="003B76E2">
            <w:pPr>
              <w:jc w:val="both"/>
              <w:rPr>
                <w:sz w:val="22"/>
                <w:szCs w:val="22"/>
              </w:rPr>
            </w:pPr>
            <w:r w:rsidRPr="007636AD">
              <w:rPr>
                <w:sz w:val="22"/>
                <w:szCs w:val="22"/>
              </w:rPr>
              <w:t>25</w:t>
            </w:r>
          </w:p>
        </w:tc>
        <w:tc>
          <w:tcPr>
            <w:tcW w:w="1559" w:type="dxa"/>
            <w:tcBorders>
              <w:top w:val="nil"/>
              <w:left w:val="nil"/>
              <w:bottom w:val="single" w:sz="4" w:space="0" w:color="auto"/>
              <w:right w:val="single" w:sz="4" w:space="0" w:color="auto"/>
            </w:tcBorders>
            <w:shd w:val="clear" w:color="auto" w:fill="auto"/>
            <w:noWrap/>
            <w:vAlign w:val="center"/>
            <w:hideMark/>
          </w:tcPr>
          <w:p w14:paraId="35050033" w14:textId="77777777" w:rsidR="002F6663" w:rsidRPr="007636AD" w:rsidRDefault="002F6663" w:rsidP="003B76E2">
            <w:pPr>
              <w:jc w:val="both"/>
              <w:rPr>
                <w:sz w:val="22"/>
                <w:szCs w:val="22"/>
              </w:rPr>
            </w:pPr>
            <w:r w:rsidRPr="007636AD">
              <w:rPr>
                <w:sz w:val="22"/>
                <w:szCs w:val="22"/>
              </w:rPr>
              <w:t>20</w:t>
            </w:r>
          </w:p>
        </w:tc>
      </w:tr>
      <w:tr w:rsidR="002F6663" w:rsidRPr="007636AD" w14:paraId="06DC8A4C" w14:textId="77777777" w:rsidTr="005A53E0">
        <w:trPr>
          <w:trHeight w:val="145"/>
        </w:trPr>
        <w:tc>
          <w:tcPr>
            <w:tcW w:w="2435" w:type="dxa"/>
            <w:tcBorders>
              <w:top w:val="nil"/>
              <w:left w:val="single" w:sz="4" w:space="0" w:color="auto"/>
              <w:bottom w:val="single" w:sz="4" w:space="0" w:color="auto"/>
              <w:right w:val="single" w:sz="4" w:space="0" w:color="auto"/>
            </w:tcBorders>
            <w:shd w:val="clear" w:color="000000" w:fill="D0CECE"/>
            <w:vAlign w:val="center"/>
            <w:hideMark/>
          </w:tcPr>
          <w:p w14:paraId="4A50DA4F" w14:textId="77777777" w:rsidR="002F6663" w:rsidRPr="007636AD" w:rsidRDefault="002F6663" w:rsidP="003B76E2">
            <w:pPr>
              <w:jc w:val="both"/>
              <w:rPr>
                <w:b/>
                <w:bCs/>
                <w:sz w:val="22"/>
                <w:szCs w:val="22"/>
              </w:rPr>
            </w:pPr>
            <w:r w:rsidRPr="007636AD">
              <w:rPr>
                <w:b/>
                <w:bCs/>
                <w:sz w:val="22"/>
                <w:szCs w:val="22"/>
              </w:rPr>
              <w:t>Maximum</w:t>
            </w:r>
          </w:p>
        </w:tc>
        <w:tc>
          <w:tcPr>
            <w:tcW w:w="1388" w:type="dxa"/>
            <w:tcBorders>
              <w:top w:val="nil"/>
              <w:left w:val="nil"/>
              <w:bottom w:val="single" w:sz="4" w:space="0" w:color="auto"/>
              <w:right w:val="single" w:sz="4" w:space="0" w:color="auto"/>
            </w:tcBorders>
            <w:shd w:val="clear" w:color="auto" w:fill="auto"/>
            <w:noWrap/>
            <w:vAlign w:val="center"/>
            <w:hideMark/>
          </w:tcPr>
          <w:p w14:paraId="1AD3E04B" w14:textId="77777777" w:rsidR="002F6663" w:rsidRPr="007636AD" w:rsidRDefault="002F6663" w:rsidP="003B76E2">
            <w:pPr>
              <w:jc w:val="both"/>
              <w:rPr>
                <w:sz w:val="22"/>
                <w:szCs w:val="22"/>
              </w:rPr>
            </w:pPr>
            <w:r w:rsidRPr="007636AD">
              <w:rPr>
                <w:sz w:val="22"/>
                <w:szCs w:val="22"/>
              </w:rPr>
              <w:t>20</w:t>
            </w:r>
          </w:p>
        </w:tc>
        <w:tc>
          <w:tcPr>
            <w:tcW w:w="1701" w:type="dxa"/>
            <w:tcBorders>
              <w:top w:val="nil"/>
              <w:left w:val="nil"/>
              <w:bottom w:val="single" w:sz="4" w:space="0" w:color="auto"/>
              <w:right w:val="single" w:sz="4" w:space="0" w:color="auto"/>
            </w:tcBorders>
            <w:shd w:val="clear" w:color="auto" w:fill="auto"/>
            <w:noWrap/>
            <w:vAlign w:val="center"/>
            <w:hideMark/>
          </w:tcPr>
          <w:p w14:paraId="4D505DAF" w14:textId="77777777" w:rsidR="002F6663" w:rsidRPr="007636AD" w:rsidRDefault="002F6663" w:rsidP="003B76E2">
            <w:pPr>
              <w:jc w:val="both"/>
              <w:rPr>
                <w:sz w:val="22"/>
                <w:szCs w:val="22"/>
              </w:rPr>
            </w:pPr>
            <w:r w:rsidRPr="007636AD">
              <w:rPr>
                <w:sz w:val="22"/>
                <w:szCs w:val="22"/>
              </w:rPr>
              <w:t>32</w:t>
            </w:r>
          </w:p>
        </w:tc>
        <w:tc>
          <w:tcPr>
            <w:tcW w:w="1701" w:type="dxa"/>
            <w:tcBorders>
              <w:top w:val="nil"/>
              <w:left w:val="nil"/>
              <w:bottom w:val="single" w:sz="4" w:space="0" w:color="auto"/>
              <w:right w:val="single" w:sz="4" w:space="0" w:color="auto"/>
            </w:tcBorders>
            <w:shd w:val="clear" w:color="auto" w:fill="auto"/>
            <w:noWrap/>
            <w:vAlign w:val="center"/>
            <w:hideMark/>
          </w:tcPr>
          <w:p w14:paraId="1F26E482" w14:textId="77777777" w:rsidR="002F6663" w:rsidRPr="007636AD" w:rsidRDefault="002F6663" w:rsidP="003B76E2">
            <w:pPr>
              <w:jc w:val="both"/>
              <w:rPr>
                <w:sz w:val="22"/>
                <w:szCs w:val="22"/>
              </w:rPr>
            </w:pPr>
            <w:r w:rsidRPr="007636AD">
              <w:rPr>
                <w:sz w:val="22"/>
                <w:szCs w:val="22"/>
              </w:rPr>
              <w:t>28</w:t>
            </w:r>
          </w:p>
        </w:tc>
        <w:tc>
          <w:tcPr>
            <w:tcW w:w="1559" w:type="dxa"/>
            <w:tcBorders>
              <w:top w:val="nil"/>
              <w:left w:val="nil"/>
              <w:bottom w:val="single" w:sz="4" w:space="0" w:color="auto"/>
              <w:right w:val="single" w:sz="4" w:space="0" w:color="auto"/>
            </w:tcBorders>
            <w:shd w:val="clear" w:color="auto" w:fill="auto"/>
            <w:noWrap/>
            <w:vAlign w:val="center"/>
            <w:hideMark/>
          </w:tcPr>
          <w:p w14:paraId="32191237" w14:textId="77777777" w:rsidR="002F6663" w:rsidRPr="007636AD" w:rsidRDefault="002F6663" w:rsidP="003B76E2">
            <w:pPr>
              <w:jc w:val="both"/>
              <w:rPr>
                <w:sz w:val="22"/>
                <w:szCs w:val="22"/>
              </w:rPr>
            </w:pPr>
            <w:r w:rsidRPr="007636AD">
              <w:rPr>
                <w:sz w:val="22"/>
                <w:szCs w:val="22"/>
              </w:rPr>
              <w:t>24</w:t>
            </w:r>
          </w:p>
        </w:tc>
      </w:tr>
      <w:tr w:rsidR="002F6663" w:rsidRPr="007636AD" w14:paraId="0D7FC542" w14:textId="77777777" w:rsidTr="005A53E0">
        <w:trPr>
          <w:trHeight w:val="145"/>
        </w:trPr>
        <w:tc>
          <w:tcPr>
            <w:tcW w:w="2435" w:type="dxa"/>
            <w:tcBorders>
              <w:top w:val="nil"/>
              <w:left w:val="single" w:sz="4" w:space="0" w:color="auto"/>
              <w:bottom w:val="single" w:sz="4" w:space="0" w:color="auto"/>
              <w:right w:val="single" w:sz="4" w:space="0" w:color="auto"/>
            </w:tcBorders>
            <w:shd w:val="clear" w:color="000000" w:fill="D0CECE"/>
            <w:vAlign w:val="center"/>
            <w:hideMark/>
          </w:tcPr>
          <w:p w14:paraId="55B22F91" w14:textId="77777777" w:rsidR="002F6663" w:rsidRPr="007636AD" w:rsidRDefault="002F6663" w:rsidP="003B76E2">
            <w:pPr>
              <w:jc w:val="both"/>
              <w:rPr>
                <w:b/>
                <w:bCs/>
                <w:sz w:val="22"/>
                <w:szCs w:val="22"/>
              </w:rPr>
            </w:pPr>
            <w:r w:rsidRPr="007636AD">
              <w:rPr>
                <w:b/>
                <w:bCs/>
                <w:sz w:val="22"/>
                <w:szCs w:val="22"/>
              </w:rPr>
              <w:t>Range</w:t>
            </w:r>
          </w:p>
        </w:tc>
        <w:tc>
          <w:tcPr>
            <w:tcW w:w="1388" w:type="dxa"/>
            <w:tcBorders>
              <w:top w:val="nil"/>
              <w:left w:val="nil"/>
              <w:bottom w:val="single" w:sz="4" w:space="0" w:color="auto"/>
              <w:right w:val="single" w:sz="4" w:space="0" w:color="auto"/>
            </w:tcBorders>
            <w:shd w:val="clear" w:color="auto" w:fill="auto"/>
            <w:noWrap/>
            <w:vAlign w:val="center"/>
            <w:hideMark/>
          </w:tcPr>
          <w:p w14:paraId="2FD7C317" w14:textId="77777777" w:rsidR="002F6663" w:rsidRPr="007636AD" w:rsidRDefault="002F6663" w:rsidP="003B76E2">
            <w:pPr>
              <w:jc w:val="both"/>
              <w:rPr>
                <w:sz w:val="22"/>
                <w:szCs w:val="22"/>
              </w:rPr>
            </w:pPr>
            <w:r w:rsidRPr="007636AD">
              <w:rPr>
                <w:sz w:val="22"/>
                <w:szCs w:val="22"/>
              </w:rPr>
              <w:t>8</w:t>
            </w:r>
          </w:p>
        </w:tc>
        <w:tc>
          <w:tcPr>
            <w:tcW w:w="1701" w:type="dxa"/>
            <w:tcBorders>
              <w:top w:val="nil"/>
              <w:left w:val="nil"/>
              <w:bottom w:val="single" w:sz="4" w:space="0" w:color="auto"/>
              <w:right w:val="single" w:sz="4" w:space="0" w:color="auto"/>
            </w:tcBorders>
            <w:shd w:val="clear" w:color="auto" w:fill="auto"/>
            <w:noWrap/>
            <w:vAlign w:val="center"/>
            <w:hideMark/>
          </w:tcPr>
          <w:p w14:paraId="03641509" w14:textId="77777777" w:rsidR="002F6663" w:rsidRPr="007636AD" w:rsidRDefault="002F6663" w:rsidP="003B76E2">
            <w:pPr>
              <w:jc w:val="both"/>
              <w:rPr>
                <w:sz w:val="22"/>
                <w:szCs w:val="22"/>
              </w:rPr>
            </w:pPr>
            <w:r w:rsidRPr="007636AD">
              <w:rPr>
                <w:sz w:val="22"/>
                <w:szCs w:val="22"/>
              </w:rPr>
              <w:t>20</w:t>
            </w:r>
          </w:p>
        </w:tc>
        <w:tc>
          <w:tcPr>
            <w:tcW w:w="1701" w:type="dxa"/>
            <w:tcBorders>
              <w:top w:val="nil"/>
              <w:left w:val="nil"/>
              <w:bottom w:val="single" w:sz="4" w:space="0" w:color="auto"/>
              <w:right w:val="single" w:sz="4" w:space="0" w:color="auto"/>
            </w:tcBorders>
            <w:shd w:val="clear" w:color="auto" w:fill="auto"/>
            <w:noWrap/>
            <w:vAlign w:val="center"/>
            <w:hideMark/>
          </w:tcPr>
          <w:p w14:paraId="3187BF48" w14:textId="77777777" w:rsidR="002F6663" w:rsidRPr="007636AD" w:rsidRDefault="002F6663" w:rsidP="003B76E2">
            <w:pPr>
              <w:jc w:val="both"/>
              <w:rPr>
                <w:sz w:val="22"/>
                <w:szCs w:val="22"/>
              </w:rPr>
            </w:pPr>
            <w:r w:rsidRPr="007636AD">
              <w:rPr>
                <w:sz w:val="22"/>
                <w:szCs w:val="22"/>
              </w:rPr>
              <w:t>8</w:t>
            </w:r>
          </w:p>
        </w:tc>
        <w:tc>
          <w:tcPr>
            <w:tcW w:w="1559" w:type="dxa"/>
            <w:tcBorders>
              <w:top w:val="nil"/>
              <w:left w:val="nil"/>
              <w:bottom w:val="single" w:sz="4" w:space="0" w:color="auto"/>
              <w:right w:val="single" w:sz="4" w:space="0" w:color="auto"/>
            </w:tcBorders>
            <w:shd w:val="clear" w:color="auto" w:fill="auto"/>
            <w:noWrap/>
            <w:vAlign w:val="center"/>
            <w:hideMark/>
          </w:tcPr>
          <w:p w14:paraId="3FC1EBCC" w14:textId="77777777" w:rsidR="002F6663" w:rsidRPr="007636AD" w:rsidRDefault="002F6663" w:rsidP="003B76E2">
            <w:pPr>
              <w:jc w:val="both"/>
              <w:rPr>
                <w:sz w:val="22"/>
                <w:szCs w:val="22"/>
              </w:rPr>
            </w:pPr>
            <w:r w:rsidRPr="007636AD">
              <w:rPr>
                <w:sz w:val="22"/>
                <w:szCs w:val="22"/>
              </w:rPr>
              <w:t>8</w:t>
            </w:r>
          </w:p>
        </w:tc>
      </w:tr>
      <w:tr w:rsidR="002F6663" w:rsidRPr="007636AD" w14:paraId="5F958E70" w14:textId="77777777" w:rsidTr="005A53E0">
        <w:trPr>
          <w:trHeight w:val="145"/>
        </w:trPr>
        <w:tc>
          <w:tcPr>
            <w:tcW w:w="2435" w:type="dxa"/>
            <w:tcBorders>
              <w:top w:val="nil"/>
              <w:left w:val="single" w:sz="4" w:space="0" w:color="auto"/>
              <w:bottom w:val="single" w:sz="4" w:space="0" w:color="auto"/>
              <w:right w:val="single" w:sz="4" w:space="0" w:color="auto"/>
            </w:tcBorders>
            <w:shd w:val="clear" w:color="000000" w:fill="D0CECE"/>
            <w:vAlign w:val="center"/>
            <w:hideMark/>
          </w:tcPr>
          <w:p w14:paraId="79BF27C6" w14:textId="77777777" w:rsidR="002F6663" w:rsidRPr="007636AD" w:rsidRDefault="002F6663" w:rsidP="003B76E2">
            <w:pPr>
              <w:jc w:val="both"/>
              <w:rPr>
                <w:b/>
                <w:bCs/>
                <w:sz w:val="22"/>
                <w:szCs w:val="22"/>
              </w:rPr>
            </w:pPr>
            <w:r w:rsidRPr="007636AD">
              <w:rPr>
                <w:b/>
                <w:bCs/>
                <w:sz w:val="22"/>
                <w:szCs w:val="22"/>
              </w:rPr>
              <w:t>Mean</w:t>
            </w:r>
          </w:p>
        </w:tc>
        <w:tc>
          <w:tcPr>
            <w:tcW w:w="1388" w:type="dxa"/>
            <w:tcBorders>
              <w:top w:val="nil"/>
              <w:left w:val="nil"/>
              <w:bottom w:val="single" w:sz="4" w:space="0" w:color="auto"/>
              <w:right w:val="single" w:sz="4" w:space="0" w:color="auto"/>
            </w:tcBorders>
            <w:shd w:val="clear" w:color="auto" w:fill="auto"/>
            <w:noWrap/>
            <w:vAlign w:val="center"/>
            <w:hideMark/>
          </w:tcPr>
          <w:p w14:paraId="3565DCFA" w14:textId="77777777" w:rsidR="002F6663" w:rsidRPr="007636AD" w:rsidRDefault="002F6663" w:rsidP="003B76E2">
            <w:pPr>
              <w:jc w:val="both"/>
              <w:rPr>
                <w:sz w:val="22"/>
                <w:szCs w:val="22"/>
              </w:rPr>
            </w:pPr>
            <w:r w:rsidRPr="007636AD">
              <w:rPr>
                <w:sz w:val="22"/>
                <w:szCs w:val="22"/>
              </w:rPr>
              <w:t>15</w:t>
            </w:r>
          </w:p>
        </w:tc>
        <w:tc>
          <w:tcPr>
            <w:tcW w:w="1701" w:type="dxa"/>
            <w:tcBorders>
              <w:top w:val="nil"/>
              <w:left w:val="nil"/>
              <w:bottom w:val="single" w:sz="4" w:space="0" w:color="auto"/>
              <w:right w:val="single" w:sz="4" w:space="0" w:color="auto"/>
            </w:tcBorders>
            <w:shd w:val="clear" w:color="auto" w:fill="auto"/>
            <w:noWrap/>
            <w:vAlign w:val="center"/>
            <w:hideMark/>
          </w:tcPr>
          <w:p w14:paraId="1FDB3B03" w14:textId="77777777" w:rsidR="002F6663" w:rsidRPr="007636AD" w:rsidRDefault="002F6663" w:rsidP="003B76E2">
            <w:pPr>
              <w:jc w:val="both"/>
              <w:rPr>
                <w:sz w:val="22"/>
                <w:szCs w:val="22"/>
              </w:rPr>
            </w:pPr>
            <w:r w:rsidRPr="007636AD">
              <w:rPr>
                <w:sz w:val="22"/>
                <w:szCs w:val="22"/>
              </w:rPr>
              <w:t>17</w:t>
            </w:r>
          </w:p>
        </w:tc>
        <w:tc>
          <w:tcPr>
            <w:tcW w:w="1701" w:type="dxa"/>
            <w:tcBorders>
              <w:top w:val="nil"/>
              <w:left w:val="nil"/>
              <w:bottom w:val="single" w:sz="4" w:space="0" w:color="auto"/>
              <w:right w:val="single" w:sz="4" w:space="0" w:color="auto"/>
            </w:tcBorders>
            <w:shd w:val="clear" w:color="auto" w:fill="auto"/>
            <w:noWrap/>
            <w:vAlign w:val="center"/>
            <w:hideMark/>
          </w:tcPr>
          <w:p w14:paraId="3873B3EA" w14:textId="45999684" w:rsidR="002F6663" w:rsidRPr="007636AD" w:rsidRDefault="002F6663" w:rsidP="003B76E2">
            <w:pPr>
              <w:jc w:val="both"/>
              <w:rPr>
                <w:sz w:val="22"/>
                <w:szCs w:val="22"/>
              </w:rPr>
            </w:pPr>
            <w:r w:rsidRPr="007636AD">
              <w:rPr>
                <w:sz w:val="22"/>
                <w:szCs w:val="22"/>
              </w:rPr>
              <w:t>22</w:t>
            </w:r>
            <w:r w:rsidR="005A53E0">
              <w:rPr>
                <w:sz w:val="22"/>
                <w:szCs w:val="22"/>
              </w:rPr>
              <w:t>.</w:t>
            </w:r>
            <w:r w:rsidRPr="007636AD">
              <w:rPr>
                <w:sz w:val="22"/>
                <w:szCs w:val="22"/>
              </w:rPr>
              <w:t>67</w:t>
            </w:r>
          </w:p>
        </w:tc>
        <w:tc>
          <w:tcPr>
            <w:tcW w:w="1559" w:type="dxa"/>
            <w:tcBorders>
              <w:top w:val="nil"/>
              <w:left w:val="nil"/>
              <w:bottom w:val="single" w:sz="4" w:space="0" w:color="auto"/>
              <w:right w:val="single" w:sz="4" w:space="0" w:color="auto"/>
            </w:tcBorders>
            <w:shd w:val="clear" w:color="auto" w:fill="auto"/>
            <w:noWrap/>
            <w:vAlign w:val="center"/>
            <w:hideMark/>
          </w:tcPr>
          <w:p w14:paraId="49C9D8F8" w14:textId="419F5C27" w:rsidR="002F6663" w:rsidRPr="007636AD" w:rsidRDefault="002F6663" w:rsidP="003B76E2">
            <w:pPr>
              <w:jc w:val="both"/>
              <w:rPr>
                <w:sz w:val="22"/>
                <w:szCs w:val="22"/>
              </w:rPr>
            </w:pPr>
            <w:r w:rsidRPr="007636AD">
              <w:rPr>
                <w:sz w:val="22"/>
                <w:szCs w:val="22"/>
              </w:rPr>
              <w:t>19</w:t>
            </w:r>
            <w:r w:rsidR="005A53E0">
              <w:rPr>
                <w:sz w:val="22"/>
                <w:szCs w:val="22"/>
              </w:rPr>
              <w:t>.</w:t>
            </w:r>
            <w:r w:rsidRPr="007636AD">
              <w:rPr>
                <w:sz w:val="22"/>
                <w:szCs w:val="22"/>
              </w:rPr>
              <w:t>5</w:t>
            </w:r>
          </w:p>
        </w:tc>
      </w:tr>
      <w:tr w:rsidR="002F6663" w:rsidRPr="007636AD" w14:paraId="0E4EB8BD" w14:textId="77777777" w:rsidTr="005A53E0">
        <w:trPr>
          <w:trHeight w:val="291"/>
        </w:trPr>
        <w:tc>
          <w:tcPr>
            <w:tcW w:w="2435" w:type="dxa"/>
            <w:tcBorders>
              <w:top w:val="nil"/>
              <w:left w:val="single" w:sz="4" w:space="0" w:color="auto"/>
              <w:bottom w:val="single" w:sz="4" w:space="0" w:color="auto"/>
              <w:right w:val="single" w:sz="4" w:space="0" w:color="auto"/>
            </w:tcBorders>
            <w:shd w:val="clear" w:color="000000" w:fill="D0CECE"/>
            <w:vAlign w:val="center"/>
            <w:hideMark/>
          </w:tcPr>
          <w:p w14:paraId="0786518E" w14:textId="77777777" w:rsidR="002F6663" w:rsidRPr="007636AD" w:rsidRDefault="002F6663" w:rsidP="003B76E2">
            <w:pPr>
              <w:jc w:val="both"/>
              <w:rPr>
                <w:b/>
                <w:bCs/>
                <w:sz w:val="22"/>
                <w:szCs w:val="22"/>
              </w:rPr>
            </w:pPr>
            <w:r w:rsidRPr="007636AD">
              <w:rPr>
                <w:b/>
                <w:bCs/>
                <w:sz w:val="22"/>
                <w:szCs w:val="22"/>
              </w:rPr>
              <w:t>Std. Deviation</w:t>
            </w:r>
          </w:p>
        </w:tc>
        <w:tc>
          <w:tcPr>
            <w:tcW w:w="1388" w:type="dxa"/>
            <w:tcBorders>
              <w:top w:val="nil"/>
              <w:left w:val="nil"/>
              <w:bottom w:val="single" w:sz="4" w:space="0" w:color="auto"/>
              <w:right w:val="single" w:sz="4" w:space="0" w:color="auto"/>
            </w:tcBorders>
            <w:shd w:val="clear" w:color="auto" w:fill="auto"/>
            <w:noWrap/>
            <w:vAlign w:val="center"/>
            <w:hideMark/>
          </w:tcPr>
          <w:p w14:paraId="46F37985" w14:textId="051BC943" w:rsidR="002F6663" w:rsidRPr="007636AD" w:rsidRDefault="002F6663" w:rsidP="003B76E2">
            <w:pPr>
              <w:jc w:val="both"/>
              <w:rPr>
                <w:sz w:val="22"/>
                <w:szCs w:val="22"/>
              </w:rPr>
            </w:pPr>
            <w:r w:rsidRPr="007636AD">
              <w:rPr>
                <w:sz w:val="22"/>
                <w:szCs w:val="22"/>
              </w:rPr>
              <w:t>3</w:t>
            </w:r>
            <w:r w:rsidR="005A53E0">
              <w:rPr>
                <w:sz w:val="22"/>
                <w:szCs w:val="22"/>
              </w:rPr>
              <w:t>.</w:t>
            </w:r>
            <w:r w:rsidRPr="007636AD">
              <w:rPr>
                <w:sz w:val="22"/>
                <w:szCs w:val="22"/>
              </w:rPr>
              <w:t>83</w:t>
            </w:r>
          </w:p>
        </w:tc>
        <w:tc>
          <w:tcPr>
            <w:tcW w:w="1701" w:type="dxa"/>
            <w:tcBorders>
              <w:top w:val="nil"/>
              <w:left w:val="nil"/>
              <w:bottom w:val="single" w:sz="4" w:space="0" w:color="auto"/>
              <w:right w:val="single" w:sz="4" w:space="0" w:color="auto"/>
            </w:tcBorders>
            <w:shd w:val="clear" w:color="auto" w:fill="auto"/>
            <w:noWrap/>
            <w:vAlign w:val="center"/>
            <w:hideMark/>
          </w:tcPr>
          <w:p w14:paraId="0589C15B" w14:textId="77777777" w:rsidR="002F6663" w:rsidRPr="007636AD" w:rsidRDefault="002F6663" w:rsidP="003B76E2">
            <w:pPr>
              <w:jc w:val="both"/>
              <w:rPr>
                <w:sz w:val="22"/>
                <w:szCs w:val="22"/>
              </w:rPr>
            </w:pPr>
            <w:r w:rsidRPr="007636AD">
              <w:rPr>
                <w:sz w:val="22"/>
                <w:szCs w:val="22"/>
              </w:rPr>
              <w:t>10</w:t>
            </w:r>
          </w:p>
        </w:tc>
        <w:tc>
          <w:tcPr>
            <w:tcW w:w="1701" w:type="dxa"/>
            <w:tcBorders>
              <w:top w:val="nil"/>
              <w:left w:val="nil"/>
              <w:bottom w:val="single" w:sz="4" w:space="0" w:color="auto"/>
              <w:right w:val="single" w:sz="4" w:space="0" w:color="auto"/>
            </w:tcBorders>
            <w:shd w:val="clear" w:color="auto" w:fill="auto"/>
            <w:noWrap/>
            <w:vAlign w:val="center"/>
            <w:hideMark/>
          </w:tcPr>
          <w:p w14:paraId="10CB71F7" w14:textId="4D6B17DA" w:rsidR="002F6663" w:rsidRPr="007636AD" w:rsidRDefault="002F6663" w:rsidP="003B76E2">
            <w:pPr>
              <w:jc w:val="both"/>
              <w:rPr>
                <w:sz w:val="22"/>
                <w:szCs w:val="22"/>
              </w:rPr>
            </w:pPr>
            <w:r w:rsidRPr="007636AD">
              <w:rPr>
                <w:sz w:val="22"/>
                <w:szCs w:val="22"/>
              </w:rPr>
              <w:t>3</w:t>
            </w:r>
            <w:r w:rsidR="005A53E0">
              <w:rPr>
                <w:sz w:val="22"/>
                <w:szCs w:val="22"/>
              </w:rPr>
              <w:t>.</w:t>
            </w:r>
            <w:r w:rsidRPr="007636AD">
              <w:rPr>
                <w:sz w:val="22"/>
                <w:szCs w:val="22"/>
              </w:rPr>
              <w:t>266</w:t>
            </w:r>
          </w:p>
        </w:tc>
        <w:tc>
          <w:tcPr>
            <w:tcW w:w="1559" w:type="dxa"/>
            <w:tcBorders>
              <w:top w:val="nil"/>
              <w:left w:val="nil"/>
              <w:bottom w:val="single" w:sz="4" w:space="0" w:color="auto"/>
              <w:right w:val="single" w:sz="4" w:space="0" w:color="auto"/>
            </w:tcBorders>
            <w:shd w:val="clear" w:color="auto" w:fill="auto"/>
            <w:noWrap/>
            <w:vAlign w:val="center"/>
            <w:hideMark/>
          </w:tcPr>
          <w:p w14:paraId="67DFC328" w14:textId="3D37B885" w:rsidR="002F6663" w:rsidRPr="007636AD" w:rsidRDefault="002F6663" w:rsidP="003B76E2">
            <w:pPr>
              <w:jc w:val="both"/>
              <w:rPr>
                <w:sz w:val="22"/>
                <w:szCs w:val="22"/>
              </w:rPr>
            </w:pPr>
            <w:r w:rsidRPr="007636AD">
              <w:rPr>
                <w:sz w:val="22"/>
                <w:szCs w:val="22"/>
              </w:rPr>
              <w:t>2</w:t>
            </w:r>
            <w:r w:rsidR="005A53E0">
              <w:rPr>
                <w:sz w:val="22"/>
                <w:szCs w:val="22"/>
              </w:rPr>
              <w:t>.</w:t>
            </w:r>
            <w:r w:rsidRPr="007636AD">
              <w:rPr>
                <w:sz w:val="22"/>
                <w:szCs w:val="22"/>
              </w:rPr>
              <w:t>563</w:t>
            </w:r>
          </w:p>
        </w:tc>
      </w:tr>
      <w:tr w:rsidR="002F6663" w:rsidRPr="007636AD" w14:paraId="7014CC3C" w14:textId="77777777" w:rsidTr="005A53E0">
        <w:trPr>
          <w:trHeight w:val="291"/>
        </w:trPr>
        <w:tc>
          <w:tcPr>
            <w:tcW w:w="2435" w:type="dxa"/>
            <w:tcBorders>
              <w:top w:val="nil"/>
              <w:left w:val="single" w:sz="4" w:space="0" w:color="auto"/>
              <w:bottom w:val="single" w:sz="4" w:space="0" w:color="auto"/>
              <w:right w:val="single" w:sz="4" w:space="0" w:color="auto"/>
            </w:tcBorders>
            <w:shd w:val="clear" w:color="000000" w:fill="D0CECE"/>
            <w:vAlign w:val="center"/>
            <w:hideMark/>
          </w:tcPr>
          <w:p w14:paraId="7D11F104" w14:textId="77777777" w:rsidR="002F6663" w:rsidRPr="007636AD" w:rsidRDefault="002F6663" w:rsidP="003B76E2">
            <w:pPr>
              <w:jc w:val="both"/>
              <w:rPr>
                <w:b/>
                <w:bCs/>
                <w:sz w:val="22"/>
                <w:szCs w:val="22"/>
              </w:rPr>
            </w:pPr>
            <w:r w:rsidRPr="007636AD">
              <w:rPr>
                <w:b/>
                <w:bCs/>
                <w:sz w:val="22"/>
                <w:szCs w:val="22"/>
              </w:rPr>
              <w:t>Std. Error of Mean</w:t>
            </w:r>
          </w:p>
        </w:tc>
        <w:tc>
          <w:tcPr>
            <w:tcW w:w="1388" w:type="dxa"/>
            <w:tcBorders>
              <w:top w:val="nil"/>
              <w:left w:val="nil"/>
              <w:bottom w:val="single" w:sz="4" w:space="0" w:color="auto"/>
              <w:right w:val="single" w:sz="4" w:space="0" w:color="auto"/>
            </w:tcBorders>
            <w:shd w:val="clear" w:color="auto" w:fill="auto"/>
            <w:noWrap/>
            <w:vAlign w:val="center"/>
            <w:hideMark/>
          </w:tcPr>
          <w:p w14:paraId="345815CC" w14:textId="50CCBE7C" w:rsidR="002F6663" w:rsidRPr="007636AD" w:rsidRDefault="002F6663" w:rsidP="003B76E2">
            <w:pPr>
              <w:jc w:val="both"/>
              <w:rPr>
                <w:sz w:val="22"/>
                <w:szCs w:val="22"/>
              </w:rPr>
            </w:pPr>
            <w:r w:rsidRPr="007636AD">
              <w:rPr>
                <w:sz w:val="22"/>
                <w:szCs w:val="22"/>
              </w:rPr>
              <w:t>1</w:t>
            </w:r>
            <w:r w:rsidR="005A53E0">
              <w:rPr>
                <w:sz w:val="22"/>
                <w:szCs w:val="22"/>
              </w:rPr>
              <w:t>.</w:t>
            </w:r>
            <w:r w:rsidRPr="007636AD">
              <w:rPr>
                <w:sz w:val="22"/>
                <w:szCs w:val="22"/>
              </w:rPr>
              <w:t>915</w:t>
            </w:r>
          </w:p>
        </w:tc>
        <w:tc>
          <w:tcPr>
            <w:tcW w:w="1701" w:type="dxa"/>
            <w:tcBorders>
              <w:top w:val="nil"/>
              <w:left w:val="nil"/>
              <w:bottom w:val="single" w:sz="4" w:space="0" w:color="auto"/>
              <w:right w:val="single" w:sz="4" w:space="0" w:color="auto"/>
            </w:tcBorders>
            <w:shd w:val="clear" w:color="auto" w:fill="auto"/>
            <w:noWrap/>
            <w:vAlign w:val="center"/>
            <w:hideMark/>
          </w:tcPr>
          <w:p w14:paraId="324909F4" w14:textId="77777777" w:rsidR="002F6663" w:rsidRPr="007636AD" w:rsidRDefault="002F6663" w:rsidP="003B76E2">
            <w:pPr>
              <w:jc w:val="both"/>
              <w:rPr>
                <w:sz w:val="22"/>
                <w:szCs w:val="22"/>
              </w:rPr>
            </w:pPr>
            <w:r w:rsidRPr="007636AD">
              <w:rPr>
                <w:sz w:val="22"/>
                <w:szCs w:val="22"/>
              </w:rPr>
              <w:t>5</w:t>
            </w:r>
          </w:p>
        </w:tc>
        <w:tc>
          <w:tcPr>
            <w:tcW w:w="1701" w:type="dxa"/>
            <w:tcBorders>
              <w:top w:val="nil"/>
              <w:left w:val="nil"/>
              <w:bottom w:val="single" w:sz="4" w:space="0" w:color="auto"/>
              <w:right w:val="single" w:sz="4" w:space="0" w:color="auto"/>
            </w:tcBorders>
            <w:shd w:val="clear" w:color="auto" w:fill="auto"/>
            <w:noWrap/>
            <w:vAlign w:val="center"/>
            <w:hideMark/>
          </w:tcPr>
          <w:p w14:paraId="370F9D20" w14:textId="7C848828" w:rsidR="002F6663" w:rsidRPr="007636AD" w:rsidRDefault="002F6663" w:rsidP="003B76E2">
            <w:pPr>
              <w:jc w:val="both"/>
              <w:rPr>
                <w:sz w:val="22"/>
                <w:szCs w:val="22"/>
              </w:rPr>
            </w:pPr>
            <w:r w:rsidRPr="007636AD">
              <w:rPr>
                <w:sz w:val="22"/>
                <w:szCs w:val="22"/>
              </w:rPr>
              <w:t>1</w:t>
            </w:r>
            <w:r w:rsidR="005A53E0">
              <w:rPr>
                <w:sz w:val="22"/>
                <w:szCs w:val="22"/>
              </w:rPr>
              <w:t>.</w:t>
            </w:r>
            <w:r w:rsidRPr="007636AD">
              <w:rPr>
                <w:sz w:val="22"/>
                <w:szCs w:val="22"/>
              </w:rPr>
              <w:t>333</w:t>
            </w:r>
          </w:p>
        </w:tc>
        <w:tc>
          <w:tcPr>
            <w:tcW w:w="1559" w:type="dxa"/>
            <w:tcBorders>
              <w:top w:val="nil"/>
              <w:left w:val="nil"/>
              <w:bottom w:val="single" w:sz="4" w:space="0" w:color="auto"/>
              <w:right w:val="single" w:sz="4" w:space="0" w:color="auto"/>
            </w:tcBorders>
            <w:shd w:val="clear" w:color="auto" w:fill="auto"/>
            <w:noWrap/>
            <w:vAlign w:val="center"/>
            <w:hideMark/>
          </w:tcPr>
          <w:p w14:paraId="6D0B930A" w14:textId="578D6838" w:rsidR="002F6663" w:rsidRPr="007636AD" w:rsidRDefault="002F6663" w:rsidP="003B76E2">
            <w:pPr>
              <w:jc w:val="both"/>
              <w:rPr>
                <w:sz w:val="22"/>
                <w:szCs w:val="22"/>
              </w:rPr>
            </w:pPr>
            <w:r w:rsidRPr="007636AD">
              <w:rPr>
                <w:sz w:val="22"/>
                <w:szCs w:val="22"/>
              </w:rPr>
              <w:t>0</w:t>
            </w:r>
            <w:r w:rsidR="005A53E0">
              <w:rPr>
                <w:sz w:val="22"/>
                <w:szCs w:val="22"/>
              </w:rPr>
              <w:t>.</w:t>
            </w:r>
            <w:r w:rsidRPr="007636AD">
              <w:rPr>
                <w:sz w:val="22"/>
                <w:szCs w:val="22"/>
              </w:rPr>
              <w:t>9063</w:t>
            </w:r>
          </w:p>
        </w:tc>
      </w:tr>
    </w:tbl>
    <w:p w14:paraId="36DA1798" w14:textId="18CF12E2" w:rsidR="00F9496D" w:rsidRDefault="00F9496D" w:rsidP="003B76E2">
      <w:pPr>
        <w:jc w:val="both"/>
        <w:rPr>
          <w:color w:val="000000" w:themeColor="text1"/>
          <w:lang w:val="en-US"/>
        </w:rPr>
      </w:pPr>
    </w:p>
    <w:p w14:paraId="6FB0ED85" w14:textId="77777777" w:rsidR="00EF4659" w:rsidRPr="00EF4659" w:rsidRDefault="00EF4659" w:rsidP="003B76E2">
      <w:pPr>
        <w:jc w:val="both"/>
        <w:rPr>
          <w:rFonts w:asciiTheme="majorHAnsi" w:eastAsiaTheme="majorEastAsia" w:hAnsiTheme="majorHAnsi" w:cstheme="majorBidi"/>
          <w:color w:val="2F5496" w:themeColor="accent1" w:themeShade="BF"/>
          <w:sz w:val="32"/>
          <w:szCs w:val="32"/>
        </w:rPr>
      </w:pPr>
      <w:r w:rsidRPr="00EF4659">
        <w:rPr>
          <w:rFonts w:asciiTheme="majorHAnsi" w:eastAsiaTheme="majorEastAsia" w:hAnsiTheme="majorHAnsi" w:cstheme="majorBidi"/>
          <w:color w:val="2F5496" w:themeColor="accent1" w:themeShade="BF"/>
          <w:sz w:val="32"/>
          <w:szCs w:val="32"/>
        </w:rPr>
        <w:t>The integrity of the liver is evident in the controlled uptake of BR and BRG</w:t>
      </w:r>
    </w:p>
    <w:p w14:paraId="72A3DF4C" w14:textId="77777777" w:rsidR="00541D27" w:rsidRDefault="00080840" w:rsidP="003B76E2">
      <w:pPr>
        <w:jc w:val="both"/>
        <w:rPr>
          <w:lang w:val="en-US"/>
        </w:rPr>
      </w:pPr>
      <w:r>
        <w:t>Livers released endogenous BR in the sinusoid, which occurred in the very first fractions of all experiments (1.2 ± 0.5 nM, n=24). This could be due to the efflux of the intracellular "mobile" BR, i.e. the protein-free fraction</w:t>
      </w:r>
      <w:r w:rsidRPr="00080840">
        <w:rPr>
          <w:lang w:val="en-US"/>
        </w:rPr>
        <w:t xml:space="preserve"> </w:t>
      </w:r>
      <w:r w:rsidR="002C2DEE">
        <w:rPr>
          <w:lang w:val="en-US"/>
        </w:rPr>
        <w:fldChar w:fldCharType="begin" w:fldLock="1"/>
      </w:r>
      <w:r w:rsidR="00E05C4B">
        <w:rPr>
          <w:lang w:val="en-US"/>
        </w:rPr>
        <w:instrText>ADDIN CSL_CITATION {"citationItems":[{"id":"ITEM-1","itemData":{"DOI":"10.2147/CEG.S64283","ISSN":"1178-7023","PMID":"25214800","abstract":"Serum bilirubin measurements are commonly obtained for the evaluation of ill patients and to screen for liver disease in routine physical exams. An enormous research effort has identified the multiple mechanisms involved in the production and metabolism of conjugated (CB) and unconjugated bilirubin (UB). While the qualitative effects of these mechanisms are well understood, their expected quantitative influence on serum bilirubin homeostasis has received less attention. In this review, each of the steps involved in bilirubin production, metabolism, hepatic cell uptake, and excretion is quantitatively examined. We then attempt to predict the expected effect of normal and defective function on serum UB and CB levels in health and disease states including hemolysis, extra- and intrahepatic cholestasis, hepatocellular diseases (eg, cirrhosis, hepatitis), and various congenital defects in bilirubin conjugation and secretion (eg, Gilbert's, Dubin-Johnson, Crigler-Najjar, Rotor syndromes). Novel aspects of this review include: 1) quantitative estimates of the free and total UB and CB in the plasma, hepatocyte, and bile; 2) detailed discussion of the important implications of the recently recognized role of the hepatic OATP transporters in the maintenance of CB homeostasis; 3) discussion of the differences between the standard diazo assay versus chromatographic measurement of CB and UB; 4) pharmacokinetic implications of the extremely high-affinity albumin binding of UB; 5) role of the enterohepatic circulation in physiologic jaundice of newborn and fasting hyperbilirubinemia; and 6) insights concerning the clinical interpretation of bilirubin measurements.","author":[{"dropping-particle":"","family":"Levitt","given":"David G","non-dropping-particle":"","parse-names":false,"suffix":""},{"dropping-particle":"","family":"Levitt","given":"Michael D","non-dropping-particle":"","parse-names":false,"suffix":""}],"container-title":"Clinical and experimental gastroenterology","id":"ITEM-1","issued":{"date-parts":[["2014","1","2"]]},"language":"English","page":"307-28","publisher":"Dove Press","title":"Quantitative assessment of the multiple processes responsible for bilirubin homeostasis in health and disease.","type":"article-journal","volume":"7"},"uris":["http://www.mendeley.com/documents/?uuid=24c67a6c-36ae-487a-85be-5714816e2cfc"]}],"mendeley":{"formattedCitation":"[63]","plainTextFormattedCitation":"[63]","previouslyFormattedCitation":"[63]"},"properties":{"noteIndex":0},"schema":"https://github.com/citation-style-language/schema/raw/master/csl-citation.json"}</w:instrText>
      </w:r>
      <w:r w:rsidR="002C2DEE">
        <w:rPr>
          <w:lang w:val="en-US"/>
        </w:rPr>
        <w:fldChar w:fldCharType="separate"/>
      </w:r>
      <w:r w:rsidR="006A7258" w:rsidRPr="006A7258">
        <w:rPr>
          <w:noProof/>
          <w:lang w:val="en-US"/>
        </w:rPr>
        <w:t>[63]</w:t>
      </w:r>
      <w:r w:rsidR="002C2DEE">
        <w:rPr>
          <w:lang w:val="en-US"/>
        </w:rPr>
        <w:fldChar w:fldCharType="end"/>
      </w:r>
      <w:r w:rsidR="002C2DEE">
        <w:rPr>
          <w:lang w:val="en-US"/>
        </w:rPr>
        <w:t xml:space="preserve">. </w:t>
      </w:r>
      <w:r w:rsidR="001F228A">
        <w:t>Conversely, livers were able to absorb repeated boli of 10 nmol BR almost completely, with a residual amount of BR (0.13%, n=68) recovered in the liver perfusion effluent</w:t>
      </w:r>
      <w:r w:rsidR="002C2DEE">
        <w:rPr>
          <w:lang w:val="en-US"/>
        </w:rPr>
        <w:t xml:space="preserve">. </w:t>
      </w:r>
      <w:r w:rsidR="001F228A">
        <w:t xml:space="preserve">Simultaneous injection of C3G with BR had considerable effects on the occurrence of BR in the effluent (Fig. 1), but had a negligible effect on the uptake balance, as the proportion of BR recovered in the effluent increased to </w:t>
      </w:r>
      <w:r w:rsidR="003B76E2" w:rsidRPr="003B76E2">
        <w:rPr>
          <w:lang w:val="en-US"/>
        </w:rPr>
        <w:t xml:space="preserve">only </w:t>
      </w:r>
      <w:r w:rsidR="001F228A">
        <w:t>0.36% (n = 68), demonstrating an overwhelming driving force for the uptake of BR from the sinusoid.</w:t>
      </w:r>
      <w:r w:rsidR="002C2DEE">
        <w:rPr>
          <w:lang w:val="en-US"/>
        </w:rPr>
        <w:t xml:space="preserve"> </w:t>
      </w:r>
    </w:p>
    <w:p w14:paraId="3BE4EAB7" w14:textId="77777777" w:rsidR="00541D27" w:rsidRDefault="003B0905" w:rsidP="003B76E2">
      <w:pPr>
        <w:jc w:val="both"/>
        <w:rPr>
          <w:lang w:val="en-US"/>
        </w:rPr>
      </w:pPr>
      <w:r>
        <w:t>This result arises from the combination of the biophysical properties of BR membrane transport, the geometric property of this model, and perfusion fl</w:t>
      </w:r>
      <w:r w:rsidRPr="003B0905">
        <w:rPr>
          <w:lang w:val="en-US"/>
        </w:rPr>
        <w:t>o</w:t>
      </w:r>
      <w:r>
        <w:rPr>
          <w:lang w:val="en-US"/>
        </w:rPr>
        <w:t>w rate</w:t>
      </w:r>
      <w:r w:rsidR="002C2DEE">
        <w:rPr>
          <w:lang w:val="en-US"/>
        </w:rPr>
        <w:t xml:space="preserve">. </w:t>
      </w:r>
      <w:r w:rsidR="00541D27" w:rsidRPr="00541D27">
        <w:rPr>
          <w:lang w:val="en-US"/>
        </w:rPr>
        <w:t xml:space="preserve">BR </w:t>
      </w:r>
      <w:r w:rsidR="00541D27">
        <w:rPr>
          <w:lang w:val="en-US"/>
        </w:rPr>
        <w:t xml:space="preserve">diffusion across the sinusoidal membrane of the hepatocyte </w:t>
      </w:r>
      <w:r w:rsidR="00F146DC">
        <w:t xml:space="preserve">is </w:t>
      </w:r>
      <w:r w:rsidR="00541D27" w:rsidRPr="00541D27">
        <w:rPr>
          <w:lang w:val="en-US"/>
        </w:rPr>
        <w:t>a rapid</w:t>
      </w:r>
      <w:r w:rsidR="00541D27">
        <w:rPr>
          <w:lang w:val="en-US"/>
        </w:rPr>
        <w:t>, transporter-mediated</w:t>
      </w:r>
      <w:r w:rsidR="00541D27" w:rsidRPr="00541D27">
        <w:rPr>
          <w:lang w:val="en-US"/>
        </w:rPr>
        <w:t xml:space="preserve"> </w:t>
      </w:r>
      <w:r w:rsidR="00541D27">
        <w:rPr>
          <w:lang w:val="en-US"/>
        </w:rPr>
        <w:t>process</w:t>
      </w:r>
      <w:r w:rsidR="00F146DC">
        <w:t>, as shown by pharmacokinetic observations in the rat</w:t>
      </w:r>
      <w:r w:rsidR="00F146DC" w:rsidRPr="00F146DC">
        <w:rPr>
          <w:lang w:val="en-US"/>
        </w:rPr>
        <w:t xml:space="preserve"> </w:t>
      </w:r>
      <w:r w:rsidR="002C2DEE">
        <w:rPr>
          <w:lang w:val="en-US"/>
        </w:rPr>
        <w:fldChar w:fldCharType="begin" w:fldLock="1"/>
      </w:r>
      <w:r w:rsidR="00E05C4B">
        <w:rPr>
          <w:lang w:val="en-US"/>
        </w:rPr>
        <w:instrText>ADDIN CSL_CITATION {"citationItems":[{"id":"ITEM-1","itemData":{"DOI":"10.1172/JCI108204","ISSN":"0021-9738 (Print)","PMID":"1184749","abstract":"The hepatic uptake of bilirubin (BR), indocyanine green (ICG), and sulfobromophthalein (BSP) was studied in 350 anesthetized Sprague-Dawley rats by determining the initial plasma disappearance rate (V) of various doses of unlabeled ICG, or of tracer quantities of [3H]BR or [35S]BSP injected into the jugular vein simultaneously with varying amounts of unlabeled BR or BSP. Similar studies were also performed involving the simultaneous injection of potential inhibitors of hepatic uptake. The results indicate that: (a) hepatic uptake determined by direct tissue measurement could be accurately estimated from the plasma disappearance data; (b) saturation of hepatic uptake with increasing dose was readily demonstrated for each of these three organic anions, and in each instance a plot of V versus dose took the form of a rectangular hyperbola analyzable in terms of Michaelis-Menten kinetics; (c) for BR, the saturable uptake process showed a Vmax more than 100 times the normal net transfer rate from plasma to bile; (d) hepatic uptake of BR, BSP, and ICG showed relatively selective, mutually competitive inhibition; glycoholic acid did not inhibit hepatic uptake of any of these substances; and (e) \"counter-transport\" could be demonstrated for each of the three test substances. These data are compatible with the existence of a carrier-mediated transport process for hepatic uptake of each of these three organic anions and clarify the relationship of hepatic BR uptake to its overall transport from plasma to bile.","author":[{"dropping-particle":"","family":"Scharschmidt","given":"B F","non-dropping-particle":"","parse-names":false,"suffix":""},{"dropping-particle":"","family":"Waggoner","given":"J G","non-dropping-particle":"","parse-names":false,"suffix":""},{"dropping-particle":"","family":"Berk","given":"P D","non-dropping-particle":"","parse-names":false,"suffix":""}],"container-title":"The Journal of clinical investigation","id":"ITEM-1","issue":"5","issued":{"date-parts":[["1975","11"]]},"language":"eng","page":"1280-1292","publisher-place":"United States","title":"Hepatic organic anion uptake in the rat.","type":"article-journal","volume":"56"},"uris":["http://www.mendeley.com/documents/?uuid=c3e9fcc0-a64f-41de-b7b5-1cc1ef388c5b"]}],"mendeley":{"formattedCitation":"[64]","plainTextFormattedCitation":"[64]","previouslyFormattedCitation":"[64]"},"properties":{"noteIndex":0},"schema":"https://github.com/citation-style-language/schema/raw/master/csl-citation.json"}</w:instrText>
      </w:r>
      <w:r w:rsidR="002C2DEE">
        <w:rPr>
          <w:lang w:val="en-US"/>
        </w:rPr>
        <w:fldChar w:fldCharType="separate"/>
      </w:r>
      <w:r w:rsidR="006A7258" w:rsidRPr="006A7258">
        <w:rPr>
          <w:noProof/>
          <w:lang w:val="en-US"/>
        </w:rPr>
        <w:t>[64]</w:t>
      </w:r>
      <w:r w:rsidR="002C2DEE">
        <w:rPr>
          <w:lang w:val="en-US"/>
        </w:rPr>
        <w:fldChar w:fldCharType="end"/>
      </w:r>
      <w:r w:rsidR="002C2DEE">
        <w:rPr>
          <w:lang w:val="en-US"/>
        </w:rPr>
        <w:t xml:space="preserve">, </w:t>
      </w:r>
      <w:r w:rsidR="00F146DC">
        <w:t>later demonstrations in cultured hepatocytes exposed to nM BR in an albumin-free buffer where an anti-bilitranslocase antibody blocked uptake</w:t>
      </w:r>
      <w:r w:rsidR="002C2DEE">
        <w:rPr>
          <w:lang w:val="en-US"/>
        </w:rPr>
        <w:t xml:space="preserve"> </w:t>
      </w:r>
      <w:r w:rsidR="002C2DEE">
        <w:rPr>
          <w:lang w:val="en-US"/>
        </w:rPr>
        <w:fldChar w:fldCharType="begin" w:fldLock="1"/>
      </w:r>
      <w:r w:rsidR="00D82436">
        <w:rPr>
          <w:lang w:val="en-US"/>
        </w:rPr>
        <w:instrText>ADDIN CSL_CITATION {"citationItems":[{"id":"ITEM-1","itemData":{"PMID":"16262692","abstract":"Bilitranslocase is a carrier protein localized at the basolateral domain of the hepatocyte plasma membrane. It transports various organic anions, including bromosulfophthalein and anthocyanins. Functional studies in subcellular fractions enriched in plasma membrane revealed a high-affinity binding site for bilirubin, associated with bilitranslocase. The aim of this work was to test whether the liver uptake of bilirubin depends on the activity of bilitranslocase. To this purpose, an assay of bilirubin uptake into HepG2 cell cultures was set up. The transport assay medium contained bilirubin at a concentration of approximately 50 nm in the absence of albumin. To analyse the relative changes in bilirubin concentration in the medium throughout the uptake experiment, a highly sensitive thermal lens spectrometry method was used. The mechanism of bilirubin uptake into HepG2 cells was investigated by using inhibitors such as anti-sequence bilitranslocase antibodies, the protein-modifying reagent phenylmethanesulfonyl fluoride and diverse organic anions, including nicotinic acid, taurocholate and digoxin. To validate the assay further, both bromosulfophthalein and indocyanine green uptake in HepG2 cells was also characterized. The results obtained show that bilitranslocase is a carrier with specificity for both bilirubin and bromosulfophthalein, but not for indocyanine green.","author":[{"dropping-particle":"","family":"Passamonti","given":"Sabina","non-dropping-particle":"","parse-names":false,"suffix":""},{"dropping-particle":"","family":"Terdoslavich","given":"Michela","non-dropping-particle":"","parse-names":false,"suffix":""},{"dropping-particle":"","family":"Margon","given":"Alja","non-dropping-particle":"","parse-names":false,"suffix":""},{"dropping-particle":"","family":"Cocolo","given":"Alessandra","non-dropping-particle":"","parse-names":false,"suffix":""},{"dropping-particle":"","family":"Medic","given":"Nevenka","non-dropping-particle":"","parse-names":false,"suffix":""},{"dropping-particle":"","family":"Micali","given":"Fulvio","non-dropping-particle":"","parse-names":false,"suffix":""},{"dropping-particle":"","family":"Decorti","given":"Giuliana","non-dropping-particle":"","parse-names":false,"suffix":""},{"dropping-particle":"","family":"Franko","given":"Mladen","non-dropping-particle":"","parse-names":false,"suffix":""}],"container-title":"FEBS Journal","id":"ITEM-1","issue":"21","issued":{"date-parts":[["2005"]]},"page":"5522-5535","title":"Uptake of bilirubin into HepG2 cells assayed by thermal lens spectroscopy: Function of bilitranslocase","type":"article-journal","volume":"272"},"uris":["http://www.mendeley.com/documents/?uuid=c0a5e541-9e23-4611-adcf-9867ec5b62ec"]}],"mendeley":{"formattedCitation":"[24]","plainTextFormattedCitation":"[24]","previouslyFormattedCitation":"[24]"},"properties":{"noteIndex":0},"schema":"https://github.com/citation-style-language/schema/raw/master/csl-citation.json"}</w:instrText>
      </w:r>
      <w:r w:rsidR="002C2DEE">
        <w:rPr>
          <w:lang w:val="en-US"/>
        </w:rPr>
        <w:fldChar w:fldCharType="separate"/>
      </w:r>
      <w:r w:rsidR="008C0DA1" w:rsidRPr="008C0DA1">
        <w:rPr>
          <w:noProof/>
          <w:lang w:val="en-US"/>
        </w:rPr>
        <w:t>[24]</w:t>
      </w:r>
      <w:r w:rsidR="002C2DEE">
        <w:rPr>
          <w:lang w:val="en-US"/>
        </w:rPr>
        <w:fldChar w:fldCharType="end"/>
      </w:r>
      <w:r w:rsidR="002C2DEE">
        <w:rPr>
          <w:lang w:val="en-US"/>
        </w:rPr>
        <w:t xml:space="preserve">, and the data obtained in this study. </w:t>
      </w:r>
    </w:p>
    <w:p w14:paraId="61D84D94" w14:textId="61A2C177" w:rsidR="002C2DEE" w:rsidRPr="00080840" w:rsidRDefault="00F146DC" w:rsidP="003B76E2">
      <w:pPr>
        <w:jc w:val="both"/>
      </w:pPr>
      <w:r>
        <w:t>The vascular volume of the rat liver is approximately 5% of the liver volume</w:t>
      </w:r>
      <w:r w:rsidR="002C2DEE">
        <w:rPr>
          <w:lang w:val="en-US"/>
        </w:rPr>
        <w:t xml:space="preserve"> </w:t>
      </w:r>
      <w:r w:rsidR="002C2DEE">
        <w:rPr>
          <w:lang w:val="en-US"/>
        </w:rPr>
        <w:fldChar w:fldCharType="begin" w:fldLock="1"/>
      </w:r>
      <w:r w:rsidR="00E05C4B">
        <w:rPr>
          <w:lang w:val="en-US"/>
        </w:rPr>
        <w:instrText>ADDIN CSL_CITATION {"citationItems":[{"id":"ITEM-1","itemData":{"DOI":"10.1016/S0002-9440(10)63913-2","ISSN":"0002-9440","abstract":"Three-dimensional reconstruction of the biliary tree, hepatic artery, and portal vein in normal rats and rats fed alpha-naphthylisothiocyanate (ANIT), a compound that causes selective proliferation of epithelial cells (ie, cholangiocytes) that line the bile ducts, was performed. All hepatic structures in ANIT-fed rats branched 1.5 times more often than in normal rats, reflecting an increased number of segments, whereas the length of the biliary tree, hepatic artery, and portal vein remain unchanged. The length of the proximal vessel segments was uniform in both groups of rats whereas the length of distal segments decreased twofold in ANIT-fed rats, suggesting that small vessels preferentially undergo proliferation. In contrast, the length of all bile duct segments decreased twofold, suggesting that ANIT induced proliferation of all compartments of the biliary tree. The total volume of the biliary tree, hepatic artery, and portal vein was increased 18, 4, and 3 times, respectively, after ANIT feeding. The diameters of the bile ducts (range, 20 to 259 microm) and arterial (range, 21 to 276 microm) segments in ANIT-fed rats did not differ from normal rats (range, 21 to 245 microm and 20 to 265 microm, respectively). In contrast, the diameters of proximal venous segments in ANIT-fed rats were significantly less (316 +/- 68 micro m versus 488 +/- 89 micro m, P &lt; 0.001). The data suggest that after experimentally induced cholangiocyte proliferation, the hepatic artery and portal vein also undergo marked proliferation, presumably to support the increased nutritional and functional demands of the proliferated bile ducts. The molecular mechanisms of these vascular changes remain to be determined.","author":[{"dropping-particle":"V","family":"Masyuk","given":"Tatyana","non-dropping-particle":"","parse-names":false,"suffix":""},{"dropping-particle":"","family":"Ritman","given":"Erik L","non-dropping-particle":"","parse-names":false,"suffix":""},{"dropping-particle":"","family":"LaRusso","given":"Nicholas F","non-dropping-particle":"","parse-names":false,"suffix":""}],"container-title":"The American journal of pathology","id":"ITEM-1","issue":"4","issued":{"date-parts":[["2003","4"]]},"language":"eng","page":"1175-1182","publisher":"American Society for Investigative Pathology","title":"Hepatic artery and portal vein remodeling in rat liver: vascular response to selective cholangiocyte proliferation","type":"article-journal","volume":"162"},"uris":["http://www.mendeley.com/documents/?uuid=fd967360-e250-4faa-92a1-e302648ed303"]}],"mendeley":{"formattedCitation":"[65]","plainTextFormattedCitation":"[65]","previouslyFormattedCitation":"[65]"},"properties":{"noteIndex":0},"schema":"https://github.com/citation-style-language/schema/raw/master/csl-citation.json"}</w:instrText>
      </w:r>
      <w:r w:rsidR="002C2DEE">
        <w:rPr>
          <w:lang w:val="en-US"/>
        </w:rPr>
        <w:fldChar w:fldCharType="separate"/>
      </w:r>
      <w:r w:rsidR="006A7258" w:rsidRPr="006A7258">
        <w:rPr>
          <w:noProof/>
          <w:lang w:val="en-US"/>
        </w:rPr>
        <w:t>[65]</w:t>
      </w:r>
      <w:r w:rsidR="002C2DEE">
        <w:rPr>
          <w:lang w:val="en-US"/>
        </w:rPr>
        <w:fldChar w:fldCharType="end"/>
      </w:r>
      <w:r w:rsidR="002C2DEE">
        <w:rPr>
          <w:lang w:val="en-US"/>
        </w:rPr>
        <w:t xml:space="preserve">, </w:t>
      </w:r>
      <w:r w:rsidR="00DA488E">
        <w:t>so the volume in which BR could be distributed exceeds the volume of the portal vein bed by 2 orders of magnitude</w:t>
      </w:r>
      <w:r w:rsidR="002C2DEE">
        <w:rPr>
          <w:lang w:val="en-US"/>
        </w:rPr>
        <w:t xml:space="preserve">. </w:t>
      </w:r>
      <w:r w:rsidR="00452997">
        <w:t>Therefore, the fraction of the injected BR that should be recovered in the venous effluent at the equilibrium must be a few percent of the injected dose</w:t>
      </w:r>
      <w:r w:rsidR="002C2DEE">
        <w:rPr>
          <w:lang w:val="en-US"/>
        </w:rPr>
        <w:t xml:space="preserve">. </w:t>
      </w:r>
      <w:r w:rsidR="00452997">
        <w:t>Finally, the relatively low perfusion flow rate contributed to the quasi-total extraction of BR, as this parameter is directly dependent on flow</w:t>
      </w:r>
      <w:r w:rsidR="002C2DEE">
        <w:rPr>
          <w:lang w:val="en-US"/>
        </w:rPr>
        <w:t xml:space="preserve"> </w:t>
      </w:r>
      <w:r w:rsidR="002C2DEE">
        <w:rPr>
          <w:lang w:val="en-US"/>
        </w:rPr>
        <w:fldChar w:fldCharType="begin" w:fldLock="1"/>
      </w:r>
      <w:r w:rsidR="00E05C4B">
        <w:rPr>
          <w:lang w:val="en-US"/>
        </w:rPr>
        <w:instrText>ADDIN CSL_CITATION {"citationItems":[{"id":"ITEM-1","itemData":{"ISSN":"0022-2143 (Print)","PMID":"7462773","abstract":"The effect of the rate of portal blood flow on the fractional extraction of the bile  salt sodium taurocholate was studied in the isolated perfused rat liver. Thirty-two livers were perfused with a 60 microM solution of taurocholate at flow rates varying from 0.65 to 3.55 ml/min/gm of liver. Extraction was determined from the difference in the concentration of taurocholate in the portal and hepatic vein perfusates. At the low flow rates, the extraction of taurocholate was nearly complete. However, as the rate of perfusion of the portal vein was increased, the extraction of taurocholate decreased exponentially. It is concluded that the single-pass extraction of taurocholate by the liver is related to the rate of sinusoidal flow.","author":[{"dropping-particle":"","family":"Pries","given":"J M","non-dropping-particle":"","parse-names":false,"suffix":""},{"dropping-particle":"","family":"Staples","given":"A B","non-dropping-particle":"","parse-names":false,"suffix":""},{"dropping-particle":"","family":"Hanson","given":"R F","non-dropping-particle":"","parse-names":false,"suffix":""}],"container-title":"The Journal of laboratory and clinical medicine","id":"ITEM-1","issue":"3","issued":{"date-parts":[["1981","3"]]},"language":"eng","page":"412-417","publisher-place":"United States","title":"The effect of hepatic blood flow on taurocholate extraction by the isolated perfused  rat liver.","type":"article-journal","volume":"97"},"uris":["http://www.mendeley.com/documents/?uuid=12709340-cb4b-4086-ae10-48caaf9f95f1"]}],"mendeley":{"formattedCitation":"[66]","plainTextFormattedCitation":"[66]","previouslyFormattedCitation":"[66]"},"properties":{"noteIndex":0},"schema":"https://github.com/citation-style-language/schema/raw/master/csl-citation.json"}</w:instrText>
      </w:r>
      <w:r w:rsidR="002C2DEE">
        <w:rPr>
          <w:lang w:val="en-US"/>
        </w:rPr>
        <w:fldChar w:fldCharType="separate"/>
      </w:r>
      <w:r w:rsidR="006A7258" w:rsidRPr="006A7258">
        <w:rPr>
          <w:noProof/>
          <w:lang w:val="en-US"/>
        </w:rPr>
        <w:t>[66]</w:t>
      </w:r>
      <w:r w:rsidR="002C2DEE">
        <w:rPr>
          <w:lang w:val="en-US"/>
        </w:rPr>
        <w:fldChar w:fldCharType="end"/>
      </w:r>
      <w:r w:rsidR="002C2DEE">
        <w:rPr>
          <w:lang w:val="en-US"/>
        </w:rPr>
        <w:t xml:space="preserve">. </w:t>
      </w:r>
      <w:r w:rsidR="00452997">
        <w:t xml:space="preserve">Other factors contribute to the driving force for BR uptake, including the intracellular association of BR and BRG with glutathione S-transferase </w:t>
      </w:r>
      <w:r w:rsidR="002C2DEE">
        <w:rPr>
          <w:lang w:val="en-US"/>
        </w:rPr>
        <w:t xml:space="preserve">(Ligandin) </w:t>
      </w:r>
      <w:r w:rsidR="002C2DEE">
        <w:rPr>
          <w:lang w:val="en-US"/>
        </w:rPr>
        <w:fldChar w:fldCharType="begin" w:fldLock="1"/>
      </w:r>
      <w:r w:rsidR="00E05C4B">
        <w:rPr>
          <w:lang w:val="en-US"/>
        </w:rPr>
        <w:instrText>ADDIN CSL_CITATION {"citationItems":[{"id":"ITEM-1","itemData":{"DOI":"10.2147/CEG.S64283","ISSN":"1178-7023","PMID":"25214800","abstract":"Serum bilirubin measurements are commonly obtained for the evaluation of ill patients and to screen for liver disease in routine physical exams. An enormous research effort has identified the multiple mechanisms involved in the production and metabolism of conjugated (CB) and unconjugated bilirubin (UB). While the qualitative effects of these mechanisms are well understood, their expected quantitative influence on serum bilirubin homeostasis has received less attention. In this review, each of the steps involved in bilirubin production, metabolism, hepatic cell uptake, and excretion is quantitatively examined. We then attempt to predict the expected effect of normal and defective function on serum UB and CB levels in health and disease states including hemolysis, extra- and intrahepatic cholestasis, hepatocellular diseases (eg, cirrhosis, hepatitis), and various congenital defects in bilirubin conjugation and secretion (eg, Gilbert's, Dubin-Johnson, Crigler-Najjar, Rotor syndromes). Novel aspects of this review include: 1) quantitative estimates of the free and total UB and CB in the plasma, hepatocyte, and bile; 2) detailed discussion of the important implications of the recently recognized role of the hepatic OATP transporters in the maintenance of CB homeostasis; 3) discussion of the differences between the standard diazo assay versus chromatographic measurement of CB and UB; 4) pharmacokinetic implications of the extremely high-affinity albumin binding of UB; 5) role of the enterohepatic circulation in physiologic jaundice of newborn and fasting hyperbilirubinemia; and 6) insights concerning the clinical interpretation of bilirubin measurements.","author":[{"dropping-particle":"","family":"Levitt","given":"David G","non-dropping-particle":"","parse-names":false,"suffix":""},{"dropping-particle":"","family":"Levitt","given":"Michael D","non-dropping-particle":"","parse-names":false,"suffix":""}],"container-title":"Clinical and experimental gastroenterology","id":"ITEM-1","issued":{"date-parts":[["2014","1","2"]]},"language":"English","page":"307-28","publisher":"Dove Press","title":"Quantitative assessment of the multiple processes responsible for bilirubin homeostasis in health and disease.","type":"article-journal","volume":"7"},"uris":["http://www.mendeley.com/documents/?uuid=24c67a6c-36ae-487a-85be-5714816e2cfc"]}],"mendeley":{"formattedCitation":"[63]","plainTextFormattedCitation":"[63]","previouslyFormattedCitation":"[63]"},"properties":{"noteIndex":0},"schema":"https://github.com/citation-style-language/schema/raw/master/csl-citation.json"}</w:instrText>
      </w:r>
      <w:r w:rsidR="002C2DEE">
        <w:rPr>
          <w:lang w:val="en-US"/>
        </w:rPr>
        <w:fldChar w:fldCharType="separate"/>
      </w:r>
      <w:r w:rsidR="006A7258" w:rsidRPr="006A7258">
        <w:rPr>
          <w:noProof/>
          <w:lang w:val="en-US"/>
        </w:rPr>
        <w:t>[63]</w:t>
      </w:r>
      <w:r w:rsidR="002C2DEE">
        <w:rPr>
          <w:lang w:val="en-US"/>
        </w:rPr>
        <w:fldChar w:fldCharType="end"/>
      </w:r>
      <w:r w:rsidR="002C2DEE">
        <w:rPr>
          <w:lang w:val="en-US"/>
        </w:rPr>
        <w:t xml:space="preserve"> </w:t>
      </w:r>
      <w:r w:rsidR="00F538B1">
        <w:t>and the rapid BR glucuronidation to BRG, which implies, in turn that the liver has sufficient availability of UDP-glucuronic acid</w:t>
      </w:r>
      <w:r w:rsidR="002C2DEE">
        <w:rPr>
          <w:lang w:val="en-US"/>
        </w:rPr>
        <w:t xml:space="preserve">. </w:t>
      </w:r>
    </w:p>
    <w:p w14:paraId="0B27A2F5" w14:textId="2537E1C7" w:rsidR="00EE0AA9" w:rsidRPr="000C191C" w:rsidRDefault="00F538B1" w:rsidP="003B76E2">
      <w:pPr>
        <w:jc w:val="both"/>
        <w:rPr>
          <w:lang w:val="en-US"/>
        </w:rPr>
      </w:pPr>
      <w:r>
        <w:t>Livers exhibited a basal net release of BRG that remained essentially unchanged by repeated administrations of BR. This resulted from efflux via an uncharacterized efflux pathway that appeared to be independent of Mrp3 (since it was not inhibited by E17G) or other sinusoidal membrane transporters targeted by the inhibitors used</w:t>
      </w:r>
      <w:r w:rsidR="002C2DEE">
        <w:rPr>
          <w:lang w:val="en-US"/>
        </w:rPr>
        <w:t xml:space="preserve">. </w:t>
      </w:r>
      <w:r>
        <w:t>Importantly, hepatic reuptake of BRG occurred, as demonstrated by specific transient inhibition by E17G, pravastatin, and taurocholate</w:t>
      </w:r>
      <w:r w:rsidR="002C2DEE">
        <w:rPr>
          <w:lang w:val="en-US"/>
        </w:rPr>
        <w:t xml:space="preserve">. </w:t>
      </w:r>
      <w:r w:rsidR="00EE0AA9">
        <w:t>Thus, in the isolated organ, we reproduced the phenomenon of sinusoidal reuptake of BRG previously described in knockout mice with defective expression of Oatp</w:t>
      </w:r>
      <w:r w:rsidR="000C191C" w:rsidRPr="000C191C">
        <w:rPr>
          <w:lang w:val="en-US"/>
        </w:rPr>
        <w:t xml:space="preserve"> </w:t>
      </w:r>
    </w:p>
    <w:p w14:paraId="30FA056A" w14:textId="343E2E8C" w:rsidR="000C191C" w:rsidRDefault="002C2DEE" w:rsidP="003B76E2">
      <w:pPr>
        <w:jc w:val="both"/>
      </w:pPr>
      <w:r w:rsidRPr="00891ABC">
        <w:rPr>
          <w:lang w:val="en-US"/>
        </w:rPr>
        <w:fldChar w:fldCharType="begin" w:fldLock="1"/>
      </w:r>
      <w:r w:rsidR="00D82436">
        <w:rPr>
          <w:lang w:val="en-US"/>
        </w:rPr>
        <w:instrText>ADDIN CSL_CITATION {"citationItems":[{"id":"ITEM-1","itemData":{"DOI":"10.1172/JCI42168","abstract":"Organic anion transporting polypeptides (OATPs) are uptake transporters for a broad range of endogenous compounds and xenobiotics. To investigate the physiologic and pharmacologic roles of OATPs of the 1A and 1B subfamilies, we generated mice lacking all established and predicted mouse Oatp1a/1b transporters (referred to as Slco1a/1b–/– mice, as SLCO genes encode OATPs). Slco1a/1b–/– mice were viable and fertile but exhibited markedly increased plasma levels of bilirubin conjugated to glucuronide and increased plasma levels of unconjugated bile acids. The unexpected conjugated hyperbilirubinemia indicates that Oatp1a/1b transporters normally mediate extensive hepatic reuptake of glucuronidated bilirubin. We therefore hypothesized that substantial sinusoidal secretion and subsequent Oatp1a/1b-mediated reuptake of glucuronidated compounds can occur in hepatocytes under physiologic conditions. This alters our perspective on normal liver functioning. Slco1a/1b–/– mice also showed drastically decreased hepatic uptake and consequently increased systemic exposure following i.v. or oral administration of the OATP substrate drugs methotrexate and fexofenadine. Importantly, intestinal absorption of oral methotrexate or fexofenadine was not affected in Slco1a/1b–/– mice. Further analysis showed that rifampicin was an effective and specific Oatp1a/1b inhibitor in controlling methotrexate pharmacokinetics. These data indicate that Oatp1a/1b transporters play an essential role in hepatic reuptake of conjugated bilirubin and uptake of unconjugated bile acids and drugs. Slco1a/1b–/– mice will provide excellent tools to study further the role of Oatp1a/1b transporters in physiology and drug disposition.","author":[{"dropping-particle":"","family":"Steeg","given":"Evita","non-dropping-particle":"van de","parse-names":false,"suffix":""},{"dropping-particle":"","family":"Wagenaar","given":"Els","non-dropping-particle":"","parse-names":false,"suffix":""},{"dropping-particle":"","family":"Kruijssen","given":"Cornelia M M","non-dropping-particle":"van der","parse-names":false,"suffix":""},{"dropping-particle":"","family":"Burggraaff","given":"Johanna E C","non-dropping-particle":"","parse-names":false,"suffix":""},{"dropping-particle":"","family":"Waart","given":"Dirk R","non-dropping-particle":"de","parse-names":false,"suffix":""},{"dropping-particle":"","family":"Elferink","given":"Ronald P J Oude","non-dropping-particle":"","parse-names":false,"suffix":""},{"dropping-particle":"","family":"Kenworthy","given":"Kathryn E","non-dropping-particle":"","parse-names":false,"suffix":""},{"dropping-particle":"","family":"Schinkel","given":"Alfred H","non-dropping-particle":"","parse-names":false,"suffix":""}],"container-title":"The Journal of clinical investigation","id":"ITEM-1","issue":"8","issued":{"date-parts":[["2010"]]},"page":"2942","publisher":"American Society for Clinical Investigation","title":"Organic anion transporting polypeptide 1a/1b–knockout mice provide insights into hepatic handling of bilirubin, bile acids, and drugs","type":"article-journal","volume":"120"},"uris":["http://www.mendeley.com/documents/?uuid=0ec83ea8-a98e-4cd9-811d-ab471369f7b8"]}],"mendeley":{"formattedCitation":"[25]","plainTextFormattedCitation":"[25]","previouslyFormattedCitation":"[25]"},"properties":{"noteIndex":0},"schema":"https://github.com/citation-style-language/schema/raw/master/csl-citation.json"}</w:instrText>
      </w:r>
      <w:r w:rsidRPr="00891ABC">
        <w:rPr>
          <w:lang w:val="en-US"/>
        </w:rPr>
        <w:fldChar w:fldCharType="separate"/>
      </w:r>
      <w:r w:rsidR="008C0DA1" w:rsidRPr="008C0DA1">
        <w:rPr>
          <w:noProof/>
          <w:lang w:val="en-US"/>
        </w:rPr>
        <w:t>[25]</w:t>
      </w:r>
      <w:r w:rsidRPr="00891ABC">
        <w:rPr>
          <w:lang w:val="en-US"/>
        </w:rPr>
        <w:fldChar w:fldCharType="end"/>
      </w:r>
      <w:r w:rsidRPr="00891ABC">
        <w:rPr>
          <w:lang w:val="en-US"/>
        </w:rPr>
        <w:fldChar w:fldCharType="begin" w:fldLock="1"/>
      </w:r>
      <w:r w:rsidR="00E05C4B">
        <w:rPr>
          <w:lang w:val="en-US"/>
        </w:rPr>
        <w:instrText>ADDIN CSL_CITATION {"citationItems":[{"id":"ITEM-1","itemData":{"DOI":"10.1172/JCI59526","author":[{"dropping-particle":"","family":"Steeg","given":"Evita","non-dropping-particle":"van de","parse-names":false,"suffix":""},{"dropping-particle":"","family":"Stránecký","given":"Viktor","non-dropping-particle":"","parse-names":false,"suffix":""},{"dropping-particle":"","family":"Hartmannová","given":"Hana","non-dropping-particle":"","parse-names":false,"suffix":""},{"dropping-particle":"","family":"Nosková","given":"Lenka","non-dropping-particle":"","parse-names":false,"suffix":""},{"dropping-particle":"","family":"Hřebíček","given":"Martin","non-dropping-particle":"","parse-names":false,"suffix":""},{"dropping-particle":"","family":"Wagenaar","given":"Els","non-dropping-particle":"","parse-names":false,"suffix":""},{"dropping-particle":"","family":"Esch","given":"Anita","non-dropping-particle":"van","parse-names":false,"suffix":""},{"dropping-particle":"","family":"Waart","given":"Dirk R","non-dropping-particle":"de","parse-names":false,"suffix":""},{"dropping-particle":"","family":"Elferink","given":"Ronald P J Oude","non-dropping-particle":"","parse-names":false,"suffix":""},{"dropping-particle":"","family":"Kenworthy","given":"Kathryn E","non-dropping-particle":"","parse-names":false,"suffix":""}],"container-title":"The Journal of clinical investigation","id":"ITEM-1","issue":"2","issued":{"date-parts":[["2012"]]},"page":"519","publisher":"American Society for Clinical Investigation","title":"Complete OATP1B1 and OATP1B3 deficiency causes human Rotor syndrome by interrupting conjugated bilirubin reuptake into the liver","type":"article-journal","volume":"122"},"uris":["http://www.mendeley.com/documents/?uuid=03942bd3-7eac-4c49-bb3f-36cc432d26b0"]}],"mendeley":{"formattedCitation":"[67]","plainTextFormattedCitation":"[67]","previouslyFormattedCitation":"[67]"},"properties":{"noteIndex":0},"schema":"https://github.com/citation-style-language/schema/raw/master/csl-citation.json"}</w:instrText>
      </w:r>
      <w:r w:rsidRPr="00891ABC">
        <w:rPr>
          <w:lang w:val="en-US"/>
        </w:rPr>
        <w:fldChar w:fldCharType="separate"/>
      </w:r>
      <w:r w:rsidR="006A7258" w:rsidRPr="006A7258">
        <w:rPr>
          <w:noProof/>
          <w:lang w:val="en-US"/>
        </w:rPr>
        <w:t>[67]</w:t>
      </w:r>
      <w:r w:rsidRPr="00891ABC">
        <w:rPr>
          <w:lang w:val="en-US"/>
        </w:rPr>
        <w:fldChar w:fldCharType="end"/>
      </w:r>
      <w:r w:rsidRPr="00891ABC">
        <w:rPr>
          <w:lang w:val="en-US"/>
        </w:rPr>
        <w:t xml:space="preserve">. </w:t>
      </w:r>
      <w:r w:rsidR="000C191C">
        <w:t>Overall, we consider BRG hopping in the isolated liver preparations as evidence of their viability and functional capacity.</w:t>
      </w:r>
    </w:p>
    <w:p w14:paraId="431FFC65" w14:textId="02AE8E1A" w:rsidR="002C2DEE" w:rsidRPr="000C191C" w:rsidRDefault="002C2DEE" w:rsidP="003B76E2">
      <w:pPr>
        <w:jc w:val="both"/>
        <w:rPr>
          <w:color w:val="000000" w:themeColor="text1"/>
        </w:rPr>
      </w:pPr>
    </w:p>
    <w:p w14:paraId="7242B984" w14:textId="77777777" w:rsidR="002C2DEE" w:rsidRDefault="002C2DEE" w:rsidP="003B76E2">
      <w:pPr>
        <w:jc w:val="both"/>
        <w:rPr>
          <w:color w:val="000000" w:themeColor="text1"/>
          <w:lang w:val="en-US"/>
        </w:rPr>
      </w:pPr>
    </w:p>
    <w:p w14:paraId="474B7476" w14:textId="7D5D4C9F" w:rsidR="00035536" w:rsidRDefault="00035536" w:rsidP="003B76E2">
      <w:pPr>
        <w:pStyle w:val="Titolo1"/>
        <w:jc w:val="both"/>
        <w:rPr>
          <w:lang w:val="en-US"/>
        </w:rPr>
      </w:pPr>
      <w:bookmarkStart w:id="29" w:name="_Toc89853436"/>
      <w:r>
        <w:rPr>
          <w:lang w:val="en-US"/>
        </w:rPr>
        <w:lastRenderedPageBreak/>
        <w:t>References</w:t>
      </w:r>
      <w:bookmarkEnd w:id="29"/>
    </w:p>
    <w:p w14:paraId="306672D4" w14:textId="7D06A2FD" w:rsidR="00E05C4B" w:rsidRPr="002B73A2" w:rsidRDefault="00035536" w:rsidP="003B76E2">
      <w:pPr>
        <w:widowControl w:val="0"/>
        <w:autoSpaceDE w:val="0"/>
        <w:autoSpaceDN w:val="0"/>
        <w:adjustRightInd w:val="0"/>
        <w:jc w:val="both"/>
        <w:rPr>
          <w:noProof/>
          <w:lang w:val="en-US"/>
        </w:rPr>
      </w:pPr>
      <w:r>
        <w:rPr>
          <w:color w:val="000000" w:themeColor="text1"/>
          <w:lang w:val="en-US"/>
        </w:rPr>
        <w:fldChar w:fldCharType="begin" w:fldLock="1"/>
      </w:r>
      <w:r>
        <w:rPr>
          <w:color w:val="000000" w:themeColor="text1"/>
          <w:lang w:val="en-US"/>
        </w:rPr>
        <w:instrText xml:space="preserve">ADDIN Mendeley Bibliography CSL_BIBLIOGRAPHY </w:instrText>
      </w:r>
      <w:r>
        <w:rPr>
          <w:color w:val="000000" w:themeColor="text1"/>
          <w:lang w:val="en-US"/>
        </w:rPr>
        <w:fldChar w:fldCharType="separate"/>
      </w:r>
      <w:r w:rsidR="00E05C4B" w:rsidRPr="002B73A2">
        <w:rPr>
          <w:noProof/>
          <w:lang w:val="en-US"/>
        </w:rPr>
        <w:t xml:space="preserve">1. Stieger B, Mahdi ZM: </w:t>
      </w:r>
      <w:r w:rsidR="00E05C4B" w:rsidRPr="002B73A2">
        <w:rPr>
          <w:b/>
          <w:bCs/>
          <w:noProof/>
          <w:lang w:val="en-US"/>
        </w:rPr>
        <w:t>Model systems for studying the role of canalicular efflux transporters in drug-induced cholestatic liver disease</w:t>
      </w:r>
      <w:r w:rsidR="00E05C4B" w:rsidRPr="002B73A2">
        <w:rPr>
          <w:noProof/>
          <w:lang w:val="en-US"/>
        </w:rPr>
        <w:t xml:space="preserve">. </w:t>
      </w:r>
      <w:r w:rsidR="00E05C4B" w:rsidRPr="002B73A2">
        <w:rPr>
          <w:i/>
          <w:iCs/>
          <w:noProof/>
          <w:lang w:val="en-US"/>
        </w:rPr>
        <w:t>J Pharm Sci</w:t>
      </w:r>
      <w:r w:rsidR="00E05C4B" w:rsidRPr="002B73A2">
        <w:rPr>
          <w:noProof/>
          <w:lang w:val="en-US"/>
        </w:rPr>
        <w:t xml:space="preserve"> 2017, </w:t>
      </w:r>
      <w:r w:rsidR="00E05C4B" w:rsidRPr="002B73A2">
        <w:rPr>
          <w:b/>
          <w:bCs/>
          <w:noProof/>
          <w:lang w:val="en-US"/>
        </w:rPr>
        <w:t>106</w:t>
      </w:r>
      <w:r w:rsidR="00E05C4B" w:rsidRPr="002B73A2">
        <w:rPr>
          <w:noProof/>
          <w:lang w:val="en-US"/>
        </w:rPr>
        <w:t>:2295–2301.</w:t>
      </w:r>
    </w:p>
    <w:p w14:paraId="654FFF7D"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2. Bessems M, ’t Hart NA, Tolba R, Doorschodt BM, Leuvenink HGD, Ploeg RJ, Minor T, van Gulik TM: </w:t>
      </w:r>
      <w:r w:rsidRPr="002B73A2">
        <w:rPr>
          <w:b/>
          <w:bCs/>
          <w:noProof/>
          <w:lang w:val="en-US"/>
        </w:rPr>
        <w:t>The isolated perfused rat liver: standardization of a time-honoured model.</w:t>
      </w:r>
      <w:r w:rsidRPr="002B73A2">
        <w:rPr>
          <w:noProof/>
          <w:lang w:val="en-US"/>
        </w:rPr>
        <w:t xml:space="preserve"> </w:t>
      </w:r>
      <w:r w:rsidRPr="002B73A2">
        <w:rPr>
          <w:i/>
          <w:iCs/>
          <w:noProof/>
          <w:lang w:val="en-US"/>
        </w:rPr>
        <w:t>Lab Anim</w:t>
      </w:r>
      <w:r w:rsidRPr="002B73A2">
        <w:rPr>
          <w:noProof/>
          <w:lang w:val="en-US"/>
        </w:rPr>
        <w:t xml:space="preserve"> 2006, </w:t>
      </w:r>
      <w:r w:rsidRPr="002B73A2">
        <w:rPr>
          <w:b/>
          <w:bCs/>
          <w:noProof/>
          <w:lang w:val="en-US"/>
        </w:rPr>
        <w:t>40</w:t>
      </w:r>
      <w:r w:rsidRPr="002B73A2">
        <w:rPr>
          <w:noProof/>
          <w:lang w:val="en-US"/>
        </w:rPr>
        <w:t>:236–246.</w:t>
      </w:r>
    </w:p>
    <w:p w14:paraId="49093B65"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3. Stebel M, Medic N, Pelizzo P, Sist P, Tramer F, Passamonti S: </w:t>
      </w:r>
      <w:r w:rsidRPr="002B73A2">
        <w:rPr>
          <w:i/>
          <w:iCs/>
          <w:noProof/>
          <w:lang w:val="en-US"/>
        </w:rPr>
        <w:t>Protocol for the Study of Hepatic Bilirubin Uptake in the Isolated Perfused Rat Liver</w:t>
      </w:r>
      <w:r w:rsidRPr="002B73A2">
        <w:rPr>
          <w:noProof/>
          <w:lang w:val="en-US"/>
        </w:rPr>
        <w:t>. 2021.</w:t>
      </w:r>
    </w:p>
    <w:p w14:paraId="02387B7F"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4. Passamonti S, Tramer F, Petrussa E, Braidot E, Vianello A: </w:t>
      </w:r>
      <w:r w:rsidRPr="002B73A2">
        <w:rPr>
          <w:b/>
          <w:bCs/>
          <w:noProof/>
          <w:lang w:val="en-US"/>
        </w:rPr>
        <w:t>Electrogenic bromosulfalein transport in isolated membrane vesicles: implementation in both animal and plant preparations for the study of flavonoid transporters.</w:t>
      </w:r>
      <w:r w:rsidRPr="002B73A2">
        <w:rPr>
          <w:noProof/>
          <w:lang w:val="en-US"/>
        </w:rPr>
        <w:t xml:space="preserve"> </w:t>
      </w:r>
      <w:r w:rsidRPr="002B73A2">
        <w:rPr>
          <w:i/>
          <w:iCs/>
          <w:noProof/>
          <w:lang w:val="en-US"/>
        </w:rPr>
        <w:t>Methods Mol Biol</w:t>
      </w:r>
      <w:r w:rsidRPr="002B73A2">
        <w:rPr>
          <w:noProof/>
          <w:lang w:val="en-US"/>
        </w:rPr>
        <w:t xml:space="preserve"> 2010, </w:t>
      </w:r>
      <w:r w:rsidRPr="002B73A2">
        <w:rPr>
          <w:b/>
          <w:bCs/>
          <w:noProof/>
          <w:lang w:val="en-US"/>
        </w:rPr>
        <w:t>643</w:t>
      </w:r>
      <w:r w:rsidRPr="002B73A2">
        <w:rPr>
          <w:noProof/>
          <w:lang w:val="en-US"/>
        </w:rPr>
        <w:t>:307–335.</w:t>
      </w:r>
    </w:p>
    <w:p w14:paraId="4BE65688"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5. Zuperl S, Fornasaro S, Novic M, Passamonti S: </w:t>
      </w:r>
      <w:r w:rsidRPr="002B73A2">
        <w:rPr>
          <w:b/>
          <w:bCs/>
          <w:noProof/>
          <w:lang w:val="en-US"/>
        </w:rPr>
        <w:t>Experimental determination and prediction of bilitranslocase transport activity.</w:t>
      </w:r>
      <w:r w:rsidRPr="002B73A2">
        <w:rPr>
          <w:noProof/>
          <w:lang w:val="en-US"/>
        </w:rPr>
        <w:t xml:space="preserve"> </w:t>
      </w:r>
      <w:r w:rsidRPr="002B73A2">
        <w:rPr>
          <w:i/>
          <w:iCs/>
          <w:noProof/>
          <w:lang w:val="en-US"/>
        </w:rPr>
        <w:t>Anal Chim Acta</w:t>
      </w:r>
      <w:r w:rsidRPr="002B73A2">
        <w:rPr>
          <w:noProof/>
          <w:lang w:val="en-US"/>
        </w:rPr>
        <w:t xml:space="preserve"> 2011, </w:t>
      </w:r>
      <w:r w:rsidRPr="002B73A2">
        <w:rPr>
          <w:b/>
          <w:bCs/>
          <w:noProof/>
          <w:lang w:val="en-US"/>
        </w:rPr>
        <w:t>705</w:t>
      </w:r>
      <w:r w:rsidRPr="002B73A2">
        <w:rPr>
          <w:noProof/>
          <w:lang w:val="en-US"/>
        </w:rPr>
        <w:t>:322–333.</w:t>
      </w:r>
    </w:p>
    <w:p w14:paraId="5E927D5E"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6. Bowman CM, Benet LZ: </w:t>
      </w:r>
      <w:r w:rsidRPr="002B73A2">
        <w:rPr>
          <w:b/>
          <w:bCs/>
          <w:noProof/>
          <w:lang w:val="en-US"/>
        </w:rPr>
        <w:t>An examination of protein binding and protein-facilitated uptake relating to in vitro-in vivo extrapolation</w:t>
      </w:r>
      <w:r w:rsidRPr="002B73A2">
        <w:rPr>
          <w:noProof/>
          <w:lang w:val="en-US"/>
        </w:rPr>
        <w:t xml:space="preserve">. </w:t>
      </w:r>
      <w:r w:rsidRPr="002B73A2">
        <w:rPr>
          <w:i/>
          <w:iCs/>
          <w:noProof/>
          <w:lang w:val="en-US"/>
        </w:rPr>
        <w:t>Eur J Pharm Sci</w:t>
      </w:r>
      <w:r w:rsidRPr="002B73A2">
        <w:rPr>
          <w:noProof/>
          <w:lang w:val="en-US"/>
        </w:rPr>
        <w:t xml:space="preserve"> 2018, </w:t>
      </w:r>
      <w:r w:rsidRPr="002B73A2">
        <w:rPr>
          <w:b/>
          <w:bCs/>
          <w:noProof/>
          <w:lang w:val="en-US"/>
        </w:rPr>
        <w:t>123</w:t>
      </w:r>
      <w:r w:rsidRPr="002B73A2">
        <w:rPr>
          <w:noProof/>
          <w:lang w:val="en-US"/>
        </w:rPr>
        <w:t>:502–514.</w:t>
      </w:r>
    </w:p>
    <w:p w14:paraId="34E06773"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7. Asad SF, Singh S, Ahmad A, Khan NU, Hadi SM: </w:t>
      </w:r>
      <w:r w:rsidRPr="002B73A2">
        <w:rPr>
          <w:b/>
          <w:bCs/>
          <w:noProof/>
          <w:lang w:val="en-US"/>
        </w:rPr>
        <w:t>Prooxidant and antioxidant activities of bilirubin and its metabolic precursor biliverdin: a structure–activity study</w:t>
      </w:r>
      <w:r w:rsidRPr="002B73A2">
        <w:rPr>
          <w:noProof/>
          <w:lang w:val="en-US"/>
        </w:rPr>
        <w:t xml:space="preserve">. </w:t>
      </w:r>
      <w:r w:rsidRPr="002B73A2">
        <w:rPr>
          <w:i/>
          <w:iCs/>
          <w:noProof/>
          <w:lang w:val="en-US"/>
        </w:rPr>
        <w:t>Chem Biol Interact</w:t>
      </w:r>
      <w:r w:rsidRPr="002B73A2">
        <w:rPr>
          <w:noProof/>
          <w:lang w:val="en-US"/>
        </w:rPr>
        <w:t xml:space="preserve"> 2001, </w:t>
      </w:r>
      <w:r w:rsidRPr="002B73A2">
        <w:rPr>
          <w:b/>
          <w:bCs/>
          <w:noProof/>
          <w:lang w:val="en-US"/>
        </w:rPr>
        <w:t>137</w:t>
      </w:r>
      <w:r w:rsidRPr="002B73A2">
        <w:rPr>
          <w:noProof/>
          <w:lang w:val="en-US"/>
        </w:rPr>
        <w:t>:59–74.</w:t>
      </w:r>
    </w:p>
    <w:p w14:paraId="1FED7AA0"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8. Yamasaki H, Uefuji H, Sakihama Y: </w:t>
      </w:r>
      <w:r w:rsidRPr="002B73A2">
        <w:rPr>
          <w:b/>
          <w:bCs/>
          <w:noProof/>
          <w:lang w:val="en-US"/>
        </w:rPr>
        <w:t>Bleaching of the Red Anthocyanin Induced by Superoxide Radical</w:t>
      </w:r>
      <w:r w:rsidRPr="002B73A2">
        <w:rPr>
          <w:noProof/>
          <w:lang w:val="en-US"/>
        </w:rPr>
        <w:t xml:space="preserve">. </w:t>
      </w:r>
      <w:r w:rsidRPr="002B73A2">
        <w:rPr>
          <w:i/>
          <w:iCs/>
          <w:noProof/>
          <w:lang w:val="en-US"/>
        </w:rPr>
        <w:t>Arch Biochem Biophys</w:t>
      </w:r>
      <w:r w:rsidRPr="002B73A2">
        <w:rPr>
          <w:noProof/>
          <w:lang w:val="en-US"/>
        </w:rPr>
        <w:t xml:space="preserve"> 1996, </w:t>
      </w:r>
      <w:r w:rsidRPr="002B73A2">
        <w:rPr>
          <w:b/>
          <w:bCs/>
          <w:noProof/>
          <w:lang w:val="en-US"/>
        </w:rPr>
        <w:t>332</w:t>
      </w:r>
      <w:r w:rsidRPr="002B73A2">
        <w:rPr>
          <w:noProof/>
          <w:lang w:val="en-US"/>
        </w:rPr>
        <w:t>:183–186.</w:t>
      </w:r>
    </w:p>
    <w:p w14:paraId="7486096A"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9. González-Flecha B, Cutrin JC, Boveris A: </w:t>
      </w:r>
      <w:r w:rsidRPr="002B73A2">
        <w:rPr>
          <w:b/>
          <w:bCs/>
          <w:noProof/>
          <w:lang w:val="en-US"/>
        </w:rPr>
        <w:t>Time course and mechanism of oxidative stress and tissue damage in rat liver subjected to in vivo ischemia-reperfusion.</w:t>
      </w:r>
      <w:r w:rsidRPr="002B73A2">
        <w:rPr>
          <w:noProof/>
          <w:lang w:val="en-US"/>
        </w:rPr>
        <w:t xml:space="preserve"> </w:t>
      </w:r>
      <w:r w:rsidRPr="002B73A2">
        <w:rPr>
          <w:i/>
          <w:iCs/>
          <w:noProof/>
          <w:lang w:val="en-US"/>
        </w:rPr>
        <w:t>J Clin Invest</w:t>
      </w:r>
      <w:r w:rsidRPr="002B73A2">
        <w:rPr>
          <w:noProof/>
          <w:lang w:val="en-US"/>
        </w:rPr>
        <w:t xml:space="preserve"> 1993, </w:t>
      </w:r>
      <w:r w:rsidRPr="002B73A2">
        <w:rPr>
          <w:b/>
          <w:bCs/>
          <w:noProof/>
          <w:lang w:val="en-US"/>
        </w:rPr>
        <w:t>91</w:t>
      </w:r>
      <w:r w:rsidRPr="002B73A2">
        <w:rPr>
          <w:noProof/>
          <w:lang w:val="en-US"/>
        </w:rPr>
        <w:t>:456–464.</w:t>
      </w:r>
    </w:p>
    <w:p w14:paraId="552417AD"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10. Chan TS, Cassim S, Raymond V-A, Gottschalk S, Merlen G, Zwingmann C, Lapierre P, Darby P, Mazer CD, Bilodeau M: </w:t>
      </w:r>
      <w:r w:rsidRPr="002B73A2">
        <w:rPr>
          <w:b/>
          <w:bCs/>
          <w:noProof/>
          <w:lang w:val="en-US"/>
        </w:rPr>
        <w:t>Upregulation of Krebs cycle and anaerobic glycolysis activity early after onset of  liver ischemia.</w:t>
      </w:r>
      <w:r w:rsidRPr="002B73A2">
        <w:rPr>
          <w:noProof/>
          <w:lang w:val="en-US"/>
        </w:rPr>
        <w:t xml:space="preserve"> </w:t>
      </w:r>
      <w:r w:rsidRPr="002B73A2">
        <w:rPr>
          <w:i/>
          <w:iCs/>
          <w:noProof/>
          <w:lang w:val="en-US"/>
        </w:rPr>
        <w:t>PLoS One</w:t>
      </w:r>
      <w:r w:rsidRPr="002B73A2">
        <w:rPr>
          <w:noProof/>
          <w:lang w:val="en-US"/>
        </w:rPr>
        <w:t xml:space="preserve"> 2018, </w:t>
      </w:r>
      <w:r w:rsidRPr="002B73A2">
        <w:rPr>
          <w:b/>
          <w:bCs/>
          <w:noProof/>
          <w:lang w:val="en-US"/>
        </w:rPr>
        <w:t>13</w:t>
      </w:r>
      <w:r w:rsidRPr="002B73A2">
        <w:rPr>
          <w:noProof/>
          <w:lang w:val="en-US"/>
        </w:rPr>
        <w:t>:e0199177.</w:t>
      </w:r>
    </w:p>
    <w:p w14:paraId="64AD1E8A"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11. Sherman IA, Dlugosz JA, Barker F, Sadeghi FM, Pang KS: </w:t>
      </w:r>
      <w:r w:rsidRPr="002B73A2">
        <w:rPr>
          <w:b/>
          <w:bCs/>
          <w:noProof/>
          <w:lang w:val="en-US"/>
        </w:rPr>
        <w:t>Dynamics of arterial and portal venous flow interactions in perfused rat liver: an intravital microscopic study</w:t>
      </w:r>
      <w:r w:rsidRPr="002B73A2">
        <w:rPr>
          <w:noProof/>
          <w:lang w:val="en-US"/>
        </w:rPr>
        <w:t xml:space="preserve">. </w:t>
      </w:r>
      <w:r w:rsidRPr="002B73A2">
        <w:rPr>
          <w:i/>
          <w:iCs/>
          <w:noProof/>
          <w:lang w:val="en-US"/>
        </w:rPr>
        <w:t>Am J Physiol Liver Physiol</w:t>
      </w:r>
      <w:r w:rsidRPr="002B73A2">
        <w:rPr>
          <w:noProof/>
          <w:lang w:val="en-US"/>
        </w:rPr>
        <w:t xml:space="preserve"> 1996, </w:t>
      </w:r>
      <w:r w:rsidRPr="002B73A2">
        <w:rPr>
          <w:b/>
          <w:bCs/>
          <w:noProof/>
          <w:lang w:val="en-US"/>
        </w:rPr>
        <w:t>271</w:t>
      </w:r>
      <w:r w:rsidRPr="002B73A2">
        <w:rPr>
          <w:noProof/>
          <w:lang w:val="en-US"/>
        </w:rPr>
        <w:t>:G201–G210.</w:t>
      </w:r>
    </w:p>
    <w:p w14:paraId="6079740A"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12. Daemen MJ, Thijssen HH, van Essen H, Vervoort-Peters HT, Prinzen FW, Struyker Boudier HA, Smits JF: </w:t>
      </w:r>
      <w:r w:rsidRPr="002B73A2">
        <w:rPr>
          <w:b/>
          <w:bCs/>
          <w:noProof/>
          <w:lang w:val="en-US"/>
        </w:rPr>
        <w:t>Liver blood flow measurement in the rat. The electromagnetic versus the microsphere  and the clearance methods.</w:t>
      </w:r>
      <w:r w:rsidRPr="002B73A2">
        <w:rPr>
          <w:noProof/>
          <w:lang w:val="en-US"/>
        </w:rPr>
        <w:t xml:space="preserve"> </w:t>
      </w:r>
      <w:r w:rsidRPr="002B73A2">
        <w:rPr>
          <w:i/>
          <w:iCs/>
          <w:noProof/>
          <w:lang w:val="en-US"/>
        </w:rPr>
        <w:t>J Pharmacol Methods</w:t>
      </w:r>
      <w:r w:rsidRPr="002B73A2">
        <w:rPr>
          <w:noProof/>
          <w:lang w:val="en-US"/>
        </w:rPr>
        <w:t xml:space="preserve"> 1989, </w:t>
      </w:r>
      <w:r w:rsidRPr="002B73A2">
        <w:rPr>
          <w:b/>
          <w:bCs/>
          <w:noProof/>
          <w:lang w:val="en-US"/>
        </w:rPr>
        <w:t>21</w:t>
      </w:r>
      <w:r w:rsidRPr="002B73A2">
        <w:rPr>
          <w:noProof/>
          <w:lang w:val="en-US"/>
        </w:rPr>
        <w:t>:287–297.</w:t>
      </w:r>
    </w:p>
    <w:p w14:paraId="2E6590A8"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13. Wolkoff AW, Johansen KL, Goeser T: </w:t>
      </w:r>
      <w:r w:rsidRPr="002B73A2">
        <w:rPr>
          <w:b/>
          <w:bCs/>
          <w:noProof/>
          <w:lang w:val="en-US"/>
        </w:rPr>
        <w:t>The isolated perfused rat liver: preparation and application</w:t>
      </w:r>
      <w:r w:rsidRPr="002B73A2">
        <w:rPr>
          <w:noProof/>
          <w:lang w:val="en-US"/>
        </w:rPr>
        <w:t xml:space="preserve">. </w:t>
      </w:r>
      <w:r w:rsidRPr="002B73A2">
        <w:rPr>
          <w:i/>
          <w:iCs/>
          <w:noProof/>
          <w:lang w:val="en-US"/>
        </w:rPr>
        <w:t>Anal Biochem</w:t>
      </w:r>
      <w:r w:rsidRPr="002B73A2">
        <w:rPr>
          <w:noProof/>
          <w:lang w:val="en-US"/>
        </w:rPr>
        <w:t xml:space="preserve"> 1987, </w:t>
      </w:r>
      <w:r w:rsidRPr="002B73A2">
        <w:rPr>
          <w:b/>
          <w:bCs/>
          <w:noProof/>
          <w:lang w:val="en-US"/>
        </w:rPr>
        <w:t>167</w:t>
      </w:r>
      <w:r w:rsidRPr="002B73A2">
        <w:rPr>
          <w:noProof/>
          <w:lang w:val="en-US"/>
        </w:rPr>
        <w:t>:1–14.</w:t>
      </w:r>
    </w:p>
    <w:p w14:paraId="096B3B86"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14. Díaz-Juárez JA, Hernández-Muñoz R: </w:t>
      </w:r>
      <w:r w:rsidRPr="002B73A2">
        <w:rPr>
          <w:b/>
          <w:bCs/>
          <w:noProof/>
          <w:lang w:val="en-US"/>
        </w:rPr>
        <w:t>Rat Liver Enzyme Release Depends on Blood Flow-Bearing Physical Forces Acting in Endothelium Glycocalyx rather than on Liver Damage</w:t>
      </w:r>
      <w:r w:rsidRPr="002B73A2">
        <w:rPr>
          <w:noProof/>
          <w:lang w:val="en-US"/>
        </w:rPr>
        <w:t xml:space="preserve">. </w:t>
      </w:r>
      <w:r w:rsidRPr="002B73A2">
        <w:rPr>
          <w:i/>
          <w:iCs/>
          <w:noProof/>
          <w:lang w:val="en-US"/>
        </w:rPr>
        <w:t>Oxid Med Cell Longev</w:t>
      </w:r>
      <w:r w:rsidRPr="002B73A2">
        <w:rPr>
          <w:noProof/>
          <w:lang w:val="en-US"/>
        </w:rPr>
        <w:t xml:space="preserve"> 2017, </w:t>
      </w:r>
      <w:r w:rsidRPr="002B73A2">
        <w:rPr>
          <w:b/>
          <w:bCs/>
          <w:noProof/>
          <w:lang w:val="en-US"/>
        </w:rPr>
        <w:t>2017</w:t>
      </w:r>
      <w:r w:rsidRPr="002B73A2">
        <w:rPr>
          <w:noProof/>
          <w:lang w:val="en-US"/>
        </w:rPr>
        <w:t>:1360565.</w:t>
      </w:r>
    </w:p>
    <w:p w14:paraId="71D749E3"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15. Kato K, Hasegawa Y, Iwata K, Ichikawa T, Yahara T, Tsuji S, Sugiura M, Yamaguchi J-I: </w:t>
      </w:r>
      <w:r w:rsidRPr="002B73A2">
        <w:rPr>
          <w:b/>
          <w:bCs/>
          <w:noProof/>
          <w:lang w:val="en-US"/>
        </w:rPr>
        <w:t>Recommendation to Exclude Bile-Duct-Cannulated Rats with Hyperbilirubinemia for  Proper Conduct of Biliary Drug Excretion Studies.</w:t>
      </w:r>
      <w:r w:rsidRPr="002B73A2">
        <w:rPr>
          <w:noProof/>
          <w:lang w:val="en-US"/>
        </w:rPr>
        <w:t xml:space="preserve"> </w:t>
      </w:r>
      <w:r w:rsidRPr="002B73A2">
        <w:rPr>
          <w:i/>
          <w:iCs/>
          <w:noProof/>
          <w:lang w:val="en-US"/>
        </w:rPr>
        <w:t>Drug Metab Dispos</w:t>
      </w:r>
      <w:r w:rsidRPr="002B73A2">
        <w:rPr>
          <w:noProof/>
          <w:lang w:val="en-US"/>
        </w:rPr>
        <w:t xml:space="preserve"> 2016, </w:t>
      </w:r>
      <w:r w:rsidRPr="002B73A2">
        <w:rPr>
          <w:b/>
          <w:bCs/>
          <w:noProof/>
          <w:lang w:val="en-US"/>
        </w:rPr>
        <w:t>44</w:t>
      </w:r>
      <w:r w:rsidRPr="002B73A2">
        <w:rPr>
          <w:noProof/>
          <w:lang w:val="en-US"/>
        </w:rPr>
        <w:t>:1180–1183.</w:t>
      </w:r>
    </w:p>
    <w:p w14:paraId="6B3A6ADF"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16. Paumgartner G, Reichen J: </w:t>
      </w:r>
      <w:r w:rsidRPr="002B73A2">
        <w:rPr>
          <w:b/>
          <w:bCs/>
          <w:noProof/>
          <w:lang w:val="en-US"/>
        </w:rPr>
        <w:t>Kinetics of hepatic uptake of unconjugated bilirubin</w:t>
      </w:r>
      <w:r w:rsidRPr="002B73A2">
        <w:rPr>
          <w:noProof/>
          <w:lang w:val="en-US"/>
        </w:rPr>
        <w:t xml:space="preserve">. </w:t>
      </w:r>
      <w:r w:rsidRPr="002B73A2">
        <w:rPr>
          <w:i/>
          <w:iCs/>
          <w:noProof/>
          <w:lang w:val="en-US"/>
        </w:rPr>
        <w:t>Clin Sci Mol Med</w:t>
      </w:r>
      <w:r w:rsidRPr="002B73A2">
        <w:rPr>
          <w:noProof/>
          <w:lang w:val="en-US"/>
        </w:rPr>
        <w:t xml:space="preserve"> 1976, </w:t>
      </w:r>
      <w:r w:rsidRPr="002B73A2">
        <w:rPr>
          <w:b/>
          <w:bCs/>
          <w:noProof/>
          <w:lang w:val="en-US"/>
        </w:rPr>
        <w:t>51</w:t>
      </w:r>
      <w:r w:rsidRPr="002B73A2">
        <w:rPr>
          <w:noProof/>
          <w:lang w:val="en-US"/>
        </w:rPr>
        <w:t>:169–176.</w:t>
      </w:r>
    </w:p>
    <w:p w14:paraId="3B22CBF2"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17. Stollman YR, Gartner U, Theilmann L, Ohmi N, Wolkoff AW: </w:t>
      </w:r>
      <w:r w:rsidRPr="002B73A2">
        <w:rPr>
          <w:b/>
          <w:bCs/>
          <w:noProof/>
          <w:lang w:val="en-US"/>
        </w:rPr>
        <w:t>Hepatic bilirubin uptake in the isolated perfused rat liver is not facilitated by albumin binding.</w:t>
      </w:r>
      <w:r w:rsidRPr="002B73A2">
        <w:rPr>
          <w:noProof/>
          <w:lang w:val="en-US"/>
        </w:rPr>
        <w:t xml:space="preserve"> </w:t>
      </w:r>
      <w:r w:rsidRPr="002B73A2">
        <w:rPr>
          <w:i/>
          <w:iCs/>
          <w:noProof/>
          <w:lang w:val="en-US"/>
        </w:rPr>
        <w:t>J Clin Invest</w:t>
      </w:r>
      <w:r w:rsidRPr="002B73A2">
        <w:rPr>
          <w:noProof/>
          <w:lang w:val="en-US"/>
        </w:rPr>
        <w:t xml:space="preserve"> 1983, </w:t>
      </w:r>
      <w:r w:rsidRPr="002B73A2">
        <w:rPr>
          <w:b/>
          <w:bCs/>
          <w:noProof/>
          <w:lang w:val="en-US"/>
        </w:rPr>
        <w:t>72</w:t>
      </w:r>
      <w:r w:rsidRPr="002B73A2">
        <w:rPr>
          <w:noProof/>
          <w:lang w:val="en-US"/>
        </w:rPr>
        <w:t>:718–723.</w:t>
      </w:r>
    </w:p>
    <w:p w14:paraId="40F6E226"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18. Roelofsen H, van der Veere CN, Ottenhoff R, Schoemaker B, Jansen PL, Oude Elferink RP: </w:t>
      </w:r>
      <w:r w:rsidRPr="002B73A2">
        <w:rPr>
          <w:b/>
          <w:bCs/>
          <w:noProof/>
          <w:lang w:val="en-US"/>
        </w:rPr>
        <w:t>Decreased bilirubin transport in the perfused liver of endotoxemic rats.</w:t>
      </w:r>
      <w:r w:rsidRPr="002B73A2">
        <w:rPr>
          <w:noProof/>
          <w:lang w:val="en-US"/>
        </w:rPr>
        <w:t xml:space="preserve"> </w:t>
      </w:r>
      <w:r w:rsidRPr="002B73A2">
        <w:rPr>
          <w:i/>
          <w:iCs/>
          <w:noProof/>
          <w:lang w:val="en-US"/>
        </w:rPr>
        <w:t>Gastroenterology</w:t>
      </w:r>
      <w:r w:rsidRPr="002B73A2">
        <w:rPr>
          <w:noProof/>
          <w:lang w:val="en-US"/>
        </w:rPr>
        <w:t xml:space="preserve"> 1994, </w:t>
      </w:r>
      <w:r w:rsidRPr="002B73A2">
        <w:rPr>
          <w:b/>
          <w:bCs/>
          <w:noProof/>
          <w:lang w:val="en-US"/>
        </w:rPr>
        <w:t>107</w:t>
      </w:r>
      <w:r w:rsidRPr="002B73A2">
        <w:rPr>
          <w:noProof/>
          <w:lang w:val="en-US"/>
        </w:rPr>
        <w:t>:1075–1084.</w:t>
      </w:r>
    </w:p>
    <w:p w14:paraId="5A4EA079"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lastRenderedPageBreak/>
        <w:t xml:space="preserve">19. Chowdhury JR, Jansen PL, Fischberg EB, Daniller A, Arias IM: </w:t>
      </w:r>
      <w:r w:rsidRPr="002B73A2">
        <w:rPr>
          <w:b/>
          <w:bCs/>
          <w:noProof/>
          <w:lang w:val="en-US"/>
        </w:rPr>
        <w:t>Hepatic conversion of bilirubin monoglucuronide to diglucuronide in uridine  diphosphate-glucuronyl transferase-deficient man and rat by bilirubin glucuronoside glucuronosyltransferase.</w:t>
      </w:r>
      <w:r w:rsidRPr="002B73A2">
        <w:rPr>
          <w:noProof/>
          <w:lang w:val="en-US"/>
        </w:rPr>
        <w:t xml:space="preserve"> </w:t>
      </w:r>
      <w:r w:rsidRPr="002B73A2">
        <w:rPr>
          <w:i/>
          <w:iCs/>
          <w:noProof/>
          <w:lang w:val="en-US"/>
        </w:rPr>
        <w:t>J Clin Invest</w:t>
      </w:r>
      <w:r w:rsidRPr="002B73A2">
        <w:rPr>
          <w:noProof/>
          <w:lang w:val="en-US"/>
        </w:rPr>
        <w:t xml:space="preserve"> 1978, </w:t>
      </w:r>
      <w:r w:rsidRPr="002B73A2">
        <w:rPr>
          <w:b/>
          <w:bCs/>
          <w:noProof/>
          <w:lang w:val="en-US"/>
        </w:rPr>
        <w:t>62</w:t>
      </w:r>
      <w:r w:rsidRPr="002B73A2">
        <w:rPr>
          <w:noProof/>
          <w:lang w:val="en-US"/>
        </w:rPr>
        <w:t>:191–196.</w:t>
      </w:r>
    </w:p>
    <w:p w14:paraId="156F258A"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20. Hirouchi M, Suzuki H, Sugiyama Y: </w:t>
      </w:r>
      <w:r w:rsidRPr="002B73A2">
        <w:rPr>
          <w:b/>
          <w:bCs/>
          <w:noProof/>
          <w:lang w:val="en-US"/>
        </w:rPr>
        <w:t>Treatment of hyperbilirubinemia in Eisai hyperbilirubinemic rat by transfecting human MRP2/ABCC2 gene</w:t>
      </w:r>
      <w:r w:rsidRPr="002B73A2">
        <w:rPr>
          <w:noProof/>
          <w:lang w:val="en-US"/>
        </w:rPr>
        <w:t xml:space="preserve">. </w:t>
      </w:r>
      <w:r w:rsidRPr="002B73A2">
        <w:rPr>
          <w:i/>
          <w:iCs/>
          <w:noProof/>
          <w:lang w:val="en-US"/>
        </w:rPr>
        <w:t>Pharm Res</w:t>
      </w:r>
      <w:r w:rsidRPr="002B73A2">
        <w:rPr>
          <w:noProof/>
          <w:lang w:val="en-US"/>
        </w:rPr>
        <w:t xml:space="preserve"> 2005, </w:t>
      </w:r>
      <w:r w:rsidRPr="002B73A2">
        <w:rPr>
          <w:b/>
          <w:bCs/>
          <w:noProof/>
          <w:lang w:val="en-US"/>
        </w:rPr>
        <w:t>22</w:t>
      </w:r>
      <w:r w:rsidRPr="002B73A2">
        <w:rPr>
          <w:noProof/>
          <w:lang w:val="en-US"/>
        </w:rPr>
        <w:t>:661–666.</w:t>
      </w:r>
    </w:p>
    <w:p w14:paraId="63FFE1F8"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21. Bandiera A, Corich L, Tommasi S, De Bortoli M, Pelizzo P, Stebel M, Paladin D, Passamonti S: </w:t>
      </w:r>
      <w:r w:rsidRPr="002B73A2">
        <w:rPr>
          <w:b/>
          <w:bCs/>
          <w:noProof/>
          <w:lang w:val="en-US"/>
        </w:rPr>
        <w:t>Human elastin-like polypeptides as a versatile platform for exploitation of ultrasensitive bilirubin detection by UnaG</w:t>
      </w:r>
      <w:r w:rsidRPr="002B73A2">
        <w:rPr>
          <w:noProof/>
          <w:lang w:val="en-US"/>
        </w:rPr>
        <w:t xml:space="preserve">. </w:t>
      </w:r>
      <w:r w:rsidRPr="002B73A2">
        <w:rPr>
          <w:i/>
          <w:iCs/>
          <w:noProof/>
          <w:lang w:val="en-US"/>
        </w:rPr>
        <w:t>Biotechnol Bioeng</w:t>
      </w:r>
      <w:r w:rsidRPr="002B73A2">
        <w:rPr>
          <w:noProof/>
          <w:lang w:val="en-US"/>
        </w:rPr>
        <w:t xml:space="preserve"> 2020, </w:t>
      </w:r>
      <w:r w:rsidRPr="002B73A2">
        <w:rPr>
          <w:b/>
          <w:bCs/>
          <w:noProof/>
          <w:lang w:val="en-US"/>
        </w:rPr>
        <w:t>117</w:t>
      </w:r>
      <w:r w:rsidRPr="002B73A2">
        <w:rPr>
          <w:noProof/>
          <w:lang w:val="en-US"/>
        </w:rPr>
        <w:t>:354–361.</w:t>
      </w:r>
    </w:p>
    <w:p w14:paraId="6A8CC1D4"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22. Vanzo A, Terdoslavich M, Brandoni A, Torres AM, Vrhovsek U, Passamonti S: </w:t>
      </w:r>
      <w:r w:rsidRPr="002B73A2">
        <w:rPr>
          <w:b/>
          <w:bCs/>
          <w:noProof/>
          <w:lang w:val="en-US"/>
        </w:rPr>
        <w:t>Uptake of grape anthocyanins into the rat kidney and the involvement of bilitranslocase</w:t>
      </w:r>
      <w:r w:rsidRPr="002B73A2">
        <w:rPr>
          <w:noProof/>
          <w:lang w:val="en-US"/>
        </w:rPr>
        <w:t xml:space="preserve">. </w:t>
      </w:r>
      <w:r w:rsidRPr="002B73A2">
        <w:rPr>
          <w:i/>
          <w:iCs/>
          <w:noProof/>
          <w:lang w:val="en-US"/>
        </w:rPr>
        <w:t>Mol Nutr Food Res</w:t>
      </w:r>
      <w:r w:rsidRPr="002B73A2">
        <w:rPr>
          <w:noProof/>
          <w:lang w:val="en-US"/>
        </w:rPr>
        <w:t xml:space="preserve"> 2008, </w:t>
      </w:r>
      <w:r w:rsidRPr="002B73A2">
        <w:rPr>
          <w:b/>
          <w:bCs/>
          <w:noProof/>
          <w:lang w:val="en-US"/>
        </w:rPr>
        <w:t>52</w:t>
      </w:r>
      <w:r w:rsidRPr="002B73A2">
        <w:rPr>
          <w:noProof/>
          <w:lang w:val="en-US"/>
        </w:rPr>
        <w:t>:1106–1116.</w:t>
      </w:r>
    </w:p>
    <w:p w14:paraId="34F4E0F2"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23. Battiston L, Passamonti S, Macagno A, Sottocasa GL: </w:t>
      </w:r>
      <w:r w:rsidRPr="002B73A2">
        <w:rPr>
          <w:b/>
          <w:bCs/>
          <w:noProof/>
          <w:lang w:val="en-US"/>
        </w:rPr>
        <w:t>The bilirubin-binding motif of bilitranslocase and its relation to conserved motifs in ancient biliproteins.</w:t>
      </w:r>
      <w:r w:rsidRPr="002B73A2">
        <w:rPr>
          <w:noProof/>
          <w:lang w:val="en-US"/>
        </w:rPr>
        <w:t xml:space="preserve"> </w:t>
      </w:r>
      <w:r w:rsidRPr="002B73A2">
        <w:rPr>
          <w:i/>
          <w:iCs/>
          <w:noProof/>
          <w:lang w:val="en-US"/>
        </w:rPr>
        <w:t>Biochem Biophys Res Commun</w:t>
      </w:r>
      <w:r w:rsidRPr="002B73A2">
        <w:rPr>
          <w:noProof/>
          <w:lang w:val="en-US"/>
        </w:rPr>
        <w:t xml:space="preserve"> 1998, </w:t>
      </w:r>
      <w:r w:rsidRPr="002B73A2">
        <w:rPr>
          <w:b/>
          <w:bCs/>
          <w:noProof/>
          <w:lang w:val="en-US"/>
        </w:rPr>
        <w:t>247</w:t>
      </w:r>
      <w:r w:rsidRPr="002B73A2">
        <w:rPr>
          <w:noProof/>
          <w:lang w:val="en-US"/>
        </w:rPr>
        <w:t>:687–692.</w:t>
      </w:r>
    </w:p>
    <w:p w14:paraId="31667237"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24. Passamonti S, Terdoslavich M, Margon A, Cocolo A, Medic N, Micali F, Decorti G, Franko M: </w:t>
      </w:r>
      <w:r w:rsidRPr="002B73A2">
        <w:rPr>
          <w:b/>
          <w:bCs/>
          <w:noProof/>
          <w:lang w:val="en-US"/>
        </w:rPr>
        <w:t>Uptake of bilirubin into HepG2 cells assayed by thermal lens spectroscopy: Function of bilitranslocase</w:t>
      </w:r>
      <w:r w:rsidRPr="002B73A2">
        <w:rPr>
          <w:noProof/>
          <w:lang w:val="en-US"/>
        </w:rPr>
        <w:t xml:space="preserve">. </w:t>
      </w:r>
      <w:r w:rsidRPr="002B73A2">
        <w:rPr>
          <w:i/>
          <w:iCs/>
          <w:noProof/>
          <w:lang w:val="en-US"/>
        </w:rPr>
        <w:t>FEBS J</w:t>
      </w:r>
      <w:r w:rsidRPr="002B73A2">
        <w:rPr>
          <w:noProof/>
          <w:lang w:val="en-US"/>
        </w:rPr>
        <w:t xml:space="preserve"> 2005, </w:t>
      </w:r>
      <w:r w:rsidRPr="002B73A2">
        <w:rPr>
          <w:b/>
          <w:bCs/>
          <w:noProof/>
          <w:lang w:val="en-US"/>
        </w:rPr>
        <w:t>272</w:t>
      </w:r>
      <w:r w:rsidRPr="002B73A2">
        <w:rPr>
          <w:noProof/>
          <w:lang w:val="en-US"/>
        </w:rPr>
        <w:t>:5522–5535.</w:t>
      </w:r>
    </w:p>
    <w:p w14:paraId="42387AB4"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25. van de Steeg E, Wagenaar E, van der Kruijssen CMM, Burggraaff JEC, de Waart DR, Elferink RPJO, Kenworthy KE, Schinkel AH: </w:t>
      </w:r>
      <w:r w:rsidRPr="002B73A2">
        <w:rPr>
          <w:b/>
          <w:bCs/>
          <w:noProof/>
          <w:lang w:val="en-US"/>
        </w:rPr>
        <w:t>Organic anion transporting polypeptide 1a/1b–knockout mice provide insights into hepatic handling of bilirubin, bile acids, and drugs</w:t>
      </w:r>
      <w:r w:rsidRPr="002B73A2">
        <w:rPr>
          <w:noProof/>
          <w:lang w:val="en-US"/>
        </w:rPr>
        <w:t xml:space="preserve">. </w:t>
      </w:r>
      <w:r w:rsidRPr="002B73A2">
        <w:rPr>
          <w:i/>
          <w:iCs/>
          <w:noProof/>
          <w:lang w:val="en-US"/>
        </w:rPr>
        <w:t>J Clin Invest</w:t>
      </w:r>
      <w:r w:rsidRPr="002B73A2">
        <w:rPr>
          <w:noProof/>
          <w:lang w:val="en-US"/>
        </w:rPr>
        <w:t xml:space="preserve"> 2010, </w:t>
      </w:r>
      <w:r w:rsidRPr="002B73A2">
        <w:rPr>
          <w:b/>
          <w:bCs/>
          <w:noProof/>
          <w:lang w:val="en-US"/>
        </w:rPr>
        <w:t>120</w:t>
      </w:r>
      <w:r w:rsidRPr="002B73A2">
        <w:rPr>
          <w:noProof/>
          <w:lang w:val="en-US"/>
        </w:rPr>
        <w:t>:2942.</w:t>
      </w:r>
    </w:p>
    <w:p w14:paraId="0BC81340"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26. Briz O, Serrano MA, MacIas RIR, Gonzalez-Gallego J, Marin JJG: </w:t>
      </w:r>
      <w:r w:rsidRPr="002B73A2">
        <w:rPr>
          <w:b/>
          <w:bCs/>
          <w:noProof/>
          <w:lang w:val="en-US"/>
        </w:rPr>
        <w:t>Role of organic anion-transporting polypeptides, OATP-A, OATP-C and OATP-8, in the human placenta-maternal liver tandem excretory pathway for foetal bilirubin.</w:t>
      </w:r>
      <w:r w:rsidRPr="002B73A2">
        <w:rPr>
          <w:noProof/>
          <w:lang w:val="en-US"/>
        </w:rPr>
        <w:t xml:space="preserve"> </w:t>
      </w:r>
      <w:r w:rsidRPr="002B73A2">
        <w:rPr>
          <w:i/>
          <w:iCs/>
          <w:noProof/>
          <w:lang w:val="en-US"/>
        </w:rPr>
        <w:t>Biochem J</w:t>
      </w:r>
      <w:r w:rsidRPr="002B73A2">
        <w:rPr>
          <w:noProof/>
          <w:lang w:val="en-US"/>
        </w:rPr>
        <w:t xml:space="preserve"> 2003, </w:t>
      </w:r>
      <w:r w:rsidRPr="002B73A2">
        <w:rPr>
          <w:b/>
          <w:bCs/>
          <w:noProof/>
          <w:lang w:val="en-US"/>
        </w:rPr>
        <w:t>371</w:t>
      </w:r>
      <w:r w:rsidRPr="002B73A2">
        <w:rPr>
          <w:noProof/>
          <w:lang w:val="en-US"/>
        </w:rPr>
        <w:t>(Pt 3):897–905.</w:t>
      </w:r>
    </w:p>
    <w:p w14:paraId="15973926"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27. Cui Y, König J, Leier I, Buchholz U, Keppler D: </w:t>
      </w:r>
      <w:r w:rsidRPr="002B73A2">
        <w:rPr>
          <w:b/>
          <w:bCs/>
          <w:noProof/>
          <w:lang w:val="en-US"/>
        </w:rPr>
        <w:t>Hepatic Uptake of Bilirubin and its Conjugates by the Human Organic Anion Transporter SLC21A6</w:t>
      </w:r>
      <w:r w:rsidRPr="002B73A2">
        <w:rPr>
          <w:noProof/>
          <w:lang w:val="en-US"/>
        </w:rPr>
        <w:t xml:space="preserve">. </w:t>
      </w:r>
      <w:r w:rsidRPr="002B73A2">
        <w:rPr>
          <w:i/>
          <w:iCs/>
          <w:noProof/>
          <w:lang w:val="en-US"/>
        </w:rPr>
        <w:t>J Biol Chem</w:t>
      </w:r>
      <w:r w:rsidRPr="002B73A2">
        <w:rPr>
          <w:noProof/>
          <w:lang w:val="en-US"/>
        </w:rPr>
        <w:t xml:space="preserve"> 2001, </w:t>
      </w:r>
      <w:r w:rsidRPr="002B73A2">
        <w:rPr>
          <w:b/>
          <w:bCs/>
          <w:noProof/>
          <w:lang w:val="en-US"/>
        </w:rPr>
        <w:t>276</w:t>
      </w:r>
      <w:r w:rsidRPr="002B73A2">
        <w:rPr>
          <w:noProof/>
          <w:lang w:val="en-US"/>
        </w:rPr>
        <w:t>:9626–9630.</w:t>
      </w:r>
    </w:p>
    <w:p w14:paraId="65781170"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28. Dragojević J, Mihaljević I, Popović M, Smital T: </w:t>
      </w:r>
      <w:r w:rsidRPr="002B73A2">
        <w:rPr>
          <w:b/>
          <w:bCs/>
          <w:noProof/>
          <w:lang w:val="en-US"/>
        </w:rPr>
        <w:t>Zebrafish (Danio rerio) Oat1 and Oat3 transporters and their interaction with physiological compounds</w:t>
      </w:r>
      <w:r w:rsidRPr="002B73A2">
        <w:rPr>
          <w:noProof/>
          <w:lang w:val="en-US"/>
        </w:rPr>
        <w:t xml:space="preserve">. </w:t>
      </w:r>
      <w:r w:rsidRPr="002B73A2">
        <w:rPr>
          <w:i/>
          <w:iCs/>
          <w:noProof/>
          <w:lang w:val="en-US"/>
        </w:rPr>
        <w:t>Comp Biochem Physiol Part B Biochem Mol Biol</w:t>
      </w:r>
      <w:r w:rsidRPr="002B73A2">
        <w:rPr>
          <w:noProof/>
          <w:lang w:val="en-US"/>
        </w:rPr>
        <w:t xml:space="preserve"> 2019:110309.</w:t>
      </w:r>
    </w:p>
    <w:p w14:paraId="4A41DD17"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29. Lee Y-MA, Cui Y, König J, Risch A, Jäger B, Drings P, Bartsch H, Keppler D, Nies AT: </w:t>
      </w:r>
      <w:r w:rsidRPr="002B73A2">
        <w:rPr>
          <w:b/>
          <w:bCs/>
          <w:noProof/>
          <w:lang w:val="en-US"/>
        </w:rPr>
        <w:t>Identification and functional characterization of the natural variant MRP3-Arg1297His of human multidrug resistance protein 3 (MRP3/ABCC3)</w:t>
      </w:r>
      <w:r w:rsidRPr="002B73A2">
        <w:rPr>
          <w:noProof/>
          <w:lang w:val="en-US"/>
        </w:rPr>
        <w:t xml:space="preserve">. </w:t>
      </w:r>
      <w:r w:rsidRPr="002B73A2">
        <w:rPr>
          <w:i/>
          <w:iCs/>
          <w:noProof/>
          <w:lang w:val="en-US"/>
        </w:rPr>
        <w:t>Pharmacogenetics</w:t>
      </w:r>
      <w:r w:rsidRPr="002B73A2">
        <w:rPr>
          <w:noProof/>
          <w:lang w:val="en-US"/>
        </w:rPr>
        <w:t xml:space="preserve"> 2004, </w:t>
      </w:r>
      <w:r w:rsidRPr="002B73A2">
        <w:rPr>
          <w:b/>
          <w:bCs/>
          <w:noProof/>
          <w:lang w:val="en-US"/>
        </w:rPr>
        <w:t>14</w:t>
      </w:r>
      <w:r w:rsidRPr="002B73A2">
        <w:rPr>
          <w:noProof/>
          <w:lang w:val="en-US"/>
        </w:rPr>
        <w:t>.</w:t>
      </w:r>
    </w:p>
    <w:p w14:paraId="5BCB884E"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30. Passamonti S, Battiston L, Sottocasa GL: </w:t>
      </w:r>
      <w:r w:rsidRPr="002B73A2">
        <w:rPr>
          <w:b/>
          <w:bCs/>
          <w:noProof/>
          <w:lang w:val="en-US"/>
        </w:rPr>
        <w:t>Arylsulfonylation of bilitranslocase in plasma membranes from rat liver enables to discriminate between natural and artificial substrates</w:t>
      </w:r>
      <w:r w:rsidRPr="002B73A2">
        <w:rPr>
          <w:noProof/>
          <w:lang w:val="en-US"/>
        </w:rPr>
        <w:t xml:space="preserve">. </w:t>
      </w:r>
      <w:r w:rsidRPr="002B73A2">
        <w:rPr>
          <w:i/>
          <w:iCs/>
          <w:noProof/>
          <w:lang w:val="en-US"/>
        </w:rPr>
        <w:t>Biochim Biophys Acta - Biomembr</w:t>
      </w:r>
      <w:r w:rsidRPr="002B73A2">
        <w:rPr>
          <w:noProof/>
          <w:lang w:val="en-US"/>
        </w:rPr>
        <w:t xml:space="preserve"> 1997, </w:t>
      </w:r>
      <w:r w:rsidRPr="002B73A2">
        <w:rPr>
          <w:b/>
          <w:bCs/>
          <w:noProof/>
          <w:lang w:val="en-US"/>
        </w:rPr>
        <w:t>1323</w:t>
      </w:r>
      <w:r w:rsidRPr="002B73A2">
        <w:rPr>
          <w:noProof/>
          <w:lang w:val="en-US"/>
        </w:rPr>
        <w:t>:130–136.</w:t>
      </w:r>
    </w:p>
    <w:p w14:paraId="2A390715"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31. Passamonti S, Battiston L, Sottocasa GL: </w:t>
      </w:r>
      <w:r w:rsidRPr="002B73A2">
        <w:rPr>
          <w:b/>
          <w:bCs/>
          <w:noProof/>
          <w:lang w:val="en-US"/>
        </w:rPr>
        <w:t>On the mechanism of bilitranslocase transport inactivation by phenylmethylsulphonyl fluoride.</w:t>
      </w:r>
      <w:r w:rsidRPr="002B73A2">
        <w:rPr>
          <w:noProof/>
          <w:lang w:val="en-US"/>
        </w:rPr>
        <w:t xml:space="preserve"> </w:t>
      </w:r>
      <w:r w:rsidRPr="002B73A2">
        <w:rPr>
          <w:i/>
          <w:iCs/>
          <w:noProof/>
          <w:lang w:val="en-US"/>
        </w:rPr>
        <w:t>Mol Membr Biol</w:t>
      </w:r>
      <w:r w:rsidRPr="002B73A2">
        <w:rPr>
          <w:noProof/>
          <w:lang w:val="en-US"/>
        </w:rPr>
        <w:t xml:space="preserve"> 1999, </w:t>
      </w:r>
      <w:r w:rsidRPr="002B73A2">
        <w:rPr>
          <w:b/>
          <w:bCs/>
          <w:noProof/>
          <w:lang w:val="en-US"/>
        </w:rPr>
        <w:t>16</w:t>
      </w:r>
      <w:r w:rsidRPr="002B73A2">
        <w:rPr>
          <w:noProof/>
          <w:lang w:val="en-US"/>
        </w:rPr>
        <w:t>:167–172.</w:t>
      </w:r>
    </w:p>
    <w:p w14:paraId="68D175EF"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32. Vlaming MLH, Pala Z, van Esch A, Wagenaar E, de Waart DR, van de Wetering K, van der Kruijssen CMM, Oude Elferink RPJ, van Tellingen O, Schinkel AH: </w:t>
      </w:r>
      <w:r w:rsidRPr="002B73A2">
        <w:rPr>
          <w:b/>
          <w:bCs/>
          <w:noProof/>
          <w:lang w:val="en-US"/>
        </w:rPr>
        <w:t>Functionally Overlapping Roles of Abcg2 (Bcrp1) and Abcc2 (Mrp2) in the Elimination of Methotrexate and Its Main Toxic Metabolite 7-Hydroxymethotrexate</w:t>
      </w:r>
      <w:r w:rsidRPr="002B73A2">
        <w:rPr>
          <w:noProof/>
          <w:lang w:val="en-US"/>
        </w:rPr>
        <w:t xml:space="preserve">. </w:t>
      </w:r>
      <w:r w:rsidRPr="002B73A2">
        <w:rPr>
          <w:i/>
          <w:iCs/>
          <w:noProof/>
          <w:lang w:val="en-US"/>
        </w:rPr>
        <w:t>Clin Cancer Res</w:t>
      </w:r>
      <w:r w:rsidRPr="002B73A2">
        <w:rPr>
          <w:noProof/>
          <w:lang w:val="en-US"/>
        </w:rPr>
        <w:t xml:space="preserve"> 2009, </w:t>
      </w:r>
      <w:r w:rsidRPr="002B73A2">
        <w:rPr>
          <w:b/>
          <w:bCs/>
          <w:noProof/>
          <w:lang w:val="en-US"/>
        </w:rPr>
        <w:t>15</w:t>
      </w:r>
      <w:r w:rsidRPr="002B73A2">
        <w:rPr>
          <w:noProof/>
          <w:lang w:val="en-US"/>
        </w:rPr>
        <w:t>:3084 LP – 3093.</w:t>
      </w:r>
    </w:p>
    <w:p w14:paraId="46A652B3"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33. Passamonti S, Vrhovsek U, Mattivi F: </w:t>
      </w:r>
      <w:r w:rsidRPr="002B73A2">
        <w:rPr>
          <w:b/>
          <w:bCs/>
          <w:noProof/>
          <w:lang w:val="en-US"/>
        </w:rPr>
        <w:t>The interaction of anthocyanins with bilitranslocase</w:t>
      </w:r>
      <w:r w:rsidRPr="002B73A2">
        <w:rPr>
          <w:noProof/>
          <w:lang w:val="en-US"/>
        </w:rPr>
        <w:t xml:space="preserve">. </w:t>
      </w:r>
      <w:r w:rsidRPr="002B73A2">
        <w:rPr>
          <w:i/>
          <w:iCs/>
          <w:noProof/>
          <w:lang w:val="en-US"/>
        </w:rPr>
        <w:t>Biochem Biophys Res Commun</w:t>
      </w:r>
      <w:r w:rsidRPr="002B73A2">
        <w:rPr>
          <w:noProof/>
          <w:lang w:val="en-US"/>
        </w:rPr>
        <w:t xml:space="preserve"> 2002, </w:t>
      </w:r>
      <w:r w:rsidRPr="002B73A2">
        <w:rPr>
          <w:b/>
          <w:bCs/>
          <w:noProof/>
          <w:lang w:val="en-US"/>
        </w:rPr>
        <w:t>296</w:t>
      </w:r>
      <w:r w:rsidRPr="002B73A2">
        <w:rPr>
          <w:noProof/>
          <w:lang w:val="en-US"/>
        </w:rPr>
        <w:t>:631–636.</w:t>
      </w:r>
    </w:p>
    <w:p w14:paraId="75BF870C"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34. Passamonti S, Vanzo A, Vrhovsek U, Terdoslavich M, Cocolo A, Decorti G, Mattivi F: </w:t>
      </w:r>
      <w:r w:rsidRPr="002B73A2">
        <w:rPr>
          <w:b/>
          <w:bCs/>
          <w:noProof/>
          <w:lang w:val="en-US"/>
        </w:rPr>
        <w:t>Hepatic uptake of grape anthocyanins and the role of bilitranslocase</w:t>
      </w:r>
      <w:r w:rsidRPr="002B73A2">
        <w:rPr>
          <w:noProof/>
          <w:lang w:val="en-US"/>
        </w:rPr>
        <w:t xml:space="preserve">. In </w:t>
      </w:r>
      <w:r w:rsidRPr="002B73A2">
        <w:rPr>
          <w:i/>
          <w:iCs/>
          <w:noProof/>
          <w:lang w:val="en-US"/>
        </w:rPr>
        <w:t xml:space="preserve">Food Research </w:t>
      </w:r>
      <w:r w:rsidRPr="002B73A2">
        <w:rPr>
          <w:i/>
          <w:iCs/>
          <w:noProof/>
          <w:lang w:val="en-US"/>
        </w:rPr>
        <w:lastRenderedPageBreak/>
        <w:t>International</w:t>
      </w:r>
      <w:r w:rsidRPr="002B73A2">
        <w:rPr>
          <w:noProof/>
          <w:lang w:val="en-US"/>
        </w:rPr>
        <w:t xml:space="preserve">. </w:t>
      </w:r>
      <w:r w:rsidRPr="002B73A2">
        <w:rPr>
          <w:i/>
          <w:iCs/>
          <w:noProof/>
          <w:lang w:val="en-US"/>
        </w:rPr>
        <w:t>Volume 38</w:t>
      </w:r>
      <w:r w:rsidRPr="002B73A2">
        <w:rPr>
          <w:noProof/>
          <w:lang w:val="en-US"/>
        </w:rPr>
        <w:t>; 2005:953–960.</w:t>
      </w:r>
    </w:p>
    <w:p w14:paraId="4FACD863"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35. Dreiseitel A, Oosterhuis B, Vukman K V, Schreier P, Oehme A, Locher S, Hajak G, Sand PG: </w:t>
      </w:r>
      <w:r w:rsidRPr="002B73A2">
        <w:rPr>
          <w:b/>
          <w:bCs/>
          <w:noProof/>
          <w:lang w:val="en-US"/>
        </w:rPr>
        <w:t>Berry anthocyanins and anthocyanidins exhibit distinct affinities for the efflux  transporters BCRP and MDR1.</w:t>
      </w:r>
      <w:r w:rsidRPr="002B73A2">
        <w:rPr>
          <w:noProof/>
          <w:lang w:val="en-US"/>
        </w:rPr>
        <w:t xml:space="preserve"> </w:t>
      </w:r>
      <w:r w:rsidRPr="002B73A2">
        <w:rPr>
          <w:i/>
          <w:iCs/>
          <w:noProof/>
          <w:lang w:val="en-US"/>
        </w:rPr>
        <w:t>Br J Pharmacol</w:t>
      </w:r>
      <w:r w:rsidRPr="002B73A2">
        <w:rPr>
          <w:noProof/>
          <w:lang w:val="en-US"/>
        </w:rPr>
        <w:t xml:space="preserve"> 2009, </w:t>
      </w:r>
      <w:r w:rsidRPr="002B73A2">
        <w:rPr>
          <w:b/>
          <w:bCs/>
          <w:noProof/>
          <w:lang w:val="en-US"/>
        </w:rPr>
        <w:t>158</w:t>
      </w:r>
      <w:r w:rsidRPr="002B73A2">
        <w:rPr>
          <w:noProof/>
          <w:lang w:val="en-US"/>
        </w:rPr>
        <w:t>:1942–1950.</w:t>
      </w:r>
    </w:p>
    <w:p w14:paraId="34F61FB6"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36. Tokui T, Nakai D, Nakagomi R, Yawo H, Abe T, Sugiyama Y: </w:t>
      </w:r>
      <w:r w:rsidRPr="002B73A2">
        <w:rPr>
          <w:b/>
          <w:bCs/>
          <w:noProof/>
          <w:lang w:val="en-US"/>
        </w:rPr>
        <w:t>Pravastatin, an HMG-CoA reductase inhibitor, is transported by rat organic anion  transporting polypeptide, oatp2.</w:t>
      </w:r>
      <w:r w:rsidRPr="002B73A2">
        <w:rPr>
          <w:noProof/>
          <w:lang w:val="en-US"/>
        </w:rPr>
        <w:t xml:space="preserve"> </w:t>
      </w:r>
      <w:r w:rsidRPr="002B73A2">
        <w:rPr>
          <w:i/>
          <w:iCs/>
          <w:noProof/>
          <w:lang w:val="en-US"/>
        </w:rPr>
        <w:t>Pharm Res</w:t>
      </w:r>
      <w:r w:rsidRPr="002B73A2">
        <w:rPr>
          <w:noProof/>
          <w:lang w:val="en-US"/>
        </w:rPr>
        <w:t xml:space="preserve"> 1999, </w:t>
      </w:r>
      <w:r w:rsidRPr="002B73A2">
        <w:rPr>
          <w:b/>
          <w:bCs/>
          <w:noProof/>
          <w:lang w:val="en-US"/>
        </w:rPr>
        <w:t>16</w:t>
      </w:r>
      <w:r w:rsidRPr="002B73A2">
        <w:rPr>
          <w:noProof/>
          <w:lang w:val="en-US"/>
        </w:rPr>
        <w:t>:904–908.</w:t>
      </w:r>
    </w:p>
    <w:p w14:paraId="612B6979"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37. Khamdang S, Takeda M, Shimoda M, Noshiro R, Narikawa S, Huang X-L, Enomoto A, Piyachaturawat P, Endou H: </w:t>
      </w:r>
      <w:r w:rsidRPr="002B73A2">
        <w:rPr>
          <w:b/>
          <w:bCs/>
          <w:noProof/>
          <w:lang w:val="en-US"/>
        </w:rPr>
        <w:t>Interactions of human- and rat-organic anion transporters with pravastatin and cimetidine.</w:t>
      </w:r>
      <w:r w:rsidRPr="002B73A2">
        <w:rPr>
          <w:noProof/>
          <w:lang w:val="en-US"/>
        </w:rPr>
        <w:t xml:space="preserve"> </w:t>
      </w:r>
      <w:r w:rsidRPr="002B73A2">
        <w:rPr>
          <w:i/>
          <w:iCs/>
          <w:noProof/>
          <w:lang w:val="en-US"/>
        </w:rPr>
        <w:t>J Pharmacol Sci</w:t>
      </w:r>
      <w:r w:rsidRPr="002B73A2">
        <w:rPr>
          <w:noProof/>
          <w:lang w:val="en-US"/>
        </w:rPr>
        <w:t xml:space="preserve"> 2004, </w:t>
      </w:r>
      <w:r w:rsidRPr="002B73A2">
        <w:rPr>
          <w:b/>
          <w:bCs/>
          <w:noProof/>
          <w:lang w:val="en-US"/>
        </w:rPr>
        <w:t>94</w:t>
      </w:r>
      <w:r w:rsidRPr="002B73A2">
        <w:rPr>
          <w:noProof/>
          <w:lang w:val="en-US"/>
        </w:rPr>
        <w:t>:197–202.</w:t>
      </w:r>
    </w:p>
    <w:p w14:paraId="597A376C"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38. Choi M-K, Shin HJ, Choi Y-L, Deng J-W, Shin J-G, Song I-S: </w:t>
      </w:r>
      <w:r w:rsidRPr="002B73A2">
        <w:rPr>
          <w:b/>
          <w:bCs/>
          <w:noProof/>
          <w:lang w:val="en-US"/>
        </w:rPr>
        <w:t>Differential effect of genetic variants of Na+-taurocholate co-transporting polypeptide (NTCP) and organic anion-transporting polypeptide 1B1 (OATP1B1) on the uptake of HMG-CoA reductase inhibitors</w:t>
      </w:r>
      <w:r w:rsidRPr="002B73A2">
        <w:rPr>
          <w:noProof/>
          <w:lang w:val="en-US"/>
        </w:rPr>
        <w:t xml:space="preserve">. </w:t>
      </w:r>
      <w:r w:rsidRPr="002B73A2">
        <w:rPr>
          <w:i/>
          <w:iCs/>
          <w:noProof/>
          <w:lang w:val="en-US"/>
        </w:rPr>
        <w:t>Xenobiotica</w:t>
      </w:r>
      <w:r w:rsidRPr="002B73A2">
        <w:rPr>
          <w:noProof/>
          <w:lang w:val="en-US"/>
        </w:rPr>
        <w:t xml:space="preserve"> 2011, </w:t>
      </w:r>
      <w:r w:rsidRPr="002B73A2">
        <w:rPr>
          <w:b/>
          <w:bCs/>
          <w:noProof/>
          <w:lang w:val="en-US"/>
        </w:rPr>
        <w:t>41</w:t>
      </w:r>
      <w:r w:rsidRPr="002B73A2">
        <w:rPr>
          <w:noProof/>
          <w:lang w:val="en-US"/>
        </w:rPr>
        <w:t>:24–34.</w:t>
      </w:r>
    </w:p>
    <w:p w14:paraId="40AD1CBA"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39. Karlgren M, Vildhede A, Norinder U, Wisniewski JR, Kimoto E, Lai Y, Haglund U, Artursson P: </w:t>
      </w:r>
      <w:r w:rsidRPr="002B73A2">
        <w:rPr>
          <w:b/>
          <w:bCs/>
          <w:noProof/>
          <w:lang w:val="en-US"/>
        </w:rPr>
        <w:t>Classification of inhibitors of hepatic organic anion transporting polypeptides (OATPs): influence of protein expression on drug-drug interactions.</w:t>
      </w:r>
      <w:r w:rsidRPr="002B73A2">
        <w:rPr>
          <w:noProof/>
          <w:lang w:val="en-US"/>
        </w:rPr>
        <w:t xml:space="preserve"> </w:t>
      </w:r>
      <w:r w:rsidRPr="002B73A2">
        <w:rPr>
          <w:i/>
          <w:iCs/>
          <w:noProof/>
          <w:lang w:val="en-US"/>
        </w:rPr>
        <w:t>J Med Chem</w:t>
      </w:r>
      <w:r w:rsidRPr="002B73A2">
        <w:rPr>
          <w:noProof/>
          <w:lang w:val="en-US"/>
        </w:rPr>
        <w:t xml:space="preserve"> 2012, </w:t>
      </w:r>
      <w:r w:rsidRPr="002B73A2">
        <w:rPr>
          <w:b/>
          <w:bCs/>
          <w:noProof/>
          <w:lang w:val="en-US"/>
        </w:rPr>
        <w:t>55</w:t>
      </w:r>
      <w:r w:rsidRPr="002B73A2">
        <w:rPr>
          <w:noProof/>
          <w:lang w:val="en-US"/>
        </w:rPr>
        <w:t>:4740–4763.</w:t>
      </w:r>
    </w:p>
    <w:p w14:paraId="4C33D407"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40. Ellis LCJ, Hawksworth GM, Weaver RJ: </w:t>
      </w:r>
      <w:r w:rsidRPr="002B73A2">
        <w:rPr>
          <w:b/>
          <w:bCs/>
          <w:noProof/>
          <w:lang w:val="en-US"/>
        </w:rPr>
        <w:t>ATP-dependent transport of statins by human and rat MRP2/Mrp2</w:t>
      </w:r>
      <w:r w:rsidRPr="002B73A2">
        <w:rPr>
          <w:noProof/>
          <w:lang w:val="en-US"/>
        </w:rPr>
        <w:t xml:space="preserve">. </w:t>
      </w:r>
      <w:r w:rsidRPr="002B73A2">
        <w:rPr>
          <w:i/>
          <w:iCs/>
          <w:noProof/>
          <w:lang w:val="en-US"/>
        </w:rPr>
        <w:t>Toxicol Appl Pharmacol</w:t>
      </w:r>
      <w:r w:rsidRPr="002B73A2">
        <w:rPr>
          <w:noProof/>
          <w:lang w:val="en-US"/>
        </w:rPr>
        <w:t xml:space="preserve"> 2013, </w:t>
      </w:r>
      <w:r w:rsidRPr="002B73A2">
        <w:rPr>
          <w:b/>
          <w:bCs/>
          <w:noProof/>
          <w:lang w:val="en-US"/>
        </w:rPr>
        <w:t>269</w:t>
      </w:r>
      <w:r w:rsidRPr="002B73A2">
        <w:rPr>
          <w:noProof/>
          <w:lang w:val="en-US"/>
        </w:rPr>
        <w:t>:187–194.</w:t>
      </w:r>
    </w:p>
    <w:p w14:paraId="7B59DCD1"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41. Hirano M, Maeda K, Hayashi H, Kusuhara H, Sugiyama Y: </w:t>
      </w:r>
      <w:r w:rsidRPr="002B73A2">
        <w:rPr>
          <w:b/>
          <w:bCs/>
          <w:noProof/>
          <w:lang w:val="en-US"/>
        </w:rPr>
        <w:t>Bile salt export pump (BSEP/ABCB11) can transport a nonbile acid substrate,  pravastatin.</w:t>
      </w:r>
      <w:r w:rsidRPr="002B73A2">
        <w:rPr>
          <w:noProof/>
          <w:lang w:val="en-US"/>
        </w:rPr>
        <w:t xml:space="preserve"> </w:t>
      </w:r>
      <w:r w:rsidRPr="002B73A2">
        <w:rPr>
          <w:i/>
          <w:iCs/>
          <w:noProof/>
          <w:lang w:val="en-US"/>
        </w:rPr>
        <w:t>J Pharmacol Exp Ther</w:t>
      </w:r>
      <w:r w:rsidRPr="002B73A2">
        <w:rPr>
          <w:noProof/>
          <w:lang w:val="en-US"/>
        </w:rPr>
        <w:t xml:space="preserve"> 2005, </w:t>
      </w:r>
      <w:r w:rsidRPr="002B73A2">
        <w:rPr>
          <w:b/>
          <w:bCs/>
          <w:noProof/>
          <w:lang w:val="en-US"/>
        </w:rPr>
        <w:t>314</w:t>
      </w:r>
      <w:r w:rsidRPr="002B73A2">
        <w:rPr>
          <w:noProof/>
          <w:lang w:val="en-US"/>
        </w:rPr>
        <w:t>:876–882.</w:t>
      </w:r>
    </w:p>
    <w:p w14:paraId="41793AAE"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42. Hirano M, Maeda K, Matsushima S, Nozaki Y, Kusuhara H, Sugiyama Y: </w:t>
      </w:r>
      <w:r w:rsidRPr="002B73A2">
        <w:rPr>
          <w:b/>
          <w:bCs/>
          <w:noProof/>
          <w:lang w:val="en-US"/>
        </w:rPr>
        <w:t>Involvement of BCRP (ABCG2) in the biliary excretion of pitavastatin.</w:t>
      </w:r>
      <w:r w:rsidRPr="002B73A2">
        <w:rPr>
          <w:noProof/>
          <w:lang w:val="en-US"/>
        </w:rPr>
        <w:t xml:space="preserve"> </w:t>
      </w:r>
      <w:r w:rsidRPr="002B73A2">
        <w:rPr>
          <w:i/>
          <w:iCs/>
          <w:noProof/>
          <w:lang w:val="en-US"/>
        </w:rPr>
        <w:t>Mol Pharmacol</w:t>
      </w:r>
      <w:r w:rsidRPr="002B73A2">
        <w:rPr>
          <w:noProof/>
          <w:lang w:val="en-US"/>
        </w:rPr>
        <w:t xml:space="preserve"> 2005, </w:t>
      </w:r>
      <w:r w:rsidRPr="002B73A2">
        <w:rPr>
          <w:b/>
          <w:bCs/>
          <w:noProof/>
          <w:lang w:val="en-US"/>
        </w:rPr>
        <w:t>68</w:t>
      </w:r>
      <w:r w:rsidRPr="002B73A2">
        <w:rPr>
          <w:noProof/>
          <w:lang w:val="en-US"/>
        </w:rPr>
        <w:t>:800–807.</w:t>
      </w:r>
    </w:p>
    <w:p w14:paraId="62CD0FAF"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43. Cattori V, Montfoort JE, Stieger B, Landmann L, Meijer DK, Winterhalter KH, Meier PJ, Hagenbuch B: </w:t>
      </w:r>
      <w:r w:rsidRPr="002B73A2">
        <w:rPr>
          <w:b/>
          <w:bCs/>
          <w:noProof/>
          <w:lang w:val="en-US"/>
        </w:rPr>
        <w:t>Localization of organic anion transporting polypeptide 4 (Oatp4) in rat liver and comparison of its substrate specificity with Oatp1, Oatp2 and Oatp3</w:t>
      </w:r>
      <w:r w:rsidRPr="002B73A2">
        <w:rPr>
          <w:noProof/>
          <w:lang w:val="en-US"/>
        </w:rPr>
        <w:t xml:space="preserve">. </w:t>
      </w:r>
      <w:r w:rsidRPr="002B73A2">
        <w:rPr>
          <w:i/>
          <w:iCs/>
          <w:noProof/>
          <w:lang w:val="en-US"/>
        </w:rPr>
        <w:t>Pflügers Arch</w:t>
      </w:r>
      <w:r w:rsidRPr="002B73A2">
        <w:rPr>
          <w:noProof/>
          <w:lang w:val="en-US"/>
        </w:rPr>
        <w:t xml:space="preserve"> 2001, </w:t>
      </w:r>
      <w:r w:rsidRPr="002B73A2">
        <w:rPr>
          <w:b/>
          <w:bCs/>
          <w:noProof/>
          <w:lang w:val="en-US"/>
        </w:rPr>
        <w:t>443</w:t>
      </w:r>
      <w:r w:rsidRPr="002B73A2">
        <w:rPr>
          <w:noProof/>
          <w:lang w:val="en-US"/>
        </w:rPr>
        <w:t>:188–195.</w:t>
      </w:r>
    </w:p>
    <w:p w14:paraId="6FDF8AAE"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44. Kanai N, Lu R, Bao Y, Wolkoff AW, Vore M, Schuster VL: </w:t>
      </w:r>
      <w:r w:rsidRPr="002B73A2">
        <w:rPr>
          <w:b/>
          <w:bCs/>
          <w:noProof/>
          <w:lang w:val="en-US"/>
        </w:rPr>
        <w:t>Estradiol 17 beta-D-glucuronide is a high-affinity substrate for oatp organic anion  transporter.</w:t>
      </w:r>
      <w:r w:rsidRPr="002B73A2">
        <w:rPr>
          <w:noProof/>
          <w:lang w:val="en-US"/>
        </w:rPr>
        <w:t xml:space="preserve"> </w:t>
      </w:r>
      <w:r w:rsidRPr="002B73A2">
        <w:rPr>
          <w:i/>
          <w:iCs/>
          <w:noProof/>
          <w:lang w:val="en-US"/>
        </w:rPr>
        <w:t>Am J Physiol</w:t>
      </w:r>
      <w:r w:rsidRPr="002B73A2">
        <w:rPr>
          <w:noProof/>
          <w:lang w:val="en-US"/>
        </w:rPr>
        <w:t xml:space="preserve"> 1996, </w:t>
      </w:r>
      <w:r w:rsidRPr="002B73A2">
        <w:rPr>
          <w:b/>
          <w:bCs/>
          <w:noProof/>
          <w:lang w:val="en-US"/>
        </w:rPr>
        <w:t>270</w:t>
      </w:r>
      <w:r w:rsidRPr="002B73A2">
        <w:rPr>
          <w:noProof/>
          <w:lang w:val="en-US"/>
        </w:rPr>
        <w:t>(2 Pt 2):F326-31.</w:t>
      </w:r>
    </w:p>
    <w:p w14:paraId="6DD83ACE"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45. Grosser G, Müller SF, Kirstgen M, Döring B, Geyer J: </w:t>
      </w:r>
      <w:r w:rsidRPr="002B73A2">
        <w:rPr>
          <w:b/>
          <w:bCs/>
          <w:noProof/>
          <w:lang w:val="en-US"/>
        </w:rPr>
        <w:t xml:space="preserve">Substrate Specificities and Inhibition Pattern of the Solute Carrier Family 10 Members NTCP, ASBT and SOAT   </w:t>
      </w:r>
      <w:r w:rsidRPr="002B73A2">
        <w:rPr>
          <w:noProof/>
          <w:lang w:val="en-US"/>
        </w:rPr>
        <w:t xml:space="preserve">. </w:t>
      </w:r>
      <w:r w:rsidRPr="002B73A2">
        <w:rPr>
          <w:i/>
          <w:iCs/>
          <w:noProof/>
          <w:lang w:val="en-US"/>
        </w:rPr>
        <w:t xml:space="preserve">Frontiers in Molecular Biosciences  </w:t>
      </w:r>
      <w:r w:rsidRPr="002B73A2">
        <w:rPr>
          <w:noProof/>
          <w:lang w:val="en-US"/>
        </w:rPr>
        <w:t xml:space="preserve"> 2021:430.</w:t>
      </w:r>
    </w:p>
    <w:p w14:paraId="1B54EBF2"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46. Akita H, Suzuki H, Hirohashi T, Takikawa H, Sugiyama Y: </w:t>
      </w:r>
      <w:r w:rsidRPr="002B73A2">
        <w:rPr>
          <w:b/>
          <w:bCs/>
          <w:noProof/>
          <w:lang w:val="en-US"/>
        </w:rPr>
        <w:t>Transport activity of human MRP3 expressed in Sf9 cells: comparative studies with  rat MRP3.</w:t>
      </w:r>
      <w:r w:rsidRPr="002B73A2">
        <w:rPr>
          <w:noProof/>
          <w:lang w:val="en-US"/>
        </w:rPr>
        <w:t xml:space="preserve"> </w:t>
      </w:r>
      <w:r w:rsidRPr="002B73A2">
        <w:rPr>
          <w:i/>
          <w:iCs/>
          <w:noProof/>
          <w:lang w:val="en-US"/>
        </w:rPr>
        <w:t>Pharm Res</w:t>
      </w:r>
      <w:r w:rsidRPr="002B73A2">
        <w:rPr>
          <w:noProof/>
          <w:lang w:val="en-US"/>
        </w:rPr>
        <w:t xml:space="preserve"> 2002, </w:t>
      </w:r>
      <w:r w:rsidRPr="002B73A2">
        <w:rPr>
          <w:b/>
          <w:bCs/>
          <w:noProof/>
          <w:lang w:val="en-US"/>
        </w:rPr>
        <w:t>19</w:t>
      </w:r>
      <w:r w:rsidRPr="002B73A2">
        <w:rPr>
          <w:noProof/>
          <w:lang w:val="en-US"/>
        </w:rPr>
        <w:t>:34–41.</w:t>
      </w:r>
    </w:p>
    <w:p w14:paraId="23EC672D"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47. Hirohashi T, Suzuki H, Sugiyama Y: </w:t>
      </w:r>
      <w:r w:rsidRPr="002B73A2">
        <w:rPr>
          <w:b/>
          <w:bCs/>
          <w:noProof/>
          <w:lang w:val="en-US"/>
        </w:rPr>
        <w:t>Characterization of the transport properties of cloned rat multidrug  resistance-associated protein 3 (MRP3).</w:t>
      </w:r>
      <w:r w:rsidRPr="002B73A2">
        <w:rPr>
          <w:noProof/>
          <w:lang w:val="en-US"/>
        </w:rPr>
        <w:t xml:space="preserve"> </w:t>
      </w:r>
      <w:r w:rsidRPr="002B73A2">
        <w:rPr>
          <w:i/>
          <w:iCs/>
          <w:noProof/>
          <w:lang w:val="en-US"/>
        </w:rPr>
        <w:t>J Biol Chem</w:t>
      </w:r>
      <w:r w:rsidRPr="002B73A2">
        <w:rPr>
          <w:noProof/>
          <w:lang w:val="en-US"/>
        </w:rPr>
        <w:t xml:space="preserve"> 1999, </w:t>
      </w:r>
      <w:r w:rsidRPr="002B73A2">
        <w:rPr>
          <w:b/>
          <w:bCs/>
          <w:noProof/>
          <w:lang w:val="en-US"/>
        </w:rPr>
        <w:t>274</w:t>
      </w:r>
      <w:r w:rsidRPr="002B73A2">
        <w:rPr>
          <w:noProof/>
          <w:lang w:val="en-US"/>
        </w:rPr>
        <w:t>:15181–15185.</w:t>
      </w:r>
    </w:p>
    <w:p w14:paraId="3F3EEF08"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48. Ninomiya M, Ito K, Horie T: </w:t>
      </w:r>
      <w:r w:rsidRPr="002B73A2">
        <w:rPr>
          <w:b/>
          <w:bCs/>
          <w:noProof/>
          <w:lang w:val="en-US"/>
        </w:rPr>
        <w:t>FUNCTIONAL ANALYSIS OF DOG MULTIDRUG RESISTANCE-ASSOCIATED PROTEIN 2 (MRP2) IN COMPARISON WITH RAT MRP2</w:t>
      </w:r>
      <w:r w:rsidRPr="002B73A2">
        <w:rPr>
          <w:noProof/>
          <w:lang w:val="en-US"/>
        </w:rPr>
        <w:t xml:space="preserve">. </w:t>
      </w:r>
      <w:r w:rsidRPr="002B73A2">
        <w:rPr>
          <w:i/>
          <w:iCs/>
          <w:noProof/>
          <w:lang w:val="en-US"/>
        </w:rPr>
        <w:t>Drug Metab Dispos</w:t>
      </w:r>
      <w:r w:rsidRPr="002B73A2">
        <w:rPr>
          <w:noProof/>
          <w:lang w:val="en-US"/>
        </w:rPr>
        <w:t xml:space="preserve"> 2005, </w:t>
      </w:r>
      <w:r w:rsidRPr="002B73A2">
        <w:rPr>
          <w:b/>
          <w:bCs/>
          <w:noProof/>
          <w:lang w:val="en-US"/>
        </w:rPr>
        <w:t>33</w:t>
      </w:r>
      <w:r w:rsidRPr="002B73A2">
        <w:rPr>
          <w:noProof/>
          <w:lang w:val="en-US"/>
        </w:rPr>
        <w:t>:225 LP – 232.</w:t>
      </w:r>
    </w:p>
    <w:p w14:paraId="6C64DCE5"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49. Blazquez AG, Briz O, Romero MR, Rosales R, Monte MJ, Vaquero J, Macias RIR, Cassio D, Marin JJG: </w:t>
      </w:r>
      <w:r w:rsidRPr="002B73A2">
        <w:rPr>
          <w:b/>
          <w:bCs/>
          <w:noProof/>
          <w:lang w:val="en-US"/>
        </w:rPr>
        <w:t>Characterization of the role of ABCG2 as a bile acid transporter in liver and  placenta.</w:t>
      </w:r>
      <w:r w:rsidRPr="002B73A2">
        <w:rPr>
          <w:noProof/>
          <w:lang w:val="en-US"/>
        </w:rPr>
        <w:t xml:space="preserve"> </w:t>
      </w:r>
      <w:r w:rsidRPr="002B73A2">
        <w:rPr>
          <w:i/>
          <w:iCs/>
          <w:noProof/>
          <w:lang w:val="en-US"/>
        </w:rPr>
        <w:t>Mol Pharmacol</w:t>
      </w:r>
      <w:r w:rsidRPr="002B73A2">
        <w:rPr>
          <w:noProof/>
          <w:lang w:val="en-US"/>
        </w:rPr>
        <w:t xml:space="preserve"> 2012, </w:t>
      </w:r>
      <w:r w:rsidRPr="002B73A2">
        <w:rPr>
          <w:b/>
          <w:bCs/>
          <w:noProof/>
          <w:lang w:val="en-US"/>
        </w:rPr>
        <w:t>81</w:t>
      </w:r>
      <w:r w:rsidRPr="002B73A2">
        <w:rPr>
          <w:noProof/>
          <w:lang w:val="en-US"/>
        </w:rPr>
        <w:t>:273–283.</w:t>
      </w:r>
    </w:p>
    <w:p w14:paraId="747B38F8"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50. Morita N, Kusuhara H, Sekine T, Endou H, Sugiyama Y: </w:t>
      </w:r>
      <w:r w:rsidRPr="002B73A2">
        <w:rPr>
          <w:b/>
          <w:bCs/>
          <w:noProof/>
          <w:lang w:val="en-US"/>
        </w:rPr>
        <w:t>Functional characterization of rat organic anion transporter 2 in LLC-PK1 cells</w:t>
      </w:r>
      <w:r w:rsidRPr="002B73A2">
        <w:rPr>
          <w:noProof/>
          <w:lang w:val="en-US"/>
        </w:rPr>
        <w:t xml:space="preserve">. </w:t>
      </w:r>
      <w:r w:rsidRPr="002B73A2">
        <w:rPr>
          <w:i/>
          <w:iCs/>
          <w:noProof/>
          <w:lang w:val="en-US"/>
        </w:rPr>
        <w:t>J Pharmacol Exp Ther</w:t>
      </w:r>
      <w:r w:rsidRPr="002B73A2">
        <w:rPr>
          <w:noProof/>
          <w:lang w:val="en-US"/>
        </w:rPr>
        <w:t xml:space="preserve"> 2001, </w:t>
      </w:r>
      <w:r w:rsidRPr="002B73A2">
        <w:rPr>
          <w:b/>
          <w:bCs/>
          <w:noProof/>
          <w:lang w:val="en-US"/>
        </w:rPr>
        <w:t>298</w:t>
      </w:r>
      <w:r w:rsidRPr="002B73A2">
        <w:rPr>
          <w:noProof/>
          <w:lang w:val="en-US"/>
        </w:rPr>
        <w:t>:1179–1184.</w:t>
      </w:r>
    </w:p>
    <w:p w14:paraId="364584FF"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lastRenderedPageBreak/>
        <w:t xml:space="preserve">51. Seward DJ, Koh AS, Boyer JL, Ballatori N: </w:t>
      </w:r>
      <w:r w:rsidRPr="002B73A2">
        <w:rPr>
          <w:b/>
          <w:bCs/>
          <w:noProof/>
          <w:lang w:val="en-US"/>
        </w:rPr>
        <w:t>Functional complementation between a novel mammalian polygenic transport complex and  an evolutionarily ancient organic solute transporter, OSTalpha-OSTbeta.</w:t>
      </w:r>
      <w:r w:rsidRPr="002B73A2">
        <w:rPr>
          <w:noProof/>
          <w:lang w:val="en-US"/>
        </w:rPr>
        <w:t xml:space="preserve"> </w:t>
      </w:r>
      <w:r w:rsidRPr="002B73A2">
        <w:rPr>
          <w:i/>
          <w:iCs/>
          <w:noProof/>
          <w:lang w:val="en-US"/>
        </w:rPr>
        <w:t>J Biol Chem</w:t>
      </w:r>
      <w:r w:rsidRPr="002B73A2">
        <w:rPr>
          <w:noProof/>
          <w:lang w:val="en-US"/>
        </w:rPr>
        <w:t xml:space="preserve"> 2003, </w:t>
      </w:r>
      <w:r w:rsidRPr="002B73A2">
        <w:rPr>
          <w:b/>
          <w:bCs/>
          <w:noProof/>
          <w:lang w:val="en-US"/>
        </w:rPr>
        <w:t>278</w:t>
      </w:r>
      <w:r w:rsidRPr="002B73A2">
        <w:rPr>
          <w:noProof/>
          <w:lang w:val="en-US"/>
        </w:rPr>
        <w:t>:27473–27482.</w:t>
      </w:r>
    </w:p>
    <w:p w14:paraId="240BEAB4"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52. Sato R, Akiyoshi T, Morita T, Katayama K, Yajima K, Kataoka H, Imaoka A, Ohtani H: </w:t>
      </w:r>
      <w:r w:rsidRPr="002B73A2">
        <w:rPr>
          <w:b/>
          <w:bCs/>
          <w:noProof/>
          <w:lang w:val="en-US"/>
        </w:rPr>
        <w:t>Dual kinetics of OATP2B1: Inhibitory potency and pH-dependence of OATP2B1 inhibitors</w:t>
      </w:r>
      <w:r w:rsidRPr="002B73A2">
        <w:rPr>
          <w:noProof/>
          <w:lang w:val="en-US"/>
        </w:rPr>
        <w:t xml:space="preserve">. </w:t>
      </w:r>
      <w:r w:rsidRPr="002B73A2">
        <w:rPr>
          <w:i/>
          <w:iCs/>
          <w:noProof/>
          <w:lang w:val="en-US"/>
        </w:rPr>
        <w:t>Drug Metab Pharmacokinet</w:t>
      </w:r>
      <w:r w:rsidRPr="002B73A2">
        <w:rPr>
          <w:noProof/>
          <w:lang w:val="en-US"/>
        </w:rPr>
        <w:t xml:space="preserve"> 2021, </w:t>
      </w:r>
      <w:r w:rsidRPr="002B73A2">
        <w:rPr>
          <w:b/>
          <w:bCs/>
          <w:noProof/>
          <w:lang w:val="en-US"/>
        </w:rPr>
        <w:t>41</w:t>
      </w:r>
      <w:r w:rsidRPr="002B73A2">
        <w:rPr>
          <w:noProof/>
          <w:lang w:val="en-US"/>
        </w:rPr>
        <w:t>:100416.</w:t>
      </w:r>
    </w:p>
    <w:p w14:paraId="7837BA7A"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53. Lengyel G, Veres Z, Tugyi R, Vereczkey L, Molnár T, Glavinas H, Krajcsi P, Jemnitz K: </w:t>
      </w:r>
      <w:r w:rsidRPr="002B73A2">
        <w:rPr>
          <w:b/>
          <w:bCs/>
          <w:noProof/>
          <w:lang w:val="en-US"/>
        </w:rPr>
        <w:t>Modulation of sinusoidal and canalicular elimination of bilirubin-glucuronides by rifampicin and other cholestatic drugs in a sandwich culture of rat hepatocytes</w:t>
      </w:r>
      <w:r w:rsidRPr="002B73A2">
        <w:rPr>
          <w:noProof/>
          <w:lang w:val="en-US"/>
        </w:rPr>
        <w:t xml:space="preserve">. </w:t>
      </w:r>
      <w:r w:rsidRPr="002B73A2">
        <w:rPr>
          <w:i/>
          <w:iCs/>
          <w:noProof/>
          <w:lang w:val="en-US"/>
        </w:rPr>
        <w:t>Hepatol Res</w:t>
      </w:r>
      <w:r w:rsidRPr="002B73A2">
        <w:rPr>
          <w:noProof/>
          <w:lang w:val="en-US"/>
        </w:rPr>
        <w:t xml:space="preserve"> 2008, </w:t>
      </w:r>
      <w:r w:rsidRPr="002B73A2">
        <w:rPr>
          <w:b/>
          <w:bCs/>
          <w:noProof/>
          <w:lang w:val="en-US"/>
        </w:rPr>
        <w:t>38</w:t>
      </w:r>
      <w:r w:rsidRPr="002B73A2">
        <w:rPr>
          <w:noProof/>
          <w:lang w:val="en-US"/>
        </w:rPr>
        <w:t>.</w:t>
      </w:r>
    </w:p>
    <w:p w14:paraId="0CF9D847"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54. Bodó A, Bakos É, Szeri F, Váradi A, Sarkadi B: </w:t>
      </w:r>
      <w:r w:rsidRPr="002B73A2">
        <w:rPr>
          <w:b/>
          <w:bCs/>
          <w:noProof/>
          <w:lang w:val="en-US"/>
        </w:rPr>
        <w:t>Differential Modulation of the Human Liver Conjugate Transporters MRP2 and MRP3 by Bile Acids and Organic Anions*</w:t>
      </w:r>
      <w:r w:rsidRPr="002B73A2">
        <w:rPr>
          <w:noProof/>
          <w:lang w:val="en-US"/>
        </w:rPr>
        <w:t xml:space="preserve">. </w:t>
      </w:r>
      <w:r w:rsidRPr="002B73A2">
        <w:rPr>
          <w:i/>
          <w:iCs/>
          <w:noProof/>
          <w:lang w:val="en-US"/>
        </w:rPr>
        <w:t>J Biol Chem</w:t>
      </w:r>
      <w:r w:rsidRPr="002B73A2">
        <w:rPr>
          <w:noProof/>
          <w:lang w:val="en-US"/>
        </w:rPr>
        <w:t xml:space="preserve"> 2003, </w:t>
      </w:r>
      <w:r w:rsidRPr="002B73A2">
        <w:rPr>
          <w:b/>
          <w:bCs/>
          <w:noProof/>
          <w:lang w:val="en-US"/>
        </w:rPr>
        <w:t>278</w:t>
      </w:r>
      <w:r w:rsidRPr="002B73A2">
        <w:rPr>
          <w:noProof/>
          <w:lang w:val="en-US"/>
        </w:rPr>
        <w:t>:23529–23537.</w:t>
      </w:r>
    </w:p>
    <w:p w14:paraId="67EADC4E"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55. Riha J, Brenner S, Böhmdorfer M, Giessrigl B, Pignitter M, Schueller K, Thalhammer T, Stieger B, Somoza V, Szekeres T: </w:t>
      </w:r>
      <w:r w:rsidRPr="002B73A2">
        <w:rPr>
          <w:b/>
          <w:bCs/>
          <w:noProof/>
          <w:lang w:val="en-US"/>
        </w:rPr>
        <w:t>Resveratrol and its major sulfated conjugates are substrates of organic anion transporting polypeptides (OATPs): Impact on growth of ZR‐75‐1 breast cancer cells</w:t>
      </w:r>
      <w:r w:rsidRPr="002B73A2">
        <w:rPr>
          <w:noProof/>
          <w:lang w:val="en-US"/>
        </w:rPr>
        <w:t xml:space="preserve">. </w:t>
      </w:r>
      <w:r w:rsidRPr="002B73A2">
        <w:rPr>
          <w:i/>
          <w:iCs/>
          <w:noProof/>
          <w:lang w:val="en-US"/>
        </w:rPr>
        <w:t>Mol Nutr Food Res</w:t>
      </w:r>
      <w:r w:rsidRPr="002B73A2">
        <w:rPr>
          <w:noProof/>
          <w:lang w:val="en-US"/>
        </w:rPr>
        <w:t xml:space="preserve"> 2014, </w:t>
      </w:r>
      <w:r w:rsidRPr="002B73A2">
        <w:rPr>
          <w:b/>
          <w:bCs/>
          <w:noProof/>
          <w:lang w:val="en-US"/>
        </w:rPr>
        <w:t>58</w:t>
      </w:r>
      <w:r w:rsidRPr="002B73A2">
        <w:rPr>
          <w:noProof/>
          <w:lang w:val="en-US"/>
        </w:rPr>
        <w:t>:1830–1842.</w:t>
      </w:r>
    </w:p>
    <w:p w14:paraId="3812853D"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56. van de Wetering K, Burkon A, Feddema W, Bot A, de Jonge H, Somoza V, Borst P: </w:t>
      </w:r>
      <w:r w:rsidRPr="002B73A2">
        <w:rPr>
          <w:b/>
          <w:bCs/>
          <w:noProof/>
          <w:lang w:val="en-US"/>
        </w:rPr>
        <w:t>Intestinal breast cancer resistance protein (BCRP)/Bcrp1 and multidrug resistance  protein 3 (MRP3)/Mrp3 are involved in the pharmacokinetics of resveratrol.</w:t>
      </w:r>
      <w:r w:rsidRPr="002B73A2">
        <w:rPr>
          <w:noProof/>
          <w:lang w:val="en-US"/>
        </w:rPr>
        <w:t xml:space="preserve"> </w:t>
      </w:r>
      <w:r w:rsidRPr="002B73A2">
        <w:rPr>
          <w:i/>
          <w:iCs/>
          <w:noProof/>
          <w:lang w:val="en-US"/>
        </w:rPr>
        <w:t>Mol Pharmacol</w:t>
      </w:r>
      <w:r w:rsidRPr="002B73A2">
        <w:rPr>
          <w:noProof/>
          <w:lang w:val="en-US"/>
        </w:rPr>
        <w:t xml:space="preserve"> 2009, </w:t>
      </w:r>
      <w:r w:rsidRPr="002B73A2">
        <w:rPr>
          <w:b/>
          <w:bCs/>
          <w:noProof/>
          <w:lang w:val="en-US"/>
        </w:rPr>
        <w:t>75</w:t>
      </w:r>
      <w:r w:rsidRPr="002B73A2">
        <w:rPr>
          <w:noProof/>
          <w:lang w:val="en-US"/>
        </w:rPr>
        <w:t>:876–885.</w:t>
      </w:r>
    </w:p>
    <w:p w14:paraId="398E3407"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57. Hata S, Wang P, Eftychiou N, Ananthanarayanan M, Batta A, Salen G, Pang KS, Wolkoff AW: </w:t>
      </w:r>
      <w:r w:rsidRPr="002B73A2">
        <w:rPr>
          <w:b/>
          <w:bCs/>
          <w:noProof/>
          <w:lang w:val="en-US"/>
        </w:rPr>
        <w:t>Substrate specificities of rat oatp1 and ntcp: implications for hepatic organic anion uptake</w:t>
      </w:r>
      <w:r w:rsidRPr="002B73A2">
        <w:rPr>
          <w:noProof/>
          <w:lang w:val="en-US"/>
        </w:rPr>
        <w:t xml:space="preserve">. </w:t>
      </w:r>
      <w:r w:rsidRPr="002B73A2">
        <w:rPr>
          <w:i/>
          <w:iCs/>
          <w:noProof/>
          <w:lang w:val="en-US"/>
        </w:rPr>
        <w:t>Am J Physiol Liver Physiol</w:t>
      </w:r>
      <w:r w:rsidRPr="002B73A2">
        <w:rPr>
          <w:noProof/>
          <w:lang w:val="en-US"/>
        </w:rPr>
        <w:t xml:space="preserve"> 2003, </w:t>
      </w:r>
      <w:r w:rsidRPr="002B73A2">
        <w:rPr>
          <w:b/>
          <w:bCs/>
          <w:noProof/>
          <w:lang w:val="en-US"/>
        </w:rPr>
        <w:t>285</w:t>
      </w:r>
      <w:r w:rsidRPr="002B73A2">
        <w:rPr>
          <w:noProof/>
          <w:lang w:val="en-US"/>
        </w:rPr>
        <w:t>:G829–G839.</w:t>
      </w:r>
    </w:p>
    <w:p w14:paraId="1F6EB33B"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58. Suga T, Yamaguchi H, Ogura J, Mano N: </w:t>
      </w:r>
      <w:r w:rsidRPr="002B73A2">
        <w:rPr>
          <w:b/>
          <w:bCs/>
          <w:noProof/>
          <w:lang w:val="en-US"/>
        </w:rPr>
        <w:t xml:space="preserve">Characterization of conjugated and unconjugated bile acid transport via human organic solute transporter </w:t>
      </w:r>
      <w:r w:rsidRPr="00E05C4B">
        <w:rPr>
          <w:b/>
          <w:bCs/>
          <w:noProof/>
          <w:lang w:val="it-IT"/>
        </w:rPr>
        <w:t>α</w:t>
      </w:r>
      <w:r w:rsidRPr="002B73A2">
        <w:rPr>
          <w:b/>
          <w:bCs/>
          <w:noProof/>
          <w:lang w:val="en-US"/>
        </w:rPr>
        <w:t>/</w:t>
      </w:r>
      <w:r w:rsidRPr="00E05C4B">
        <w:rPr>
          <w:b/>
          <w:bCs/>
          <w:noProof/>
          <w:lang w:val="it-IT"/>
        </w:rPr>
        <w:t>β</w:t>
      </w:r>
      <w:r w:rsidRPr="002B73A2">
        <w:rPr>
          <w:noProof/>
          <w:lang w:val="en-US"/>
        </w:rPr>
        <w:t xml:space="preserve">. </w:t>
      </w:r>
      <w:r w:rsidRPr="002B73A2">
        <w:rPr>
          <w:i/>
          <w:iCs/>
          <w:noProof/>
          <w:lang w:val="en-US"/>
        </w:rPr>
        <w:t>Biochim Biophys Acta - Biomembr</w:t>
      </w:r>
      <w:r w:rsidRPr="002B73A2">
        <w:rPr>
          <w:noProof/>
          <w:lang w:val="en-US"/>
        </w:rPr>
        <w:t xml:space="preserve"> 2019, </w:t>
      </w:r>
      <w:r w:rsidRPr="002B73A2">
        <w:rPr>
          <w:b/>
          <w:bCs/>
          <w:noProof/>
          <w:lang w:val="en-US"/>
        </w:rPr>
        <w:t>1861</w:t>
      </w:r>
      <w:r w:rsidRPr="002B73A2">
        <w:rPr>
          <w:noProof/>
          <w:lang w:val="en-US"/>
        </w:rPr>
        <w:t>:1023–1029.</w:t>
      </w:r>
    </w:p>
    <w:p w14:paraId="74DEAB3B"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59. Gerloff T, Stieger B, Hagenbuch B, Madon J, Landmann L, Roth J, Hofmann AF, Meier PJ: </w:t>
      </w:r>
      <w:r w:rsidRPr="002B73A2">
        <w:rPr>
          <w:b/>
          <w:bCs/>
          <w:noProof/>
          <w:lang w:val="en-US"/>
        </w:rPr>
        <w:t>The sister of P-glycoprotein represents the canalicular bile salt export pump of  mammalian liver.</w:t>
      </w:r>
      <w:r w:rsidRPr="002B73A2">
        <w:rPr>
          <w:noProof/>
          <w:lang w:val="en-US"/>
        </w:rPr>
        <w:t xml:space="preserve"> </w:t>
      </w:r>
      <w:r w:rsidRPr="002B73A2">
        <w:rPr>
          <w:i/>
          <w:iCs/>
          <w:noProof/>
          <w:lang w:val="en-US"/>
        </w:rPr>
        <w:t>J Biol Chem</w:t>
      </w:r>
      <w:r w:rsidRPr="002B73A2">
        <w:rPr>
          <w:noProof/>
          <w:lang w:val="en-US"/>
        </w:rPr>
        <w:t xml:space="preserve"> 1998, </w:t>
      </w:r>
      <w:r w:rsidRPr="002B73A2">
        <w:rPr>
          <w:b/>
          <w:bCs/>
          <w:noProof/>
          <w:lang w:val="en-US"/>
        </w:rPr>
        <w:t>273</w:t>
      </w:r>
      <w:r w:rsidRPr="002B73A2">
        <w:rPr>
          <w:noProof/>
          <w:lang w:val="en-US"/>
        </w:rPr>
        <w:t>:10046–10050.</w:t>
      </w:r>
    </w:p>
    <w:p w14:paraId="1D5BFD9B"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60. Kamisako T, Leier I, Cui Y, Konig J, Buchholz U, Hummel-Eisenbeiss J, Keppler D: </w:t>
      </w:r>
      <w:r w:rsidRPr="002B73A2">
        <w:rPr>
          <w:b/>
          <w:bCs/>
          <w:noProof/>
          <w:lang w:val="en-US"/>
        </w:rPr>
        <w:t>Transport of monoglucuronosyl and bisglucuronosyl bilirubin by recombinant human  and rat multidrug resistance protein 2.</w:t>
      </w:r>
      <w:r w:rsidRPr="002B73A2">
        <w:rPr>
          <w:noProof/>
          <w:lang w:val="en-US"/>
        </w:rPr>
        <w:t xml:space="preserve"> </w:t>
      </w:r>
      <w:r w:rsidRPr="002B73A2">
        <w:rPr>
          <w:i/>
          <w:iCs/>
          <w:noProof/>
          <w:lang w:val="en-US"/>
        </w:rPr>
        <w:t>Hepatology</w:t>
      </w:r>
      <w:r w:rsidRPr="002B73A2">
        <w:rPr>
          <w:noProof/>
          <w:lang w:val="en-US"/>
        </w:rPr>
        <w:t xml:space="preserve"> 1999, </w:t>
      </w:r>
      <w:r w:rsidRPr="002B73A2">
        <w:rPr>
          <w:b/>
          <w:bCs/>
          <w:noProof/>
          <w:lang w:val="en-US"/>
        </w:rPr>
        <w:t>30</w:t>
      </w:r>
      <w:r w:rsidRPr="002B73A2">
        <w:rPr>
          <w:noProof/>
          <w:lang w:val="en-US"/>
        </w:rPr>
        <w:t>:485–490.</w:t>
      </w:r>
    </w:p>
    <w:p w14:paraId="6D1CF0DB"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61. Lazarowski ER, Boucher RC, Harden TK: </w:t>
      </w:r>
      <w:r w:rsidRPr="002B73A2">
        <w:rPr>
          <w:b/>
          <w:bCs/>
          <w:noProof/>
          <w:lang w:val="en-US"/>
        </w:rPr>
        <w:t>Mechanisms of release of nucleotides and integration of their action as P2X-and P2Y-receptor activating molecules</w:t>
      </w:r>
      <w:r w:rsidRPr="002B73A2">
        <w:rPr>
          <w:noProof/>
          <w:lang w:val="en-US"/>
        </w:rPr>
        <w:t xml:space="preserve">. </w:t>
      </w:r>
      <w:r w:rsidRPr="002B73A2">
        <w:rPr>
          <w:i/>
          <w:iCs/>
          <w:noProof/>
          <w:lang w:val="en-US"/>
        </w:rPr>
        <w:t>Mol Pharmacol</w:t>
      </w:r>
      <w:r w:rsidRPr="002B73A2">
        <w:rPr>
          <w:noProof/>
          <w:lang w:val="en-US"/>
        </w:rPr>
        <w:t xml:space="preserve"> 2003, </w:t>
      </w:r>
      <w:r w:rsidRPr="002B73A2">
        <w:rPr>
          <w:b/>
          <w:bCs/>
          <w:noProof/>
          <w:lang w:val="en-US"/>
        </w:rPr>
        <w:t>64</w:t>
      </w:r>
      <w:r w:rsidRPr="002B73A2">
        <w:rPr>
          <w:noProof/>
          <w:lang w:val="en-US"/>
        </w:rPr>
        <w:t>:785–795.</w:t>
      </w:r>
    </w:p>
    <w:p w14:paraId="0A5101B1"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62. Yang W, Benjamin IS, Sherwood R, Salisbury J, Alexander B: </w:t>
      </w:r>
      <w:r w:rsidRPr="002B73A2">
        <w:rPr>
          <w:b/>
          <w:bCs/>
          <w:noProof/>
          <w:lang w:val="en-US"/>
        </w:rPr>
        <w:t>Effect of perfusate albumin on organ viability and vascular responses in the in  vitro dual-perfused rat liver.</w:t>
      </w:r>
      <w:r w:rsidRPr="002B73A2">
        <w:rPr>
          <w:noProof/>
          <w:lang w:val="en-US"/>
        </w:rPr>
        <w:t xml:space="preserve"> </w:t>
      </w:r>
      <w:r w:rsidRPr="002B73A2">
        <w:rPr>
          <w:i/>
          <w:iCs/>
          <w:noProof/>
          <w:lang w:val="en-US"/>
        </w:rPr>
        <w:t>J Pharmacol Toxicol Methods</w:t>
      </w:r>
      <w:r w:rsidRPr="002B73A2">
        <w:rPr>
          <w:noProof/>
          <w:lang w:val="en-US"/>
        </w:rPr>
        <w:t xml:space="preserve"> 2000, </w:t>
      </w:r>
      <w:r w:rsidRPr="002B73A2">
        <w:rPr>
          <w:b/>
          <w:bCs/>
          <w:noProof/>
          <w:lang w:val="en-US"/>
        </w:rPr>
        <w:t>43</w:t>
      </w:r>
      <w:r w:rsidRPr="002B73A2">
        <w:rPr>
          <w:noProof/>
          <w:lang w:val="en-US"/>
        </w:rPr>
        <w:t>:225–231.</w:t>
      </w:r>
    </w:p>
    <w:p w14:paraId="60BA87CA"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63. Levitt DG, Levitt MD: </w:t>
      </w:r>
      <w:r w:rsidRPr="002B73A2">
        <w:rPr>
          <w:b/>
          <w:bCs/>
          <w:noProof/>
          <w:lang w:val="en-US"/>
        </w:rPr>
        <w:t>Quantitative assessment of the multiple processes responsible for bilirubin homeostasis in health and disease.</w:t>
      </w:r>
      <w:r w:rsidRPr="002B73A2">
        <w:rPr>
          <w:noProof/>
          <w:lang w:val="en-US"/>
        </w:rPr>
        <w:t xml:space="preserve"> </w:t>
      </w:r>
      <w:r w:rsidRPr="002B73A2">
        <w:rPr>
          <w:i/>
          <w:iCs/>
          <w:noProof/>
          <w:lang w:val="en-US"/>
        </w:rPr>
        <w:t>Clin Exp Gastroenterol</w:t>
      </w:r>
      <w:r w:rsidRPr="002B73A2">
        <w:rPr>
          <w:noProof/>
          <w:lang w:val="en-US"/>
        </w:rPr>
        <w:t xml:space="preserve"> 2014, </w:t>
      </w:r>
      <w:r w:rsidRPr="002B73A2">
        <w:rPr>
          <w:b/>
          <w:bCs/>
          <w:noProof/>
          <w:lang w:val="en-US"/>
        </w:rPr>
        <w:t>7</w:t>
      </w:r>
      <w:r w:rsidRPr="002B73A2">
        <w:rPr>
          <w:noProof/>
          <w:lang w:val="en-US"/>
        </w:rPr>
        <w:t>:307–28.</w:t>
      </w:r>
    </w:p>
    <w:p w14:paraId="6EF83BD4"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64. Scharschmidt BF, Waggoner JG, Berk PD: </w:t>
      </w:r>
      <w:r w:rsidRPr="002B73A2">
        <w:rPr>
          <w:b/>
          <w:bCs/>
          <w:noProof/>
          <w:lang w:val="en-US"/>
        </w:rPr>
        <w:t>Hepatic organic anion uptake in the rat.</w:t>
      </w:r>
      <w:r w:rsidRPr="002B73A2">
        <w:rPr>
          <w:noProof/>
          <w:lang w:val="en-US"/>
        </w:rPr>
        <w:t xml:space="preserve"> </w:t>
      </w:r>
      <w:r w:rsidRPr="002B73A2">
        <w:rPr>
          <w:i/>
          <w:iCs/>
          <w:noProof/>
          <w:lang w:val="en-US"/>
        </w:rPr>
        <w:t>J Clin Invest</w:t>
      </w:r>
      <w:r w:rsidRPr="002B73A2">
        <w:rPr>
          <w:noProof/>
          <w:lang w:val="en-US"/>
        </w:rPr>
        <w:t xml:space="preserve"> 1975, </w:t>
      </w:r>
      <w:r w:rsidRPr="002B73A2">
        <w:rPr>
          <w:b/>
          <w:bCs/>
          <w:noProof/>
          <w:lang w:val="en-US"/>
        </w:rPr>
        <w:t>56</w:t>
      </w:r>
      <w:r w:rsidRPr="002B73A2">
        <w:rPr>
          <w:noProof/>
          <w:lang w:val="en-US"/>
        </w:rPr>
        <w:t>:1280–1292.</w:t>
      </w:r>
    </w:p>
    <w:p w14:paraId="441C1FFD"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65. Masyuk T V, Ritman EL, LaRusso NF: </w:t>
      </w:r>
      <w:r w:rsidRPr="002B73A2">
        <w:rPr>
          <w:b/>
          <w:bCs/>
          <w:noProof/>
          <w:lang w:val="en-US"/>
        </w:rPr>
        <w:t>Hepatic artery and portal vein remodeling in rat liver: vascular response to selective cholangiocyte proliferation</w:t>
      </w:r>
      <w:r w:rsidRPr="002B73A2">
        <w:rPr>
          <w:noProof/>
          <w:lang w:val="en-US"/>
        </w:rPr>
        <w:t xml:space="preserve">. </w:t>
      </w:r>
      <w:r w:rsidRPr="002B73A2">
        <w:rPr>
          <w:i/>
          <w:iCs/>
          <w:noProof/>
          <w:lang w:val="en-US"/>
        </w:rPr>
        <w:t>Am J Pathol</w:t>
      </w:r>
      <w:r w:rsidRPr="002B73A2">
        <w:rPr>
          <w:noProof/>
          <w:lang w:val="en-US"/>
        </w:rPr>
        <w:t xml:space="preserve"> 2003, </w:t>
      </w:r>
      <w:r w:rsidRPr="002B73A2">
        <w:rPr>
          <w:b/>
          <w:bCs/>
          <w:noProof/>
          <w:lang w:val="en-US"/>
        </w:rPr>
        <w:t>162</w:t>
      </w:r>
      <w:r w:rsidRPr="002B73A2">
        <w:rPr>
          <w:noProof/>
          <w:lang w:val="en-US"/>
        </w:rPr>
        <w:t>:1175–1182.</w:t>
      </w:r>
    </w:p>
    <w:p w14:paraId="0603FD03" w14:textId="77777777" w:rsidR="00E05C4B" w:rsidRPr="002B73A2" w:rsidRDefault="00E05C4B" w:rsidP="003B76E2">
      <w:pPr>
        <w:widowControl w:val="0"/>
        <w:autoSpaceDE w:val="0"/>
        <w:autoSpaceDN w:val="0"/>
        <w:adjustRightInd w:val="0"/>
        <w:jc w:val="both"/>
        <w:rPr>
          <w:noProof/>
          <w:lang w:val="en-US"/>
        </w:rPr>
      </w:pPr>
      <w:r w:rsidRPr="002B73A2">
        <w:rPr>
          <w:noProof/>
          <w:lang w:val="en-US"/>
        </w:rPr>
        <w:t xml:space="preserve">66. Pries JM, Staples AB, Hanson RF: </w:t>
      </w:r>
      <w:r w:rsidRPr="002B73A2">
        <w:rPr>
          <w:b/>
          <w:bCs/>
          <w:noProof/>
          <w:lang w:val="en-US"/>
        </w:rPr>
        <w:t>The effect of hepatic blood flow on taurocholate extraction by the isolated perfused  rat liver.</w:t>
      </w:r>
      <w:r w:rsidRPr="002B73A2">
        <w:rPr>
          <w:noProof/>
          <w:lang w:val="en-US"/>
        </w:rPr>
        <w:t xml:space="preserve"> </w:t>
      </w:r>
      <w:r w:rsidRPr="002B73A2">
        <w:rPr>
          <w:i/>
          <w:iCs/>
          <w:noProof/>
          <w:lang w:val="en-US"/>
        </w:rPr>
        <w:t>J Lab Clin Med</w:t>
      </w:r>
      <w:r w:rsidRPr="002B73A2">
        <w:rPr>
          <w:noProof/>
          <w:lang w:val="en-US"/>
        </w:rPr>
        <w:t xml:space="preserve"> 1981, </w:t>
      </w:r>
      <w:r w:rsidRPr="002B73A2">
        <w:rPr>
          <w:b/>
          <w:bCs/>
          <w:noProof/>
          <w:lang w:val="en-US"/>
        </w:rPr>
        <w:t>97</w:t>
      </w:r>
      <w:r w:rsidRPr="002B73A2">
        <w:rPr>
          <w:noProof/>
          <w:lang w:val="en-US"/>
        </w:rPr>
        <w:t>:412–417.</w:t>
      </w:r>
    </w:p>
    <w:p w14:paraId="620E163C" w14:textId="77777777" w:rsidR="00E05C4B" w:rsidRPr="00E05C4B" w:rsidRDefault="00E05C4B" w:rsidP="003B76E2">
      <w:pPr>
        <w:widowControl w:val="0"/>
        <w:autoSpaceDE w:val="0"/>
        <w:autoSpaceDN w:val="0"/>
        <w:adjustRightInd w:val="0"/>
        <w:jc w:val="both"/>
        <w:rPr>
          <w:noProof/>
        </w:rPr>
      </w:pPr>
      <w:r w:rsidRPr="002B73A2">
        <w:rPr>
          <w:noProof/>
          <w:lang w:val="en-US"/>
        </w:rPr>
        <w:t xml:space="preserve">67. van de Steeg E, Stránecký V, Hartmannová H, Nosková L, Hřebíček M, Wagenaar E, van Esch A, de Waart DR, Elferink RPJO, Kenworthy KE: </w:t>
      </w:r>
      <w:r w:rsidRPr="002B73A2">
        <w:rPr>
          <w:b/>
          <w:bCs/>
          <w:noProof/>
          <w:lang w:val="en-US"/>
        </w:rPr>
        <w:t xml:space="preserve">Complete OATP1B1 and OATP1B3 </w:t>
      </w:r>
      <w:r w:rsidRPr="002B73A2">
        <w:rPr>
          <w:b/>
          <w:bCs/>
          <w:noProof/>
          <w:lang w:val="en-US"/>
        </w:rPr>
        <w:lastRenderedPageBreak/>
        <w:t>deficiency causes human Rotor syndrome by interrupting conjugated bilirubin reuptake into the liver</w:t>
      </w:r>
      <w:r w:rsidRPr="002B73A2">
        <w:rPr>
          <w:noProof/>
          <w:lang w:val="en-US"/>
        </w:rPr>
        <w:t xml:space="preserve">. </w:t>
      </w:r>
      <w:r w:rsidRPr="00E05C4B">
        <w:rPr>
          <w:i/>
          <w:iCs/>
          <w:noProof/>
          <w:lang w:val="it-IT"/>
        </w:rPr>
        <w:t>J Clin Invest</w:t>
      </w:r>
      <w:r w:rsidRPr="00E05C4B">
        <w:rPr>
          <w:noProof/>
          <w:lang w:val="it-IT"/>
        </w:rPr>
        <w:t xml:space="preserve"> 2012, </w:t>
      </w:r>
      <w:r w:rsidRPr="00E05C4B">
        <w:rPr>
          <w:b/>
          <w:bCs/>
          <w:noProof/>
          <w:lang w:val="it-IT"/>
        </w:rPr>
        <w:t>122</w:t>
      </w:r>
      <w:r w:rsidRPr="00E05C4B">
        <w:rPr>
          <w:noProof/>
          <w:lang w:val="it-IT"/>
        </w:rPr>
        <w:t>:519.</w:t>
      </w:r>
    </w:p>
    <w:p w14:paraId="5C29A696" w14:textId="5177D3D6" w:rsidR="00035536" w:rsidRPr="00035536" w:rsidRDefault="00035536" w:rsidP="003B76E2">
      <w:pPr>
        <w:widowControl w:val="0"/>
        <w:autoSpaceDE w:val="0"/>
        <w:autoSpaceDN w:val="0"/>
        <w:adjustRightInd w:val="0"/>
        <w:jc w:val="both"/>
        <w:rPr>
          <w:color w:val="000000" w:themeColor="text1"/>
          <w:lang w:val="en-US"/>
        </w:rPr>
      </w:pPr>
      <w:r>
        <w:rPr>
          <w:color w:val="000000" w:themeColor="text1"/>
          <w:lang w:val="en-US"/>
        </w:rPr>
        <w:fldChar w:fldCharType="end"/>
      </w:r>
    </w:p>
    <w:sectPr w:rsidR="00035536" w:rsidRPr="00035536" w:rsidSect="00887EB3">
      <w:footerReference w:type="even" r:id="rId28"/>
      <w:footerReference w:type="default" r:id="rId29"/>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159141" w14:textId="77777777" w:rsidR="00610326" w:rsidRDefault="00610326">
      <w:r>
        <w:separator/>
      </w:r>
    </w:p>
  </w:endnote>
  <w:endnote w:type="continuationSeparator" w:id="0">
    <w:p w14:paraId="385DF103" w14:textId="77777777" w:rsidR="00610326" w:rsidRDefault="006103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4D"/>
    <w:family w:val="decorative"/>
    <w:pitch w:val="variable"/>
    <w:sig w:usb0="00000003" w:usb1="00000000" w:usb2="00000000" w:usb3="00000000" w:csb0="80000001" w:csb1="00000000"/>
  </w:font>
  <w:font w:name="Cambria Math">
    <w:panose1 w:val="02040503050406030204"/>
    <w:charset w:val="00"/>
    <w:family w:val="roman"/>
    <w:pitch w:val="variable"/>
    <w:sig w:usb0="E00006FF" w:usb1="420024FF" w:usb2="02000000" w:usb3="00000000" w:csb0="0000019F" w:csb1="00000000"/>
  </w:font>
  <w:font w:name="+mn-e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1907285267"/>
      <w:docPartObj>
        <w:docPartGallery w:val="Page Numbers (Bottom of Page)"/>
        <w:docPartUnique/>
      </w:docPartObj>
    </w:sdtPr>
    <w:sdtEndPr>
      <w:rPr>
        <w:rStyle w:val="Numeropagina"/>
      </w:rPr>
    </w:sdtEndPr>
    <w:sdtContent>
      <w:p w14:paraId="13BA4366" w14:textId="77777777" w:rsidR="00BA4FC3" w:rsidRDefault="000B0454" w:rsidP="00B4555A">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6BB86B35" w14:textId="77777777" w:rsidR="00BA4FC3" w:rsidRDefault="00610326" w:rsidP="00E206DC">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1632860694"/>
      <w:docPartObj>
        <w:docPartGallery w:val="Page Numbers (Bottom of Page)"/>
        <w:docPartUnique/>
      </w:docPartObj>
    </w:sdtPr>
    <w:sdtEndPr>
      <w:rPr>
        <w:rStyle w:val="Numeropagina"/>
      </w:rPr>
    </w:sdtEndPr>
    <w:sdtContent>
      <w:p w14:paraId="189C4042" w14:textId="77777777" w:rsidR="00BA4FC3" w:rsidRDefault="000B0454" w:rsidP="00B4555A">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1</w:t>
        </w:r>
        <w:r>
          <w:rPr>
            <w:rStyle w:val="Numeropagina"/>
          </w:rPr>
          <w:fldChar w:fldCharType="end"/>
        </w:r>
      </w:p>
    </w:sdtContent>
  </w:sdt>
  <w:p w14:paraId="3D59DD13" w14:textId="77777777" w:rsidR="00BA4FC3" w:rsidRDefault="00610326" w:rsidP="00E206DC">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A94303" w14:textId="77777777" w:rsidR="00610326" w:rsidRDefault="00610326">
      <w:r>
        <w:separator/>
      </w:r>
    </w:p>
  </w:footnote>
  <w:footnote w:type="continuationSeparator" w:id="0">
    <w:p w14:paraId="6766D38F" w14:textId="77777777" w:rsidR="00610326" w:rsidRDefault="006103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C153B0"/>
    <w:multiLevelType w:val="hybridMultilevel"/>
    <w:tmpl w:val="924E273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hideSpellingErrors/>
  <w:hideGrammaticalErrors/>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595"/>
    <w:rsid w:val="000005C3"/>
    <w:rsid w:val="000010A0"/>
    <w:rsid w:val="00007252"/>
    <w:rsid w:val="00012A9C"/>
    <w:rsid w:val="00014346"/>
    <w:rsid w:val="00026979"/>
    <w:rsid w:val="00031A70"/>
    <w:rsid w:val="00031B4F"/>
    <w:rsid w:val="00035536"/>
    <w:rsid w:val="0003676C"/>
    <w:rsid w:val="00037FA4"/>
    <w:rsid w:val="000472C6"/>
    <w:rsid w:val="00050971"/>
    <w:rsid w:val="000541CE"/>
    <w:rsid w:val="00060827"/>
    <w:rsid w:val="00065D06"/>
    <w:rsid w:val="00074585"/>
    <w:rsid w:val="00080840"/>
    <w:rsid w:val="000815FA"/>
    <w:rsid w:val="00092FFA"/>
    <w:rsid w:val="0009695B"/>
    <w:rsid w:val="000A0F2F"/>
    <w:rsid w:val="000A1A07"/>
    <w:rsid w:val="000A4751"/>
    <w:rsid w:val="000B0454"/>
    <w:rsid w:val="000B7A57"/>
    <w:rsid w:val="000B7AD9"/>
    <w:rsid w:val="000C191C"/>
    <w:rsid w:val="000C5F69"/>
    <w:rsid w:val="000D4D30"/>
    <w:rsid w:val="000E667F"/>
    <w:rsid w:val="000F2386"/>
    <w:rsid w:val="00102599"/>
    <w:rsid w:val="00103A30"/>
    <w:rsid w:val="00103ADD"/>
    <w:rsid w:val="0011000F"/>
    <w:rsid w:val="001215FA"/>
    <w:rsid w:val="00132070"/>
    <w:rsid w:val="001321F6"/>
    <w:rsid w:val="00134627"/>
    <w:rsid w:val="00140D80"/>
    <w:rsid w:val="00143B61"/>
    <w:rsid w:val="00150439"/>
    <w:rsid w:val="0016214B"/>
    <w:rsid w:val="001651E9"/>
    <w:rsid w:val="00171F6F"/>
    <w:rsid w:val="00172579"/>
    <w:rsid w:val="0018275F"/>
    <w:rsid w:val="001867D9"/>
    <w:rsid w:val="00194136"/>
    <w:rsid w:val="0019518B"/>
    <w:rsid w:val="001968B8"/>
    <w:rsid w:val="001A5763"/>
    <w:rsid w:val="001A58DD"/>
    <w:rsid w:val="001C0C0E"/>
    <w:rsid w:val="001C57E2"/>
    <w:rsid w:val="001C699B"/>
    <w:rsid w:val="001D5333"/>
    <w:rsid w:val="001E6E51"/>
    <w:rsid w:val="001E7DBF"/>
    <w:rsid w:val="001F0DAF"/>
    <w:rsid w:val="001F228A"/>
    <w:rsid w:val="001F4356"/>
    <w:rsid w:val="002113B4"/>
    <w:rsid w:val="00245837"/>
    <w:rsid w:val="00247337"/>
    <w:rsid w:val="00251030"/>
    <w:rsid w:val="002554F9"/>
    <w:rsid w:val="0025583F"/>
    <w:rsid w:val="002A3746"/>
    <w:rsid w:val="002A39BE"/>
    <w:rsid w:val="002B73A2"/>
    <w:rsid w:val="002C1F92"/>
    <w:rsid w:val="002C2DEE"/>
    <w:rsid w:val="002D2236"/>
    <w:rsid w:val="002D62F1"/>
    <w:rsid w:val="002F01D4"/>
    <w:rsid w:val="002F40EB"/>
    <w:rsid w:val="002F6663"/>
    <w:rsid w:val="0030565C"/>
    <w:rsid w:val="00322F83"/>
    <w:rsid w:val="0032641E"/>
    <w:rsid w:val="00327D6C"/>
    <w:rsid w:val="00344DDC"/>
    <w:rsid w:val="00353B66"/>
    <w:rsid w:val="0035404D"/>
    <w:rsid w:val="0036454D"/>
    <w:rsid w:val="00364DD4"/>
    <w:rsid w:val="0039188E"/>
    <w:rsid w:val="00392933"/>
    <w:rsid w:val="003B0905"/>
    <w:rsid w:val="003B4641"/>
    <w:rsid w:val="003B746E"/>
    <w:rsid w:val="003B76E2"/>
    <w:rsid w:val="003C0C91"/>
    <w:rsid w:val="003C36E9"/>
    <w:rsid w:val="003D09AA"/>
    <w:rsid w:val="003D78F7"/>
    <w:rsid w:val="003F0205"/>
    <w:rsid w:val="003F6D93"/>
    <w:rsid w:val="004010CE"/>
    <w:rsid w:val="00412A35"/>
    <w:rsid w:val="0042410A"/>
    <w:rsid w:val="00436FED"/>
    <w:rsid w:val="00441799"/>
    <w:rsid w:val="00441BFF"/>
    <w:rsid w:val="004431C1"/>
    <w:rsid w:val="00444DD7"/>
    <w:rsid w:val="00452997"/>
    <w:rsid w:val="00463873"/>
    <w:rsid w:val="004644F2"/>
    <w:rsid w:val="00464843"/>
    <w:rsid w:val="00473413"/>
    <w:rsid w:val="0048145F"/>
    <w:rsid w:val="0048554E"/>
    <w:rsid w:val="004B0754"/>
    <w:rsid w:val="004B48DE"/>
    <w:rsid w:val="004B6BBA"/>
    <w:rsid w:val="004C5432"/>
    <w:rsid w:val="004C710A"/>
    <w:rsid w:val="004D5BA1"/>
    <w:rsid w:val="004E48E2"/>
    <w:rsid w:val="004F41E6"/>
    <w:rsid w:val="00502A73"/>
    <w:rsid w:val="00506205"/>
    <w:rsid w:val="00506845"/>
    <w:rsid w:val="00507229"/>
    <w:rsid w:val="00531539"/>
    <w:rsid w:val="0054104E"/>
    <w:rsid w:val="00541D27"/>
    <w:rsid w:val="005674CF"/>
    <w:rsid w:val="00573A04"/>
    <w:rsid w:val="005744CA"/>
    <w:rsid w:val="00576EF4"/>
    <w:rsid w:val="005820F9"/>
    <w:rsid w:val="0058449A"/>
    <w:rsid w:val="00585BFD"/>
    <w:rsid w:val="00585D66"/>
    <w:rsid w:val="0059279B"/>
    <w:rsid w:val="00597CEC"/>
    <w:rsid w:val="005A2CCA"/>
    <w:rsid w:val="005A53E0"/>
    <w:rsid w:val="005A63D8"/>
    <w:rsid w:val="005C4BC3"/>
    <w:rsid w:val="005D3268"/>
    <w:rsid w:val="005E3649"/>
    <w:rsid w:val="005F5D9A"/>
    <w:rsid w:val="005F6CFD"/>
    <w:rsid w:val="00610326"/>
    <w:rsid w:val="00610CBF"/>
    <w:rsid w:val="0061658A"/>
    <w:rsid w:val="006307BF"/>
    <w:rsid w:val="0063778A"/>
    <w:rsid w:val="006449A3"/>
    <w:rsid w:val="00652471"/>
    <w:rsid w:val="00652984"/>
    <w:rsid w:val="00655603"/>
    <w:rsid w:val="00662D80"/>
    <w:rsid w:val="0066598D"/>
    <w:rsid w:val="00694BA0"/>
    <w:rsid w:val="006A7258"/>
    <w:rsid w:val="006C467B"/>
    <w:rsid w:val="006C46DE"/>
    <w:rsid w:val="006C6D25"/>
    <w:rsid w:val="006D20D0"/>
    <w:rsid w:val="006E773B"/>
    <w:rsid w:val="006F00A3"/>
    <w:rsid w:val="006F1851"/>
    <w:rsid w:val="006F1D91"/>
    <w:rsid w:val="006F6194"/>
    <w:rsid w:val="00710B8F"/>
    <w:rsid w:val="007421DB"/>
    <w:rsid w:val="007444BB"/>
    <w:rsid w:val="0075312B"/>
    <w:rsid w:val="0075494B"/>
    <w:rsid w:val="00760B34"/>
    <w:rsid w:val="007636AD"/>
    <w:rsid w:val="00771922"/>
    <w:rsid w:val="00781CA2"/>
    <w:rsid w:val="007928F9"/>
    <w:rsid w:val="007A20B6"/>
    <w:rsid w:val="007A47A0"/>
    <w:rsid w:val="007B01B1"/>
    <w:rsid w:val="007B185D"/>
    <w:rsid w:val="007B3D24"/>
    <w:rsid w:val="007B64DB"/>
    <w:rsid w:val="007B6E8D"/>
    <w:rsid w:val="007B73A8"/>
    <w:rsid w:val="007D0547"/>
    <w:rsid w:val="007D454F"/>
    <w:rsid w:val="007E07F8"/>
    <w:rsid w:val="007E0949"/>
    <w:rsid w:val="008010D7"/>
    <w:rsid w:val="00804374"/>
    <w:rsid w:val="00821C3E"/>
    <w:rsid w:val="008506BB"/>
    <w:rsid w:val="00861025"/>
    <w:rsid w:val="0086377D"/>
    <w:rsid w:val="00877868"/>
    <w:rsid w:val="00893B67"/>
    <w:rsid w:val="008A57DC"/>
    <w:rsid w:val="008B031F"/>
    <w:rsid w:val="008B10A0"/>
    <w:rsid w:val="008B3A10"/>
    <w:rsid w:val="008B7BE2"/>
    <w:rsid w:val="008C0DA1"/>
    <w:rsid w:val="008C25E9"/>
    <w:rsid w:val="008C4117"/>
    <w:rsid w:val="008C46F5"/>
    <w:rsid w:val="008D24FC"/>
    <w:rsid w:val="008E21D0"/>
    <w:rsid w:val="008E3595"/>
    <w:rsid w:val="008F7A65"/>
    <w:rsid w:val="00901DF2"/>
    <w:rsid w:val="00910659"/>
    <w:rsid w:val="00912BFD"/>
    <w:rsid w:val="00923E5F"/>
    <w:rsid w:val="0092759F"/>
    <w:rsid w:val="0093061A"/>
    <w:rsid w:val="00933FD5"/>
    <w:rsid w:val="00937986"/>
    <w:rsid w:val="009415D8"/>
    <w:rsid w:val="00953EB3"/>
    <w:rsid w:val="009575AA"/>
    <w:rsid w:val="00966E50"/>
    <w:rsid w:val="009716C0"/>
    <w:rsid w:val="00977AC5"/>
    <w:rsid w:val="0098125E"/>
    <w:rsid w:val="00981650"/>
    <w:rsid w:val="00997703"/>
    <w:rsid w:val="009A0797"/>
    <w:rsid w:val="009D55DF"/>
    <w:rsid w:val="009E0614"/>
    <w:rsid w:val="00A003A9"/>
    <w:rsid w:val="00A110E0"/>
    <w:rsid w:val="00A124B8"/>
    <w:rsid w:val="00A14C8B"/>
    <w:rsid w:val="00A207F7"/>
    <w:rsid w:val="00A32D80"/>
    <w:rsid w:val="00A36567"/>
    <w:rsid w:val="00A3703F"/>
    <w:rsid w:val="00A37675"/>
    <w:rsid w:val="00A461A7"/>
    <w:rsid w:val="00A65908"/>
    <w:rsid w:val="00A668CD"/>
    <w:rsid w:val="00A669AA"/>
    <w:rsid w:val="00A73B61"/>
    <w:rsid w:val="00A8030E"/>
    <w:rsid w:val="00A817D8"/>
    <w:rsid w:val="00A82032"/>
    <w:rsid w:val="00A869AB"/>
    <w:rsid w:val="00A934D1"/>
    <w:rsid w:val="00A97E22"/>
    <w:rsid w:val="00AA23B3"/>
    <w:rsid w:val="00AB124F"/>
    <w:rsid w:val="00AB53E8"/>
    <w:rsid w:val="00AC26E1"/>
    <w:rsid w:val="00AD7CB3"/>
    <w:rsid w:val="00B01F2F"/>
    <w:rsid w:val="00B105B3"/>
    <w:rsid w:val="00B15EC4"/>
    <w:rsid w:val="00B23801"/>
    <w:rsid w:val="00B30CAA"/>
    <w:rsid w:val="00B3136C"/>
    <w:rsid w:val="00B346DB"/>
    <w:rsid w:val="00B451DE"/>
    <w:rsid w:val="00B5010C"/>
    <w:rsid w:val="00B51A2B"/>
    <w:rsid w:val="00B5415F"/>
    <w:rsid w:val="00B63381"/>
    <w:rsid w:val="00B642EF"/>
    <w:rsid w:val="00B7303A"/>
    <w:rsid w:val="00B80564"/>
    <w:rsid w:val="00B86438"/>
    <w:rsid w:val="00BA3B0B"/>
    <w:rsid w:val="00BA41BD"/>
    <w:rsid w:val="00BB2EA9"/>
    <w:rsid w:val="00BB4AF1"/>
    <w:rsid w:val="00BB6507"/>
    <w:rsid w:val="00BB7045"/>
    <w:rsid w:val="00BC1A25"/>
    <w:rsid w:val="00BC221F"/>
    <w:rsid w:val="00BC3C8B"/>
    <w:rsid w:val="00BC74D9"/>
    <w:rsid w:val="00BD3341"/>
    <w:rsid w:val="00BF16BE"/>
    <w:rsid w:val="00BF63BD"/>
    <w:rsid w:val="00C14102"/>
    <w:rsid w:val="00C20014"/>
    <w:rsid w:val="00C27A09"/>
    <w:rsid w:val="00C36392"/>
    <w:rsid w:val="00C5555E"/>
    <w:rsid w:val="00C61C2E"/>
    <w:rsid w:val="00C63778"/>
    <w:rsid w:val="00C65118"/>
    <w:rsid w:val="00C7188D"/>
    <w:rsid w:val="00C71EC1"/>
    <w:rsid w:val="00C7548C"/>
    <w:rsid w:val="00C80ACE"/>
    <w:rsid w:val="00C86B66"/>
    <w:rsid w:val="00C87208"/>
    <w:rsid w:val="00C95D49"/>
    <w:rsid w:val="00CA1F6E"/>
    <w:rsid w:val="00CA52E7"/>
    <w:rsid w:val="00CA5593"/>
    <w:rsid w:val="00CA69CD"/>
    <w:rsid w:val="00CB739B"/>
    <w:rsid w:val="00CE7DA2"/>
    <w:rsid w:val="00CF042E"/>
    <w:rsid w:val="00CF1B77"/>
    <w:rsid w:val="00CF2756"/>
    <w:rsid w:val="00D03680"/>
    <w:rsid w:val="00D15E70"/>
    <w:rsid w:val="00D27171"/>
    <w:rsid w:val="00D311ED"/>
    <w:rsid w:val="00D507CE"/>
    <w:rsid w:val="00D53B45"/>
    <w:rsid w:val="00D5553C"/>
    <w:rsid w:val="00D62884"/>
    <w:rsid w:val="00D655B9"/>
    <w:rsid w:val="00D82436"/>
    <w:rsid w:val="00D926EB"/>
    <w:rsid w:val="00D9762B"/>
    <w:rsid w:val="00DA42DE"/>
    <w:rsid w:val="00DA488E"/>
    <w:rsid w:val="00DA5CA6"/>
    <w:rsid w:val="00DA7ED7"/>
    <w:rsid w:val="00DB2673"/>
    <w:rsid w:val="00DC0407"/>
    <w:rsid w:val="00DC26D1"/>
    <w:rsid w:val="00DC2E00"/>
    <w:rsid w:val="00DF4A9D"/>
    <w:rsid w:val="00E05C4B"/>
    <w:rsid w:val="00E0666E"/>
    <w:rsid w:val="00E1304F"/>
    <w:rsid w:val="00E179D8"/>
    <w:rsid w:val="00E20D8B"/>
    <w:rsid w:val="00E26B06"/>
    <w:rsid w:val="00E31E05"/>
    <w:rsid w:val="00E37813"/>
    <w:rsid w:val="00E37FD8"/>
    <w:rsid w:val="00E44085"/>
    <w:rsid w:val="00E5010F"/>
    <w:rsid w:val="00E50ED0"/>
    <w:rsid w:val="00E65251"/>
    <w:rsid w:val="00E66102"/>
    <w:rsid w:val="00E709CD"/>
    <w:rsid w:val="00E773AC"/>
    <w:rsid w:val="00E913E3"/>
    <w:rsid w:val="00E95BCC"/>
    <w:rsid w:val="00E968F4"/>
    <w:rsid w:val="00EA1DB1"/>
    <w:rsid w:val="00EB5475"/>
    <w:rsid w:val="00EB7DBC"/>
    <w:rsid w:val="00EC66AE"/>
    <w:rsid w:val="00ED05FA"/>
    <w:rsid w:val="00ED7FD8"/>
    <w:rsid w:val="00EE0AA9"/>
    <w:rsid w:val="00EE2B14"/>
    <w:rsid w:val="00EE3A28"/>
    <w:rsid w:val="00EF1719"/>
    <w:rsid w:val="00EF4659"/>
    <w:rsid w:val="00F0123B"/>
    <w:rsid w:val="00F146DC"/>
    <w:rsid w:val="00F26402"/>
    <w:rsid w:val="00F32C15"/>
    <w:rsid w:val="00F40D06"/>
    <w:rsid w:val="00F538B1"/>
    <w:rsid w:val="00F568DD"/>
    <w:rsid w:val="00F6064F"/>
    <w:rsid w:val="00F66254"/>
    <w:rsid w:val="00F70309"/>
    <w:rsid w:val="00F74C8B"/>
    <w:rsid w:val="00F81371"/>
    <w:rsid w:val="00F874A9"/>
    <w:rsid w:val="00F93569"/>
    <w:rsid w:val="00F9496D"/>
    <w:rsid w:val="00F95A24"/>
    <w:rsid w:val="00FA7FC1"/>
    <w:rsid w:val="00FB17E2"/>
    <w:rsid w:val="00FB4061"/>
    <w:rsid w:val="00FC2DC3"/>
    <w:rsid w:val="00FD2EFF"/>
    <w:rsid w:val="00FE617E"/>
    <w:rsid w:val="00FE79C4"/>
    <w:rsid w:val="00FF0CAE"/>
    <w:rsid w:val="00FF7EB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F67E54"/>
  <w15:chartTrackingRefBased/>
  <w15:docId w15:val="{C57D2E0D-5C65-734B-8609-354F5098B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6377D"/>
    <w:rPr>
      <w:rFonts w:ascii="Times New Roman" w:eastAsia="Times New Roman" w:hAnsi="Times New Roman" w:cs="Times New Roman"/>
      <w:lang w:val="it-JP" w:eastAsia="it-IT"/>
    </w:rPr>
  </w:style>
  <w:style w:type="paragraph" w:styleId="Titolo1">
    <w:name w:val="heading 1"/>
    <w:basedOn w:val="Normale"/>
    <w:next w:val="Normale"/>
    <w:link w:val="Titolo1Carattere"/>
    <w:uiPriority w:val="9"/>
    <w:qFormat/>
    <w:rsid w:val="00760B34"/>
    <w:pPr>
      <w:keepNext/>
      <w:keepLines/>
      <w:spacing w:before="240"/>
      <w:outlineLvl w:val="0"/>
    </w:pPr>
    <w:rPr>
      <w:rFonts w:asciiTheme="majorHAnsi" w:eastAsiaTheme="majorEastAsia" w:hAnsiTheme="majorHAnsi" w:cstheme="majorBidi"/>
      <w:color w:val="2F5496" w:themeColor="accent1" w:themeShade="BF"/>
      <w:sz w:val="32"/>
      <w:szCs w:val="32"/>
      <w:lang w:val="it-IT"/>
    </w:rPr>
  </w:style>
  <w:style w:type="paragraph" w:styleId="Titolo2">
    <w:name w:val="heading 2"/>
    <w:basedOn w:val="Normale"/>
    <w:next w:val="Normale"/>
    <w:link w:val="Titolo2Carattere"/>
    <w:uiPriority w:val="9"/>
    <w:unhideWhenUsed/>
    <w:qFormat/>
    <w:rsid w:val="00C80ACE"/>
    <w:pPr>
      <w:keepNext/>
      <w:keepLines/>
      <w:spacing w:before="40"/>
      <w:outlineLvl w:val="1"/>
    </w:pPr>
    <w:rPr>
      <w:rFonts w:asciiTheme="majorHAnsi" w:eastAsiaTheme="majorEastAsia" w:hAnsiTheme="majorHAnsi" w:cstheme="majorBidi"/>
      <w:color w:val="2F5496" w:themeColor="accent1" w:themeShade="BF"/>
      <w:sz w:val="26"/>
      <w:szCs w:val="26"/>
      <w:lang w:val="it-IT"/>
    </w:rPr>
  </w:style>
  <w:style w:type="paragraph" w:styleId="Titolo3">
    <w:name w:val="heading 3"/>
    <w:basedOn w:val="Normale"/>
    <w:next w:val="Normale"/>
    <w:link w:val="Titolo3Carattere"/>
    <w:uiPriority w:val="9"/>
    <w:unhideWhenUsed/>
    <w:qFormat/>
    <w:rsid w:val="005F5D9A"/>
    <w:pPr>
      <w:keepNext/>
      <w:keepLines/>
      <w:spacing w:before="40"/>
      <w:outlineLvl w:val="2"/>
    </w:pPr>
    <w:rPr>
      <w:rFonts w:asciiTheme="majorHAnsi" w:eastAsiaTheme="majorEastAsia" w:hAnsiTheme="majorHAnsi" w:cstheme="majorBidi"/>
      <w:color w:val="1F3763" w:themeColor="accent1" w:themeShade="7F"/>
      <w:lang w:val="it-IT"/>
    </w:rPr>
  </w:style>
  <w:style w:type="paragraph" w:styleId="Titolo4">
    <w:name w:val="heading 4"/>
    <w:basedOn w:val="Normale"/>
    <w:next w:val="Normale"/>
    <w:link w:val="Titolo4Carattere"/>
    <w:uiPriority w:val="9"/>
    <w:unhideWhenUsed/>
    <w:qFormat/>
    <w:rsid w:val="006F1851"/>
    <w:pPr>
      <w:keepNext/>
      <w:keepLines/>
      <w:spacing w:before="40"/>
      <w:outlineLvl w:val="3"/>
    </w:pPr>
    <w:rPr>
      <w:rFonts w:asciiTheme="majorHAnsi" w:eastAsiaTheme="majorEastAsia" w:hAnsiTheme="majorHAnsi" w:cstheme="majorBidi"/>
      <w:i/>
      <w:iCs/>
      <w:color w:val="2F5496" w:themeColor="accent1" w:themeShade="BF"/>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iPriority w:val="99"/>
    <w:unhideWhenUsed/>
    <w:rsid w:val="008E3595"/>
    <w:pPr>
      <w:tabs>
        <w:tab w:val="center" w:pos="4513"/>
        <w:tab w:val="right" w:pos="9026"/>
      </w:tabs>
    </w:pPr>
    <w:rPr>
      <w:rFonts w:asciiTheme="minorHAnsi" w:eastAsiaTheme="minorEastAsia" w:hAnsiTheme="minorHAnsi" w:cstheme="minorBidi"/>
      <w:lang w:val="it-IT"/>
    </w:rPr>
  </w:style>
  <w:style w:type="character" w:customStyle="1" w:styleId="PidipaginaCarattere">
    <w:name w:val="Piè di pagina Carattere"/>
    <w:basedOn w:val="Carpredefinitoparagrafo"/>
    <w:link w:val="Pidipagina"/>
    <w:uiPriority w:val="99"/>
    <w:rsid w:val="008E3595"/>
    <w:rPr>
      <w:rFonts w:eastAsiaTheme="minorEastAsia"/>
      <w:lang w:val="it-IT" w:eastAsia="it-IT"/>
    </w:rPr>
  </w:style>
  <w:style w:type="character" w:styleId="Numeropagina">
    <w:name w:val="page number"/>
    <w:basedOn w:val="Carpredefinitoparagrafo"/>
    <w:uiPriority w:val="99"/>
    <w:semiHidden/>
    <w:unhideWhenUsed/>
    <w:rsid w:val="008E3595"/>
  </w:style>
  <w:style w:type="paragraph" w:styleId="NormaleWeb">
    <w:name w:val="Normal (Web)"/>
    <w:basedOn w:val="Normale"/>
    <w:uiPriority w:val="99"/>
    <w:semiHidden/>
    <w:unhideWhenUsed/>
    <w:rsid w:val="008E3595"/>
    <w:pPr>
      <w:spacing w:before="100" w:beforeAutospacing="1" w:after="100" w:afterAutospacing="1"/>
    </w:pPr>
    <w:rPr>
      <w:lang w:val="it-IT"/>
    </w:rPr>
  </w:style>
  <w:style w:type="character" w:styleId="Numeroriga">
    <w:name w:val="line number"/>
    <w:basedOn w:val="Carpredefinitoparagrafo"/>
    <w:uiPriority w:val="99"/>
    <w:semiHidden/>
    <w:unhideWhenUsed/>
    <w:rsid w:val="008E3595"/>
  </w:style>
  <w:style w:type="paragraph" w:styleId="Paragrafoelenco">
    <w:name w:val="List Paragraph"/>
    <w:basedOn w:val="Normale"/>
    <w:uiPriority w:val="34"/>
    <w:qFormat/>
    <w:rsid w:val="001968B8"/>
    <w:pPr>
      <w:ind w:left="720"/>
      <w:contextualSpacing/>
    </w:pPr>
    <w:rPr>
      <w:rFonts w:asciiTheme="minorHAnsi" w:eastAsiaTheme="minorEastAsia" w:hAnsiTheme="minorHAnsi" w:cstheme="minorBidi"/>
      <w:lang w:val="it-IT"/>
    </w:rPr>
  </w:style>
  <w:style w:type="character" w:customStyle="1" w:styleId="Titolo3Carattere">
    <w:name w:val="Titolo 3 Carattere"/>
    <w:basedOn w:val="Carpredefinitoparagrafo"/>
    <w:link w:val="Titolo3"/>
    <w:uiPriority w:val="9"/>
    <w:rsid w:val="005F5D9A"/>
    <w:rPr>
      <w:rFonts w:asciiTheme="majorHAnsi" w:eastAsiaTheme="majorEastAsia" w:hAnsiTheme="majorHAnsi" w:cstheme="majorBidi"/>
      <w:color w:val="1F3763" w:themeColor="accent1" w:themeShade="7F"/>
      <w:lang w:eastAsia="it-IT"/>
    </w:rPr>
  </w:style>
  <w:style w:type="character" w:styleId="Rimandocommento">
    <w:name w:val="annotation reference"/>
    <w:basedOn w:val="Carpredefinitoparagrafo"/>
    <w:uiPriority w:val="99"/>
    <w:semiHidden/>
    <w:unhideWhenUsed/>
    <w:rsid w:val="00FE79C4"/>
    <w:rPr>
      <w:sz w:val="16"/>
      <w:szCs w:val="16"/>
    </w:rPr>
  </w:style>
  <w:style w:type="paragraph" w:styleId="Testocommento">
    <w:name w:val="annotation text"/>
    <w:basedOn w:val="Normale"/>
    <w:link w:val="TestocommentoCarattere"/>
    <w:uiPriority w:val="99"/>
    <w:semiHidden/>
    <w:unhideWhenUsed/>
    <w:rsid w:val="00FE79C4"/>
    <w:rPr>
      <w:sz w:val="20"/>
      <w:szCs w:val="20"/>
      <w:lang w:val="it-IT"/>
    </w:rPr>
  </w:style>
  <w:style w:type="character" w:customStyle="1" w:styleId="TestocommentoCarattere">
    <w:name w:val="Testo commento Carattere"/>
    <w:basedOn w:val="Carpredefinitoparagrafo"/>
    <w:link w:val="Testocommento"/>
    <w:uiPriority w:val="99"/>
    <w:semiHidden/>
    <w:rsid w:val="00FE79C4"/>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FE79C4"/>
    <w:rPr>
      <w:b/>
      <w:bCs/>
    </w:rPr>
  </w:style>
  <w:style w:type="character" w:customStyle="1" w:styleId="SoggettocommentoCarattere">
    <w:name w:val="Soggetto commento Carattere"/>
    <w:basedOn w:val="TestocommentoCarattere"/>
    <w:link w:val="Soggettocommento"/>
    <w:uiPriority w:val="99"/>
    <w:semiHidden/>
    <w:rsid w:val="00FE79C4"/>
    <w:rPr>
      <w:rFonts w:ascii="Times New Roman" w:eastAsia="Times New Roman" w:hAnsi="Times New Roman" w:cs="Times New Roman"/>
      <w:b/>
      <w:bCs/>
      <w:sz w:val="20"/>
      <w:szCs w:val="20"/>
      <w:lang w:eastAsia="it-IT"/>
    </w:rPr>
  </w:style>
  <w:style w:type="paragraph" w:styleId="Intestazione">
    <w:name w:val="header"/>
    <w:basedOn w:val="Normale"/>
    <w:link w:val="IntestazioneCarattere"/>
    <w:uiPriority w:val="99"/>
    <w:unhideWhenUsed/>
    <w:rsid w:val="00ED05FA"/>
    <w:pPr>
      <w:tabs>
        <w:tab w:val="center" w:pos="4819"/>
        <w:tab w:val="right" w:pos="9638"/>
      </w:tabs>
    </w:pPr>
    <w:rPr>
      <w:lang w:val="it-IT"/>
    </w:rPr>
  </w:style>
  <w:style w:type="character" w:customStyle="1" w:styleId="IntestazioneCarattere">
    <w:name w:val="Intestazione Carattere"/>
    <w:basedOn w:val="Carpredefinitoparagrafo"/>
    <w:link w:val="Intestazione"/>
    <w:uiPriority w:val="99"/>
    <w:rsid w:val="00ED05FA"/>
    <w:rPr>
      <w:rFonts w:ascii="Times New Roman" w:eastAsia="Times New Roman" w:hAnsi="Times New Roman" w:cs="Times New Roman"/>
      <w:lang w:eastAsia="it-IT"/>
    </w:rPr>
  </w:style>
  <w:style w:type="character" w:customStyle="1" w:styleId="Titolo2Carattere">
    <w:name w:val="Titolo 2 Carattere"/>
    <w:basedOn w:val="Carpredefinitoparagrafo"/>
    <w:link w:val="Titolo2"/>
    <w:uiPriority w:val="9"/>
    <w:rsid w:val="00C80ACE"/>
    <w:rPr>
      <w:rFonts w:asciiTheme="majorHAnsi" w:eastAsiaTheme="majorEastAsia" w:hAnsiTheme="majorHAnsi" w:cstheme="majorBidi"/>
      <w:color w:val="2F5496" w:themeColor="accent1" w:themeShade="BF"/>
      <w:sz w:val="26"/>
      <w:szCs w:val="26"/>
      <w:lang w:eastAsia="it-IT"/>
    </w:rPr>
  </w:style>
  <w:style w:type="character" w:customStyle="1" w:styleId="Titolo4Carattere">
    <w:name w:val="Titolo 4 Carattere"/>
    <w:basedOn w:val="Carpredefinitoparagrafo"/>
    <w:link w:val="Titolo4"/>
    <w:uiPriority w:val="9"/>
    <w:rsid w:val="006F1851"/>
    <w:rPr>
      <w:rFonts w:asciiTheme="majorHAnsi" w:eastAsiaTheme="majorEastAsia" w:hAnsiTheme="majorHAnsi" w:cstheme="majorBidi"/>
      <w:i/>
      <w:iCs/>
      <w:color w:val="2F5496" w:themeColor="accent1" w:themeShade="BF"/>
      <w:lang w:eastAsia="it-IT"/>
    </w:rPr>
  </w:style>
  <w:style w:type="table" w:styleId="Grigliatabella">
    <w:name w:val="Table Grid"/>
    <w:basedOn w:val="Tabellanormale"/>
    <w:uiPriority w:val="59"/>
    <w:rsid w:val="00D53B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1Carattere">
    <w:name w:val="Titolo 1 Carattere"/>
    <w:basedOn w:val="Carpredefinitoparagrafo"/>
    <w:link w:val="Titolo1"/>
    <w:uiPriority w:val="9"/>
    <w:rsid w:val="00760B34"/>
    <w:rPr>
      <w:rFonts w:asciiTheme="majorHAnsi" w:eastAsiaTheme="majorEastAsia" w:hAnsiTheme="majorHAnsi" w:cstheme="majorBidi"/>
      <w:color w:val="2F5496" w:themeColor="accent1" w:themeShade="BF"/>
      <w:sz w:val="32"/>
      <w:szCs w:val="32"/>
      <w:lang w:eastAsia="it-IT"/>
    </w:rPr>
  </w:style>
  <w:style w:type="paragraph" w:styleId="Sommario1">
    <w:name w:val="toc 1"/>
    <w:basedOn w:val="Normale"/>
    <w:next w:val="Normale"/>
    <w:autoRedefine/>
    <w:uiPriority w:val="39"/>
    <w:unhideWhenUsed/>
    <w:rsid w:val="00E65251"/>
    <w:pPr>
      <w:spacing w:after="100"/>
    </w:pPr>
    <w:rPr>
      <w:lang w:val="it-IT"/>
    </w:rPr>
  </w:style>
  <w:style w:type="paragraph" w:styleId="Sommario2">
    <w:name w:val="toc 2"/>
    <w:basedOn w:val="Normale"/>
    <w:next w:val="Normale"/>
    <w:autoRedefine/>
    <w:uiPriority w:val="39"/>
    <w:unhideWhenUsed/>
    <w:rsid w:val="00DC2E00"/>
    <w:pPr>
      <w:tabs>
        <w:tab w:val="right" w:leader="dot" w:pos="9016"/>
      </w:tabs>
      <w:spacing w:after="100"/>
      <w:ind w:left="240"/>
    </w:pPr>
    <w:rPr>
      <w:lang w:val="it-IT"/>
    </w:rPr>
  </w:style>
  <w:style w:type="paragraph" w:styleId="Sommario3">
    <w:name w:val="toc 3"/>
    <w:basedOn w:val="Normale"/>
    <w:next w:val="Normale"/>
    <w:autoRedefine/>
    <w:uiPriority w:val="39"/>
    <w:unhideWhenUsed/>
    <w:rsid w:val="00E65251"/>
    <w:pPr>
      <w:spacing w:after="100"/>
      <w:ind w:left="480"/>
    </w:pPr>
    <w:rPr>
      <w:lang w:val="it-IT"/>
    </w:rPr>
  </w:style>
  <w:style w:type="character" w:styleId="Collegamentoipertestuale">
    <w:name w:val="Hyperlink"/>
    <w:basedOn w:val="Carpredefinitoparagrafo"/>
    <w:uiPriority w:val="99"/>
    <w:unhideWhenUsed/>
    <w:rsid w:val="00E65251"/>
    <w:rPr>
      <w:color w:val="0563C1" w:themeColor="hyperlink"/>
      <w:u w:val="single"/>
    </w:rPr>
  </w:style>
  <w:style w:type="character" w:customStyle="1" w:styleId="apple-converted-space">
    <w:name w:val="apple-converted-space"/>
    <w:basedOn w:val="Carpredefinitoparagrafo"/>
    <w:rsid w:val="00C65118"/>
  </w:style>
  <w:style w:type="character" w:styleId="Menzionenonrisolta">
    <w:name w:val="Unresolved Mention"/>
    <w:basedOn w:val="Carpredefinitoparagrafo"/>
    <w:uiPriority w:val="99"/>
    <w:semiHidden/>
    <w:unhideWhenUsed/>
    <w:rsid w:val="00A003A9"/>
    <w:rPr>
      <w:color w:val="605E5C"/>
      <w:shd w:val="clear" w:color="auto" w:fill="E1DFDD"/>
    </w:rPr>
  </w:style>
  <w:style w:type="paragraph" w:styleId="Revisione">
    <w:name w:val="Revision"/>
    <w:hidden/>
    <w:uiPriority w:val="99"/>
    <w:semiHidden/>
    <w:rsid w:val="00CA69CD"/>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13152">
      <w:bodyDiv w:val="1"/>
      <w:marLeft w:val="0"/>
      <w:marRight w:val="0"/>
      <w:marTop w:val="0"/>
      <w:marBottom w:val="0"/>
      <w:divBdr>
        <w:top w:val="none" w:sz="0" w:space="0" w:color="auto"/>
        <w:left w:val="none" w:sz="0" w:space="0" w:color="auto"/>
        <w:bottom w:val="none" w:sz="0" w:space="0" w:color="auto"/>
        <w:right w:val="none" w:sz="0" w:space="0" w:color="auto"/>
      </w:divBdr>
    </w:div>
    <w:div w:id="84153661">
      <w:bodyDiv w:val="1"/>
      <w:marLeft w:val="0"/>
      <w:marRight w:val="0"/>
      <w:marTop w:val="0"/>
      <w:marBottom w:val="0"/>
      <w:divBdr>
        <w:top w:val="none" w:sz="0" w:space="0" w:color="auto"/>
        <w:left w:val="none" w:sz="0" w:space="0" w:color="auto"/>
        <w:bottom w:val="none" w:sz="0" w:space="0" w:color="auto"/>
        <w:right w:val="none" w:sz="0" w:space="0" w:color="auto"/>
      </w:divBdr>
    </w:div>
    <w:div w:id="114295951">
      <w:bodyDiv w:val="1"/>
      <w:marLeft w:val="0"/>
      <w:marRight w:val="0"/>
      <w:marTop w:val="0"/>
      <w:marBottom w:val="0"/>
      <w:divBdr>
        <w:top w:val="none" w:sz="0" w:space="0" w:color="auto"/>
        <w:left w:val="none" w:sz="0" w:space="0" w:color="auto"/>
        <w:bottom w:val="none" w:sz="0" w:space="0" w:color="auto"/>
        <w:right w:val="none" w:sz="0" w:space="0" w:color="auto"/>
      </w:divBdr>
    </w:div>
    <w:div w:id="142087753">
      <w:bodyDiv w:val="1"/>
      <w:marLeft w:val="0"/>
      <w:marRight w:val="0"/>
      <w:marTop w:val="0"/>
      <w:marBottom w:val="0"/>
      <w:divBdr>
        <w:top w:val="none" w:sz="0" w:space="0" w:color="auto"/>
        <w:left w:val="none" w:sz="0" w:space="0" w:color="auto"/>
        <w:bottom w:val="none" w:sz="0" w:space="0" w:color="auto"/>
        <w:right w:val="none" w:sz="0" w:space="0" w:color="auto"/>
      </w:divBdr>
    </w:div>
    <w:div w:id="168563263">
      <w:bodyDiv w:val="1"/>
      <w:marLeft w:val="0"/>
      <w:marRight w:val="0"/>
      <w:marTop w:val="0"/>
      <w:marBottom w:val="0"/>
      <w:divBdr>
        <w:top w:val="none" w:sz="0" w:space="0" w:color="auto"/>
        <w:left w:val="none" w:sz="0" w:space="0" w:color="auto"/>
        <w:bottom w:val="none" w:sz="0" w:space="0" w:color="auto"/>
        <w:right w:val="none" w:sz="0" w:space="0" w:color="auto"/>
      </w:divBdr>
    </w:div>
    <w:div w:id="176429711">
      <w:bodyDiv w:val="1"/>
      <w:marLeft w:val="0"/>
      <w:marRight w:val="0"/>
      <w:marTop w:val="0"/>
      <w:marBottom w:val="0"/>
      <w:divBdr>
        <w:top w:val="none" w:sz="0" w:space="0" w:color="auto"/>
        <w:left w:val="none" w:sz="0" w:space="0" w:color="auto"/>
        <w:bottom w:val="none" w:sz="0" w:space="0" w:color="auto"/>
        <w:right w:val="none" w:sz="0" w:space="0" w:color="auto"/>
      </w:divBdr>
    </w:div>
    <w:div w:id="211968891">
      <w:bodyDiv w:val="1"/>
      <w:marLeft w:val="0"/>
      <w:marRight w:val="0"/>
      <w:marTop w:val="0"/>
      <w:marBottom w:val="0"/>
      <w:divBdr>
        <w:top w:val="none" w:sz="0" w:space="0" w:color="auto"/>
        <w:left w:val="none" w:sz="0" w:space="0" w:color="auto"/>
        <w:bottom w:val="none" w:sz="0" w:space="0" w:color="auto"/>
        <w:right w:val="none" w:sz="0" w:space="0" w:color="auto"/>
      </w:divBdr>
    </w:div>
    <w:div w:id="248583944">
      <w:bodyDiv w:val="1"/>
      <w:marLeft w:val="0"/>
      <w:marRight w:val="0"/>
      <w:marTop w:val="0"/>
      <w:marBottom w:val="0"/>
      <w:divBdr>
        <w:top w:val="none" w:sz="0" w:space="0" w:color="auto"/>
        <w:left w:val="none" w:sz="0" w:space="0" w:color="auto"/>
        <w:bottom w:val="none" w:sz="0" w:space="0" w:color="auto"/>
        <w:right w:val="none" w:sz="0" w:space="0" w:color="auto"/>
      </w:divBdr>
    </w:div>
    <w:div w:id="261961491">
      <w:bodyDiv w:val="1"/>
      <w:marLeft w:val="0"/>
      <w:marRight w:val="0"/>
      <w:marTop w:val="0"/>
      <w:marBottom w:val="0"/>
      <w:divBdr>
        <w:top w:val="none" w:sz="0" w:space="0" w:color="auto"/>
        <w:left w:val="none" w:sz="0" w:space="0" w:color="auto"/>
        <w:bottom w:val="none" w:sz="0" w:space="0" w:color="auto"/>
        <w:right w:val="none" w:sz="0" w:space="0" w:color="auto"/>
      </w:divBdr>
    </w:div>
    <w:div w:id="294992821">
      <w:bodyDiv w:val="1"/>
      <w:marLeft w:val="0"/>
      <w:marRight w:val="0"/>
      <w:marTop w:val="0"/>
      <w:marBottom w:val="0"/>
      <w:divBdr>
        <w:top w:val="none" w:sz="0" w:space="0" w:color="auto"/>
        <w:left w:val="none" w:sz="0" w:space="0" w:color="auto"/>
        <w:bottom w:val="none" w:sz="0" w:space="0" w:color="auto"/>
        <w:right w:val="none" w:sz="0" w:space="0" w:color="auto"/>
      </w:divBdr>
    </w:div>
    <w:div w:id="324864379">
      <w:bodyDiv w:val="1"/>
      <w:marLeft w:val="0"/>
      <w:marRight w:val="0"/>
      <w:marTop w:val="0"/>
      <w:marBottom w:val="0"/>
      <w:divBdr>
        <w:top w:val="none" w:sz="0" w:space="0" w:color="auto"/>
        <w:left w:val="none" w:sz="0" w:space="0" w:color="auto"/>
        <w:bottom w:val="none" w:sz="0" w:space="0" w:color="auto"/>
        <w:right w:val="none" w:sz="0" w:space="0" w:color="auto"/>
      </w:divBdr>
    </w:div>
    <w:div w:id="390616015">
      <w:bodyDiv w:val="1"/>
      <w:marLeft w:val="0"/>
      <w:marRight w:val="0"/>
      <w:marTop w:val="0"/>
      <w:marBottom w:val="0"/>
      <w:divBdr>
        <w:top w:val="none" w:sz="0" w:space="0" w:color="auto"/>
        <w:left w:val="none" w:sz="0" w:space="0" w:color="auto"/>
        <w:bottom w:val="none" w:sz="0" w:space="0" w:color="auto"/>
        <w:right w:val="none" w:sz="0" w:space="0" w:color="auto"/>
      </w:divBdr>
    </w:div>
    <w:div w:id="420563497">
      <w:bodyDiv w:val="1"/>
      <w:marLeft w:val="0"/>
      <w:marRight w:val="0"/>
      <w:marTop w:val="0"/>
      <w:marBottom w:val="0"/>
      <w:divBdr>
        <w:top w:val="none" w:sz="0" w:space="0" w:color="auto"/>
        <w:left w:val="none" w:sz="0" w:space="0" w:color="auto"/>
        <w:bottom w:val="none" w:sz="0" w:space="0" w:color="auto"/>
        <w:right w:val="none" w:sz="0" w:space="0" w:color="auto"/>
      </w:divBdr>
    </w:div>
    <w:div w:id="423041415">
      <w:bodyDiv w:val="1"/>
      <w:marLeft w:val="0"/>
      <w:marRight w:val="0"/>
      <w:marTop w:val="0"/>
      <w:marBottom w:val="0"/>
      <w:divBdr>
        <w:top w:val="none" w:sz="0" w:space="0" w:color="auto"/>
        <w:left w:val="none" w:sz="0" w:space="0" w:color="auto"/>
        <w:bottom w:val="none" w:sz="0" w:space="0" w:color="auto"/>
        <w:right w:val="none" w:sz="0" w:space="0" w:color="auto"/>
      </w:divBdr>
    </w:div>
    <w:div w:id="445271412">
      <w:bodyDiv w:val="1"/>
      <w:marLeft w:val="0"/>
      <w:marRight w:val="0"/>
      <w:marTop w:val="0"/>
      <w:marBottom w:val="0"/>
      <w:divBdr>
        <w:top w:val="none" w:sz="0" w:space="0" w:color="auto"/>
        <w:left w:val="none" w:sz="0" w:space="0" w:color="auto"/>
        <w:bottom w:val="none" w:sz="0" w:space="0" w:color="auto"/>
        <w:right w:val="none" w:sz="0" w:space="0" w:color="auto"/>
      </w:divBdr>
    </w:div>
    <w:div w:id="460274105">
      <w:bodyDiv w:val="1"/>
      <w:marLeft w:val="0"/>
      <w:marRight w:val="0"/>
      <w:marTop w:val="0"/>
      <w:marBottom w:val="0"/>
      <w:divBdr>
        <w:top w:val="none" w:sz="0" w:space="0" w:color="auto"/>
        <w:left w:val="none" w:sz="0" w:space="0" w:color="auto"/>
        <w:bottom w:val="none" w:sz="0" w:space="0" w:color="auto"/>
        <w:right w:val="none" w:sz="0" w:space="0" w:color="auto"/>
      </w:divBdr>
    </w:div>
    <w:div w:id="468521128">
      <w:bodyDiv w:val="1"/>
      <w:marLeft w:val="0"/>
      <w:marRight w:val="0"/>
      <w:marTop w:val="0"/>
      <w:marBottom w:val="0"/>
      <w:divBdr>
        <w:top w:val="none" w:sz="0" w:space="0" w:color="auto"/>
        <w:left w:val="none" w:sz="0" w:space="0" w:color="auto"/>
        <w:bottom w:val="none" w:sz="0" w:space="0" w:color="auto"/>
        <w:right w:val="none" w:sz="0" w:space="0" w:color="auto"/>
      </w:divBdr>
    </w:div>
    <w:div w:id="473180242">
      <w:bodyDiv w:val="1"/>
      <w:marLeft w:val="0"/>
      <w:marRight w:val="0"/>
      <w:marTop w:val="0"/>
      <w:marBottom w:val="0"/>
      <w:divBdr>
        <w:top w:val="none" w:sz="0" w:space="0" w:color="auto"/>
        <w:left w:val="none" w:sz="0" w:space="0" w:color="auto"/>
        <w:bottom w:val="none" w:sz="0" w:space="0" w:color="auto"/>
        <w:right w:val="none" w:sz="0" w:space="0" w:color="auto"/>
      </w:divBdr>
    </w:div>
    <w:div w:id="473180758">
      <w:bodyDiv w:val="1"/>
      <w:marLeft w:val="0"/>
      <w:marRight w:val="0"/>
      <w:marTop w:val="0"/>
      <w:marBottom w:val="0"/>
      <w:divBdr>
        <w:top w:val="none" w:sz="0" w:space="0" w:color="auto"/>
        <w:left w:val="none" w:sz="0" w:space="0" w:color="auto"/>
        <w:bottom w:val="none" w:sz="0" w:space="0" w:color="auto"/>
        <w:right w:val="none" w:sz="0" w:space="0" w:color="auto"/>
      </w:divBdr>
    </w:div>
    <w:div w:id="483551742">
      <w:bodyDiv w:val="1"/>
      <w:marLeft w:val="0"/>
      <w:marRight w:val="0"/>
      <w:marTop w:val="0"/>
      <w:marBottom w:val="0"/>
      <w:divBdr>
        <w:top w:val="none" w:sz="0" w:space="0" w:color="auto"/>
        <w:left w:val="none" w:sz="0" w:space="0" w:color="auto"/>
        <w:bottom w:val="none" w:sz="0" w:space="0" w:color="auto"/>
        <w:right w:val="none" w:sz="0" w:space="0" w:color="auto"/>
      </w:divBdr>
    </w:div>
    <w:div w:id="492456260">
      <w:bodyDiv w:val="1"/>
      <w:marLeft w:val="0"/>
      <w:marRight w:val="0"/>
      <w:marTop w:val="0"/>
      <w:marBottom w:val="0"/>
      <w:divBdr>
        <w:top w:val="none" w:sz="0" w:space="0" w:color="auto"/>
        <w:left w:val="none" w:sz="0" w:space="0" w:color="auto"/>
        <w:bottom w:val="none" w:sz="0" w:space="0" w:color="auto"/>
        <w:right w:val="none" w:sz="0" w:space="0" w:color="auto"/>
      </w:divBdr>
    </w:div>
    <w:div w:id="505558375">
      <w:bodyDiv w:val="1"/>
      <w:marLeft w:val="0"/>
      <w:marRight w:val="0"/>
      <w:marTop w:val="0"/>
      <w:marBottom w:val="0"/>
      <w:divBdr>
        <w:top w:val="none" w:sz="0" w:space="0" w:color="auto"/>
        <w:left w:val="none" w:sz="0" w:space="0" w:color="auto"/>
        <w:bottom w:val="none" w:sz="0" w:space="0" w:color="auto"/>
        <w:right w:val="none" w:sz="0" w:space="0" w:color="auto"/>
      </w:divBdr>
    </w:div>
    <w:div w:id="509947843">
      <w:bodyDiv w:val="1"/>
      <w:marLeft w:val="0"/>
      <w:marRight w:val="0"/>
      <w:marTop w:val="0"/>
      <w:marBottom w:val="0"/>
      <w:divBdr>
        <w:top w:val="none" w:sz="0" w:space="0" w:color="auto"/>
        <w:left w:val="none" w:sz="0" w:space="0" w:color="auto"/>
        <w:bottom w:val="none" w:sz="0" w:space="0" w:color="auto"/>
        <w:right w:val="none" w:sz="0" w:space="0" w:color="auto"/>
      </w:divBdr>
    </w:div>
    <w:div w:id="529226451">
      <w:bodyDiv w:val="1"/>
      <w:marLeft w:val="0"/>
      <w:marRight w:val="0"/>
      <w:marTop w:val="0"/>
      <w:marBottom w:val="0"/>
      <w:divBdr>
        <w:top w:val="none" w:sz="0" w:space="0" w:color="auto"/>
        <w:left w:val="none" w:sz="0" w:space="0" w:color="auto"/>
        <w:bottom w:val="none" w:sz="0" w:space="0" w:color="auto"/>
        <w:right w:val="none" w:sz="0" w:space="0" w:color="auto"/>
      </w:divBdr>
    </w:div>
    <w:div w:id="544415080">
      <w:bodyDiv w:val="1"/>
      <w:marLeft w:val="0"/>
      <w:marRight w:val="0"/>
      <w:marTop w:val="0"/>
      <w:marBottom w:val="0"/>
      <w:divBdr>
        <w:top w:val="none" w:sz="0" w:space="0" w:color="auto"/>
        <w:left w:val="none" w:sz="0" w:space="0" w:color="auto"/>
        <w:bottom w:val="none" w:sz="0" w:space="0" w:color="auto"/>
        <w:right w:val="none" w:sz="0" w:space="0" w:color="auto"/>
      </w:divBdr>
    </w:div>
    <w:div w:id="561870628">
      <w:bodyDiv w:val="1"/>
      <w:marLeft w:val="0"/>
      <w:marRight w:val="0"/>
      <w:marTop w:val="0"/>
      <w:marBottom w:val="0"/>
      <w:divBdr>
        <w:top w:val="none" w:sz="0" w:space="0" w:color="auto"/>
        <w:left w:val="none" w:sz="0" w:space="0" w:color="auto"/>
        <w:bottom w:val="none" w:sz="0" w:space="0" w:color="auto"/>
        <w:right w:val="none" w:sz="0" w:space="0" w:color="auto"/>
      </w:divBdr>
    </w:div>
    <w:div w:id="565192311">
      <w:bodyDiv w:val="1"/>
      <w:marLeft w:val="0"/>
      <w:marRight w:val="0"/>
      <w:marTop w:val="0"/>
      <w:marBottom w:val="0"/>
      <w:divBdr>
        <w:top w:val="none" w:sz="0" w:space="0" w:color="auto"/>
        <w:left w:val="none" w:sz="0" w:space="0" w:color="auto"/>
        <w:bottom w:val="none" w:sz="0" w:space="0" w:color="auto"/>
        <w:right w:val="none" w:sz="0" w:space="0" w:color="auto"/>
      </w:divBdr>
    </w:div>
    <w:div w:id="572474316">
      <w:bodyDiv w:val="1"/>
      <w:marLeft w:val="0"/>
      <w:marRight w:val="0"/>
      <w:marTop w:val="0"/>
      <w:marBottom w:val="0"/>
      <w:divBdr>
        <w:top w:val="none" w:sz="0" w:space="0" w:color="auto"/>
        <w:left w:val="none" w:sz="0" w:space="0" w:color="auto"/>
        <w:bottom w:val="none" w:sz="0" w:space="0" w:color="auto"/>
        <w:right w:val="none" w:sz="0" w:space="0" w:color="auto"/>
      </w:divBdr>
    </w:div>
    <w:div w:id="615866059">
      <w:bodyDiv w:val="1"/>
      <w:marLeft w:val="0"/>
      <w:marRight w:val="0"/>
      <w:marTop w:val="0"/>
      <w:marBottom w:val="0"/>
      <w:divBdr>
        <w:top w:val="none" w:sz="0" w:space="0" w:color="auto"/>
        <w:left w:val="none" w:sz="0" w:space="0" w:color="auto"/>
        <w:bottom w:val="none" w:sz="0" w:space="0" w:color="auto"/>
        <w:right w:val="none" w:sz="0" w:space="0" w:color="auto"/>
      </w:divBdr>
    </w:div>
    <w:div w:id="660276876">
      <w:bodyDiv w:val="1"/>
      <w:marLeft w:val="0"/>
      <w:marRight w:val="0"/>
      <w:marTop w:val="0"/>
      <w:marBottom w:val="0"/>
      <w:divBdr>
        <w:top w:val="none" w:sz="0" w:space="0" w:color="auto"/>
        <w:left w:val="none" w:sz="0" w:space="0" w:color="auto"/>
        <w:bottom w:val="none" w:sz="0" w:space="0" w:color="auto"/>
        <w:right w:val="none" w:sz="0" w:space="0" w:color="auto"/>
      </w:divBdr>
    </w:div>
    <w:div w:id="697925126">
      <w:bodyDiv w:val="1"/>
      <w:marLeft w:val="0"/>
      <w:marRight w:val="0"/>
      <w:marTop w:val="0"/>
      <w:marBottom w:val="0"/>
      <w:divBdr>
        <w:top w:val="none" w:sz="0" w:space="0" w:color="auto"/>
        <w:left w:val="none" w:sz="0" w:space="0" w:color="auto"/>
        <w:bottom w:val="none" w:sz="0" w:space="0" w:color="auto"/>
        <w:right w:val="none" w:sz="0" w:space="0" w:color="auto"/>
      </w:divBdr>
    </w:div>
    <w:div w:id="707144745">
      <w:bodyDiv w:val="1"/>
      <w:marLeft w:val="0"/>
      <w:marRight w:val="0"/>
      <w:marTop w:val="0"/>
      <w:marBottom w:val="0"/>
      <w:divBdr>
        <w:top w:val="none" w:sz="0" w:space="0" w:color="auto"/>
        <w:left w:val="none" w:sz="0" w:space="0" w:color="auto"/>
        <w:bottom w:val="none" w:sz="0" w:space="0" w:color="auto"/>
        <w:right w:val="none" w:sz="0" w:space="0" w:color="auto"/>
      </w:divBdr>
    </w:div>
    <w:div w:id="708065832">
      <w:bodyDiv w:val="1"/>
      <w:marLeft w:val="0"/>
      <w:marRight w:val="0"/>
      <w:marTop w:val="0"/>
      <w:marBottom w:val="0"/>
      <w:divBdr>
        <w:top w:val="none" w:sz="0" w:space="0" w:color="auto"/>
        <w:left w:val="none" w:sz="0" w:space="0" w:color="auto"/>
        <w:bottom w:val="none" w:sz="0" w:space="0" w:color="auto"/>
        <w:right w:val="none" w:sz="0" w:space="0" w:color="auto"/>
      </w:divBdr>
    </w:div>
    <w:div w:id="728192092">
      <w:bodyDiv w:val="1"/>
      <w:marLeft w:val="0"/>
      <w:marRight w:val="0"/>
      <w:marTop w:val="0"/>
      <w:marBottom w:val="0"/>
      <w:divBdr>
        <w:top w:val="none" w:sz="0" w:space="0" w:color="auto"/>
        <w:left w:val="none" w:sz="0" w:space="0" w:color="auto"/>
        <w:bottom w:val="none" w:sz="0" w:space="0" w:color="auto"/>
        <w:right w:val="none" w:sz="0" w:space="0" w:color="auto"/>
      </w:divBdr>
    </w:div>
    <w:div w:id="731386580">
      <w:bodyDiv w:val="1"/>
      <w:marLeft w:val="0"/>
      <w:marRight w:val="0"/>
      <w:marTop w:val="0"/>
      <w:marBottom w:val="0"/>
      <w:divBdr>
        <w:top w:val="none" w:sz="0" w:space="0" w:color="auto"/>
        <w:left w:val="none" w:sz="0" w:space="0" w:color="auto"/>
        <w:bottom w:val="none" w:sz="0" w:space="0" w:color="auto"/>
        <w:right w:val="none" w:sz="0" w:space="0" w:color="auto"/>
      </w:divBdr>
    </w:div>
    <w:div w:id="755715330">
      <w:bodyDiv w:val="1"/>
      <w:marLeft w:val="0"/>
      <w:marRight w:val="0"/>
      <w:marTop w:val="0"/>
      <w:marBottom w:val="0"/>
      <w:divBdr>
        <w:top w:val="none" w:sz="0" w:space="0" w:color="auto"/>
        <w:left w:val="none" w:sz="0" w:space="0" w:color="auto"/>
        <w:bottom w:val="none" w:sz="0" w:space="0" w:color="auto"/>
        <w:right w:val="none" w:sz="0" w:space="0" w:color="auto"/>
      </w:divBdr>
    </w:div>
    <w:div w:id="773402246">
      <w:bodyDiv w:val="1"/>
      <w:marLeft w:val="0"/>
      <w:marRight w:val="0"/>
      <w:marTop w:val="0"/>
      <w:marBottom w:val="0"/>
      <w:divBdr>
        <w:top w:val="none" w:sz="0" w:space="0" w:color="auto"/>
        <w:left w:val="none" w:sz="0" w:space="0" w:color="auto"/>
        <w:bottom w:val="none" w:sz="0" w:space="0" w:color="auto"/>
        <w:right w:val="none" w:sz="0" w:space="0" w:color="auto"/>
      </w:divBdr>
    </w:div>
    <w:div w:id="789209098">
      <w:bodyDiv w:val="1"/>
      <w:marLeft w:val="0"/>
      <w:marRight w:val="0"/>
      <w:marTop w:val="0"/>
      <w:marBottom w:val="0"/>
      <w:divBdr>
        <w:top w:val="none" w:sz="0" w:space="0" w:color="auto"/>
        <w:left w:val="none" w:sz="0" w:space="0" w:color="auto"/>
        <w:bottom w:val="none" w:sz="0" w:space="0" w:color="auto"/>
        <w:right w:val="none" w:sz="0" w:space="0" w:color="auto"/>
      </w:divBdr>
    </w:div>
    <w:div w:id="803084891">
      <w:bodyDiv w:val="1"/>
      <w:marLeft w:val="0"/>
      <w:marRight w:val="0"/>
      <w:marTop w:val="0"/>
      <w:marBottom w:val="0"/>
      <w:divBdr>
        <w:top w:val="none" w:sz="0" w:space="0" w:color="auto"/>
        <w:left w:val="none" w:sz="0" w:space="0" w:color="auto"/>
        <w:bottom w:val="none" w:sz="0" w:space="0" w:color="auto"/>
        <w:right w:val="none" w:sz="0" w:space="0" w:color="auto"/>
      </w:divBdr>
    </w:div>
    <w:div w:id="830370908">
      <w:bodyDiv w:val="1"/>
      <w:marLeft w:val="0"/>
      <w:marRight w:val="0"/>
      <w:marTop w:val="0"/>
      <w:marBottom w:val="0"/>
      <w:divBdr>
        <w:top w:val="none" w:sz="0" w:space="0" w:color="auto"/>
        <w:left w:val="none" w:sz="0" w:space="0" w:color="auto"/>
        <w:bottom w:val="none" w:sz="0" w:space="0" w:color="auto"/>
        <w:right w:val="none" w:sz="0" w:space="0" w:color="auto"/>
      </w:divBdr>
    </w:div>
    <w:div w:id="842166023">
      <w:bodyDiv w:val="1"/>
      <w:marLeft w:val="0"/>
      <w:marRight w:val="0"/>
      <w:marTop w:val="0"/>
      <w:marBottom w:val="0"/>
      <w:divBdr>
        <w:top w:val="none" w:sz="0" w:space="0" w:color="auto"/>
        <w:left w:val="none" w:sz="0" w:space="0" w:color="auto"/>
        <w:bottom w:val="none" w:sz="0" w:space="0" w:color="auto"/>
        <w:right w:val="none" w:sz="0" w:space="0" w:color="auto"/>
      </w:divBdr>
    </w:div>
    <w:div w:id="876503459">
      <w:bodyDiv w:val="1"/>
      <w:marLeft w:val="0"/>
      <w:marRight w:val="0"/>
      <w:marTop w:val="0"/>
      <w:marBottom w:val="0"/>
      <w:divBdr>
        <w:top w:val="none" w:sz="0" w:space="0" w:color="auto"/>
        <w:left w:val="none" w:sz="0" w:space="0" w:color="auto"/>
        <w:bottom w:val="none" w:sz="0" w:space="0" w:color="auto"/>
        <w:right w:val="none" w:sz="0" w:space="0" w:color="auto"/>
      </w:divBdr>
    </w:div>
    <w:div w:id="887423313">
      <w:bodyDiv w:val="1"/>
      <w:marLeft w:val="0"/>
      <w:marRight w:val="0"/>
      <w:marTop w:val="0"/>
      <w:marBottom w:val="0"/>
      <w:divBdr>
        <w:top w:val="none" w:sz="0" w:space="0" w:color="auto"/>
        <w:left w:val="none" w:sz="0" w:space="0" w:color="auto"/>
        <w:bottom w:val="none" w:sz="0" w:space="0" w:color="auto"/>
        <w:right w:val="none" w:sz="0" w:space="0" w:color="auto"/>
      </w:divBdr>
    </w:div>
    <w:div w:id="891497555">
      <w:bodyDiv w:val="1"/>
      <w:marLeft w:val="0"/>
      <w:marRight w:val="0"/>
      <w:marTop w:val="0"/>
      <w:marBottom w:val="0"/>
      <w:divBdr>
        <w:top w:val="none" w:sz="0" w:space="0" w:color="auto"/>
        <w:left w:val="none" w:sz="0" w:space="0" w:color="auto"/>
        <w:bottom w:val="none" w:sz="0" w:space="0" w:color="auto"/>
        <w:right w:val="none" w:sz="0" w:space="0" w:color="auto"/>
      </w:divBdr>
    </w:div>
    <w:div w:id="905260604">
      <w:bodyDiv w:val="1"/>
      <w:marLeft w:val="0"/>
      <w:marRight w:val="0"/>
      <w:marTop w:val="0"/>
      <w:marBottom w:val="0"/>
      <w:divBdr>
        <w:top w:val="none" w:sz="0" w:space="0" w:color="auto"/>
        <w:left w:val="none" w:sz="0" w:space="0" w:color="auto"/>
        <w:bottom w:val="none" w:sz="0" w:space="0" w:color="auto"/>
        <w:right w:val="none" w:sz="0" w:space="0" w:color="auto"/>
      </w:divBdr>
    </w:div>
    <w:div w:id="905995105">
      <w:bodyDiv w:val="1"/>
      <w:marLeft w:val="0"/>
      <w:marRight w:val="0"/>
      <w:marTop w:val="0"/>
      <w:marBottom w:val="0"/>
      <w:divBdr>
        <w:top w:val="none" w:sz="0" w:space="0" w:color="auto"/>
        <w:left w:val="none" w:sz="0" w:space="0" w:color="auto"/>
        <w:bottom w:val="none" w:sz="0" w:space="0" w:color="auto"/>
        <w:right w:val="none" w:sz="0" w:space="0" w:color="auto"/>
      </w:divBdr>
    </w:div>
    <w:div w:id="907154083">
      <w:bodyDiv w:val="1"/>
      <w:marLeft w:val="0"/>
      <w:marRight w:val="0"/>
      <w:marTop w:val="0"/>
      <w:marBottom w:val="0"/>
      <w:divBdr>
        <w:top w:val="none" w:sz="0" w:space="0" w:color="auto"/>
        <w:left w:val="none" w:sz="0" w:space="0" w:color="auto"/>
        <w:bottom w:val="none" w:sz="0" w:space="0" w:color="auto"/>
        <w:right w:val="none" w:sz="0" w:space="0" w:color="auto"/>
      </w:divBdr>
    </w:div>
    <w:div w:id="956526786">
      <w:bodyDiv w:val="1"/>
      <w:marLeft w:val="0"/>
      <w:marRight w:val="0"/>
      <w:marTop w:val="0"/>
      <w:marBottom w:val="0"/>
      <w:divBdr>
        <w:top w:val="none" w:sz="0" w:space="0" w:color="auto"/>
        <w:left w:val="none" w:sz="0" w:space="0" w:color="auto"/>
        <w:bottom w:val="none" w:sz="0" w:space="0" w:color="auto"/>
        <w:right w:val="none" w:sz="0" w:space="0" w:color="auto"/>
      </w:divBdr>
    </w:div>
    <w:div w:id="1013262659">
      <w:bodyDiv w:val="1"/>
      <w:marLeft w:val="0"/>
      <w:marRight w:val="0"/>
      <w:marTop w:val="0"/>
      <w:marBottom w:val="0"/>
      <w:divBdr>
        <w:top w:val="none" w:sz="0" w:space="0" w:color="auto"/>
        <w:left w:val="none" w:sz="0" w:space="0" w:color="auto"/>
        <w:bottom w:val="none" w:sz="0" w:space="0" w:color="auto"/>
        <w:right w:val="none" w:sz="0" w:space="0" w:color="auto"/>
      </w:divBdr>
    </w:div>
    <w:div w:id="1015573042">
      <w:bodyDiv w:val="1"/>
      <w:marLeft w:val="0"/>
      <w:marRight w:val="0"/>
      <w:marTop w:val="0"/>
      <w:marBottom w:val="0"/>
      <w:divBdr>
        <w:top w:val="none" w:sz="0" w:space="0" w:color="auto"/>
        <w:left w:val="none" w:sz="0" w:space="0" w:color="auto"/>
        <w:bottom w:val="none" w:sz="0" w:space="0" w:color="auto"/>
        <w:right w:val="none" w:sz="0" w:space="0" w:color="auto"/>
      </w:divBdr>
    </w:div>
    <w:div w:id="1040285637">
      <w:bodyDiv w:val="1"/>
      <w:marLeft w:val="0"/>
      <w:marRight w:val="0"/>
      <w:marTop w:val="0"/>
      <w:marBottom w:val="0"/>
      <w:divBdr>
        <w:top w:val="none" w:sz="0" w:space="0" w:color="auto"/>
        <w:left w:val="none" w:sz="0" w:space="0" w:color="auto"/>
        <w:bottom w:val="none" w:sz="0" w:space="0" w:color="auto"/>
        <w:right w:val="none" w:sz="0" w:space="0" w:color="auto"/>
      </w:divBdr>
    </w:div>
    <w:div w:id="1062677538">
      <w:bodyDiv w:val="1"/>
      <w:marLeft w:val="0"/>
      <w:marRight w:val="0"/>
      <w:marTop w:val="0"/>
      <w:marBottom w:val="0"/>
      <w:divBdr>
        <w:top w:val="none" w:sz="0" w:space="0" w:color="auto"/>
        <w:left w:val="none" w:sz="0" w:space="0" w:color="auto"/>
        <w:bottom w:val="none" w:sz="0" w:space="0" w:color="auto"/>
        <w:right w:val="none" w:sz="0" w:space="0" w:color="auto"/>
      </w:divBdr>
    </w:div>
    <w:div w:id="1134560785">
      <w:bodyDiv w:val="1"/>
      <w:marLeft w:val="0"/>
      <w:marRight w:val="0"/>
      <w:marTop w:val="0"/>
      <w:marBottom w:val="0"/>
      <w:divBdr>
        <w:top w:val="none" w:sz="0" w:space="0" w:color="auto"/>
        <w:left w:val="none" w:sz="0" w:space="0" w:color="auto"/>
        <w:bottom w:val="none" w:sz="0" w:space="0" w:color="auto"/>
        <w:right w:val="none" w:sz="0" w:space="0" w:color="auto"/>
      </w:divBdr>
    </w:div>
    <w:div w:id="1187212151">
      <w:bodyDiv w:val="1"/>
      <w:marLeft w:val="0"/>
      <w:marRight w:val="0"/>
      <w:marTop w:val="0"/>
      <w:marBottom w:val="0"/>
      <w:divBdr>
        <w:top w:val="none" w:sz="0" w:space="0" w:color="auto"/>
        <w:left w:val="none" w:sz="0" w:space="0" w:color="auto"/>
        <w:bottom w:val="none" w:sz="0" w:space="0" w:color="auto"/>
        <w:right w:val="none" w:sz="0" w:space="0" w:color="auto"/>
      </w:divBdr>
    </w:div>
    <w:div w:id="1195003435">
      <w:bodyDiv w:val="1"/>
      <w:marLeft w:val="0"/>
      <w:marRight w:val="0"/>
      <w:marTop w:val="0"/>
      <w:marBottom w:val="0"/>
      <w:divBdr>
        <w:top w:val="none" w:sz="0" w:space="0" w:color="auto"/>
        <w:left w:val="none" w:sz="0" w:space="0" w:color="auto"/>
        <w:bottom w:val="none" w:sz="0" w:space="0" w:color="auto"/>
        <w:right w:val="none" w:sz="0" w:space="0" w:color="auto"/>
      </w:divBdr>
    </w:div>
    <w:div w:id="1207059207">
      <w:bodyDiv w:val="1"/>
      <w:marLeft w:val="0"/>
      <w:marRight w:val="0"/>
      <w:marTop w:val="0"/>
      <w:marBottom w:val="0"/>
      <w:divBdr>
        <w:top w:val="none" w:sz="0" w:space="0" w:color="auto"/>
        <w:left w:val="none" w:sz="0" w:space="0" w:color="auto"/>
        <w:bottom w:val="none" w:sz="0" w:space="0" w:color="auto"/>
        <w:right w:val="none" w:sz="0" w:space="0" w:color="auto"/>
      </w:divBdr>
    </w:div>
    <w:div w:id="1211378602">
      <w:bodyDiv w:val="1"/>
      <w:marLeft w:val="0"/>
      <w:marRight w:val="0"/>
      <w:marTop w:val="0"/>
      <w:marBottom w:val="0"/>
      <w:divBdr>
        <w:top w:val="none" w:sz="0" w:space="0" w:color="auto"/>
        <w:left w:val="none" w:sz="0" w:space="0" w:color="auto"/>
        <w:bottom w:val="none" w:sz="0" w:space="0" w:color="auto"/>
        <w:right w:val="none" w:sz="0" w:space="0" w:color="auto"/>
      </w:divBdr>
    </w:div>
    <w:div w:id="1224559331">
      <w:bodyDiv w:val="1"/>
      <w:marLeft w:val="0"/>
      <w:marRight w:val="0"/>
      <w:marTop w:val="0"/>
      <w:marBottom w:val="0"/>
      <w:divBdr>
        <w:top w:val="none" w:sz="0" w:space="0" w:color="auto"/>
        <w:left w:val="none" w:sz="0" w:space="0" w:color="auto"/>
        <w:bottom w:val="none" w:sz="0" w:space="0" w:color="auto"/>
        <w:right w:val="none" w:sz="0" w:space="0" w:color="auto"/>
      </w:divBdr>
    </w:div>
    <w:div w:id="1265335860">
      <w:bodyDiv w:val="1"/>
      <w:marLeft w:val="0"/>
      <w:marRight w:val="0"/>
      <w:marTop w:val="0"/>
      <w:marBottom w:val="0"/>
      <w:divBdr>
        <w:top w:val="none" w:sz="0" w:space="0" w:color="auto"/>
        <w:left w:val="none" w:sz="0" w:space="0" w:color="auto"/>
        <w:bottom w:val="none" w:sz="0" w:space="0" w:color="auto"/>
        <w:right w:val="none" w:sz="0" w:space="0" w:color="auto"/>
      </w:divBdr>
    </w:div>
    <w:div w:id="1265727138">
      <w:bodyDiv w:val="1"/>
      <w:marLeft w:val="0"/>
      <w:marRight w:val="0"/>
      <w:marTop w:val="0"/>
      <w:marBottom w:val="0"/>
      <w:divBdr>
        <w:top w:val="none" w:sz="0" w:space="0" w:color="auto"/>
        <w:left w:val="none" w:sz="0" w:space="0" w:color="auto"/>
        <w:bottom w:val="none" w:sz="0" w:space="0" w:color="auto"/>
        <w:right w:val="none" w:sz="0" w:space="0" w:color="auto"/>
      </w:divBdr>
    </w:div>
    <w:div w:id="1331954380">
      <w:bodyDiv w:val="1"/>
      <w:marLeft w:val="0"/>
      <w:marRight w:val="0"/>
      <w:marTop w:val="0"/>
      <w:marBottom w:val="0"/>
      <w:divBdr>
        <w:top w:val="none" w:sz="0" w:space="0" w:color="auto"/>
        <w:left w:val="none" w:sz="0" w:space="0" w:color="auto"/>
        <w:bottom w:val="none" w:sz="0" w:space="0" w:color="auto"/>
        <w:right w:val="none" w:sz="0" w:space="0" w:color="auto"/>
      </w:divBdr>
    </w:div>
    <w:div w:id="1341081641">
      <w:bodyDiv w:val="1"/>
      <w:marLeft w:val="0"/>
      <w:marRight w:val="0"/>
      <w:marTop w:val="0"/>
      <w:marBottom w:val="0"/>
      <w:divBdr>
        <w:top w:val="none" w:sz="0" w:space="0" w:color="auto"/>
        <w:left w:val="none" w:sz="0" w:space="0" w:color="auto"/>
        <w:bottom w:val="none" w:sz="0" w:space="0" w:color="auto"/>
        <w:right w:val="none" w:sz="0" w:space="0" w:color="auto"/>
      </w:divBdr>
    </w:div>
    <w:div w:id="1348753259">
      <w:bodyDiv w:val="1"/>
      <w:marLeft w:val="0"/>
      <w:marRight w:val="0"/>
      <w:marTop w:val="0"/>
      <w:marBottom w:val="0"/>
      <w:divBdr>
        <w:top w:val="none" w:sz="0" w:space="0" w:color="auto"/>
        <w:left w:val="none" w:sz="0" w:space="0" w:color="auto"/>
        <w:bottom w:val="none" w:sz="0" w:space="0" w:color="auto"/>
        <w:right w:val="none" w:sz="0" w:space="0" w:color="auto"/>
      </w:divBdr>
    </w:div>
    <w:div w:id="1377509536">
      <w:bodyDiv w:val="1"/>
      <w:marLeft w:val="0"/>
      <w:marRight w:val="0"/>
      <w:marTop w:val="0"/>
      <w:marBottom w:val="0"/>
      <w:divBdr>
        <w:top w:val="none" w:sz="0" w:space="0" w:color="auto"/>
        <w:left w:val="none" w:sz="0" w:space="0" w:color="auto"/>
        <w:bottom w:val="none" w:sz="0" w:space="0" w:color="auto"/>
        <w:right w:val="none" w:sz="0" w:space="0" w:color="auto"/>
      </w:divBdr>
    </w:div>
    <w:div w:id="1479422253">
      <w:bodyDiv w:val="1"/>
      <w:marLeft w:val="0"/>
      <w:marRight w:val="0"/>
      <w:marTop w:val="0"/>
      <w:marBottom w:val="0"/>
      <w:divBdr>
        <w:top w:val="none" w:sz="0" w:space="0" w:color="auto"/>
        <w:left w:val="none" w:sz="0" w:space="0" w:color="auto"/>
        <w:bottom w:val="none" w:sz="0" w:space="0" w:color="auto"/>
        <w:right w:val="none" w:sz="0" w:space="0" w:color="auto"/>
      </w:divBdr>
    </w:div>
    <w:div w:id="1479570169">
      <w:bodyDiv w:val="1"/>
      <w:marLeft w:val="0"/>
      <w:marRight w:val="0"/>
      <w:marTop w:val="0"/>
      <w:marBottom w:val="0"/>
      <w:divBdr>
        <w:top w:val="none" w:sz="0" w:space="0" w:color="auto"/>
        <w:left w:val="none" w:sz="0" w:space="0" w:color="auto"/>
        <w:bottom w:val="none" w:sz="0" w:space="0" w:color="auto"/>
        <w:right w:val="none" w:sz="0" w:space="0" w:color="auto"/>
      </w:divBdr>
    </w:div>
    <w:div w:id="1517381320">
      <w:bodyDiv w:val="1"/>
      <w:marLeft w:val="0"/>
      <w:marRight w:val="0"/>
      <w:marTop w:val="0"/>
      <w:marBottom w:val="0"/>
      <w:divBdr>
        <w:top w:val="none" w:sz="0" w:space="0" w:color="auto"/>
        <w:left w:val="none" w:sz="0" w:space="0" w:color="auto"/>
        <w:bottom w:val="none" w:sz="0" w:space="0" w:color="auto"/>
        <w:right w:val="none" w:sz="0" w:space="0" w:color="auto"/>
      </w:divBdr>
    </w:div>
    <w:div w:id="1523278909">
      <w:bodyDiv w:val="1"/>
      <w:marLeft w:val="0"/>
      <w:marRight w:val="0"/>
      <w:marTop w:val="0"/>
      <w:marBottom w:val="0"/>
      <w:divBdr>
        <w:top w:val="none" w:sz="0" w:space="0" w:color="auto"/>
        <w:left w:val="none" w:sz="0" w:space="0" w:color="auto"/>
        <w:bottom w:val="none" w:sz="0" w:space="0" w:color="auto"/>
        <w:right w:val="none" w:sz="0" w:space="0" w:color="auto"/>
      </w:divBdr>
    </w:div>
    <w:div w:id="1580403477">
      <w:bodyDiv w:val="1"/>
      <w:marLeft w:val="0"/>
      <w:marRight w:val="0"/>
      <w:marTop w:val="0"/>
      <w:marBottom w:val="0"/>
      <w:divBdr>
        <w:top w:val="none" w:sz="0" w:space="0" w:color="auto"/>
        <w:left w:val="none" w:sz="0" w:space="0" w:color="auto"/>
        <w:bottom w:val="none" w:sz="0" w:space="0" w:color="auto"/>
        <w:right w:val="none" w:sz="0" w:space="0" w:color="auto"/>
      </w:divBdr>
    </w:div>
    <w:div w:id="1586693910">
      <w:bodyDiv w:val="1"/>
      <w:marLeft w:val="0"/>
      <w:marRight w:val="0"/>
      <w:marTop w:val="0"/>
      <w:marBottom w:val="0"/>
      <w:divBdr>
        <w:top w:val="none" w:sz="0" w:space="0" w:color="auto"/>
        <w:left w:val="none" w:sz="0" w:space="0" w:color="auto"/>
        <w:bottom w:val="none" w:sz="0" w:space="0" w:color="auto"/>
        <w:right w:val="none" w:sz="0" w:space="0" w:color="auto"/>
      </w:divBdr>
    </w:div>
    <w:div w:id="1708067530">
      <w:bodyDiv w:val="1"/>
      <w:marLeft w:val="0"/>
      <w:marRight w:val="0"/>
      <w:marTop w:val="0"/>
      <w:marBottom w:val="0"/>
      <w:divBdr>
        <w:top w:val="none" w:sz="0" w:space="0" w:color="auto"/>
        <w:left w:val="none" w:sz="0" w:space="0" w:color="auto"/>
        <w:bottom w:val="none" w:sz="0" w:space="0" w:color="auto"/>
        <w:right w:val="none" w:sz="0" w:space="0" w:color="auto"/>
      </w:divBdr>
    </w:div>
    <w:div w:id="1829058761">
      <w:bodyDiv w:val="1"/>
      <w:marLeft w:val="0"/>
      <w:marRight w:val="0"/>
      <w:marTop w:val="0"/>
      <w:marBottom w:val="0"/>
      <w:divBdr>
        <w:top w:val="none" w:sz="0" w:space="0" w:color="auto"/>
        <w:left w:val="none" w:sz="0" w:space="0" w:color="auto"/>
        <w:bottom w:val="none" w:sz="0" w:space="0" w:color="auto"/>
        <w:right w:val="none" w:sz="0" w:space="0" w:color="auto"/>
      </w:divBdr>
    </w:div>
    <w:div w:id="1850833233">
      <w:bodyDiv w:val="1"/>
      <w:marLeft w:val="0"/>
      <w:marRight w:val="0"/>
      <w:marTop w:val="0"/>
      <w:marBottom w:val="0"/>
      <w:divBdr>
        <w:top w:val="none" w:sz="0" w:space="0" w:color="auto"/>
        <w:left w:val="none" w:sz="0" w:space="0" w:color="auto"/>
        <w:bottom w:val="none" w:sz="0" w:space="0" w:color="auto"/>
        <w:right w:val="none" w:sz="0" w:space="0" w:color="auto"/>
      </w:divBdr>
    </w:div>
    <w:div w:id="1907256210">
      <w:bodyDiv w:val="1"/>
      <w:marLeft w:val="0"/>
      <w:marRight w:val="0"/>
      <w:marTop w:val="0"/>
      <w:marBottom w:val="0"/>
      <w:divBdr>
        <w:top w:val="none" w:sz="0" w:space="0" w:color="auto"/>
        <w:left w:val="none" w:sz="0" w:space="0" w:color="auto"/>
        <w:bottom w:val="none" w:sz="0" w:space="0" w:color="auto"/>
        <w:right w:val="none" w:sz="0" w:space="0" w:color="auto"/>
      </w:divBdr>
    </w:div>
    <w:div w:id="1966154743">
      <w:bodyDiv w:val="1"/>
      <w:marLeft w:val="0"/>
      <w:marRight w:val="0"/>
      <w:marTop w:val="0"/>
      <w:marBottom w:val="0"/>
      <w:divBdr>
        <w:top w:val="none" w:sz="0" w:space="0" w:color="auto"/>
        <w:left w:val="none" w:sz="0" w:space="0" w:color="auto"/>
        <w:bottom w:val="none" w:sz="0" w:space="0" w:color="auto"/>
        <w:right w:val="none" w:sz="0" w:space="0" w:color="auto"/>
      </w:divBdr>
    </w:div>
    <w:div w:id="1966815516">
      <w:bodyDiv w:val="1"/>
      <w:marLeft w:val="0"/>
      <w:marRight w:val="0"/>
      <w:marTop w:val="0"/>
      <w:marBottom w:val="0"/>
      <w:divBdr>
        <w:top w:val="none" w:sz="0" w:space="0" w:color="auto"/>
        <w:left w:val="none" w:sz="0" w:space="0" w:color="auto"/>
        <w:bottom w:val="none" w:sz="0" w:space="0" w:color="auto"/>
        <w:right w:val="none" w:sz="0" w:space="0" w:color="auto"/>
      </w:divBdr>
    </w:div>
    <w:div w:id="1984919500">
      <w:bodyDiv w:val="1"/>
      <w:marLeft w:val="0"/>
      <w:marRight w:val="0"/>
      <w:marTop w:val="0"/>
      <w:marBottom w:val="0"/>
      <w:divBdr>
        <w:top w:val="none" w:sz="0" w:space="0" w:color="auto"/>
        <w:left w:val="none" w:sz="0" w:space="0" w:color="auto"/>
        <w:bottom w:val="none" w:sz="0" w:space="0" w:color="auto"/>
        <w:right w:val="none" w:sz="0" w:space="0" w:color="auto"/>
      </w:divBdr>
    </w:div>
    <w:div w:id="1997104564">
      <w:bodyDiv w:val="1"/>
      <w:marLeft w:val="0"/>
      <w:marRight w:val="0"/>
      <w:marTop w:val="0"/>
      <w:marBottom w:val="0"/>
      <w:divBdr>
        <w:top w:val="none" w:sz="0" w:space="0" w:color="auto"/>
        <w:left w:val="none" w:sz="0" w:space="0" w:color="auto"/>
        <w:bottom w:val="none" w:sz="0" w:space="0" w:color="auto"/>
        <w:right w:val="none" w:sz="0" w:space="0" w:color="auto"/>
      </w:divBdr>
    </w:div>
    <w:div w:id="2006742646">
      <w:bodyDiv w:val="1"/>
      <w:marLeft w:val="0"/>
      <w:marRight w:val="0"/>
      <w:marTop w:val="0"/>
      <w:marBottom w:val="0"/>
      <w:divBdr>
        <w:top w:val="none" w:sz="0" w:space="0" w:color="auto"/>
        <w:left w:val="none" w:sz="0" w:space="0" w:color="auto"/>
        <w:bottom w:val="none" w:sz="0" w:space="0" w:color="auto"/>
        <w:right w:val="none" w:sz="0" w:space="0" w:color="auto"/>
      </w:divBdr>
    </w:div>
    <w:div w:id="2031878519">
      <w:bodyDiv w:val="1"/>
      <w:marLeft w:val="0"/>
      <w:marRight w:val="0"/>
      <w:marTop w:val="0"/>
      <w:marBottom w:val="0"/>
      <w:divBdr>
        <w:top w:val="none" w:sz="0" w:space="0" w:color="auto"/>
        <w:left w:val="none" w:sz="0" w:space="0" w:color="auto"/>
        <w:bottom w:val="none" w:sz="0" w:space="0" w:color="auto"/>
        <w:right w:val="none" w:sz="0" w:space="0" w:color="auto"/>
      </w:divBdr>
    </w:div>
    <w:div w:id="2041323478">
      <w:bodyDiv w:val="1"/>
      <w:marLeft w:val="0"/>
      <w:marRight w:val="0"/>
      <w:marTop w:val="0"/>
      <w:marBottom w:val="0"/>
      <w:divBdr>
        <w:top w:val="none" w:sz="0" w:space="0" w:color="auto"/>
        <w:left w:val="none" w:sz="0" w:space="0" w:color="auto"/>
        <w:bottom w:val="none" w:sz="0" w:space="0" w:color="auto"/>
        <w:right w:val="none" w:sz="0" w:space="0" w:color="auto"/>
      </w:divBdr>
    </w:div>
    <w:div w:id="2044288171">
      <w:bodyDiv w:val="1"/>
      <w:marLeft w:val="0"/>
      <w:marRight w:val="0"/>
      <w:marTop w:val="0"/>
      <w:marBottom w:val="0"/>
      <w:divBdr>
        <w:top w:val="none" w:sz="0" w:space="0" w:color="auto"/>
        <w:left w:val="none" w:sz="0" w:space="0" w:color="auto"/>
        <w:bottom w:val="none" w:sz="0" w:space="0" w:color="auto"/>
        <w:right w:val="none" w:sz="0" w:space="0" w:color="auto"/>
      </w:divBdr>
    </w:div>
    <w:div w:id="2046952408">
      <w:bodyDiv w:val="1"/>
      <w:marLeft w:val="0"/>
      <w:marRight w:val="0"/>
      <w:marTop w:val="0"/>
      <w:marBottom w:val="0"/>
      <w:divBdr>
        <w:top w:val="none" w:sz="0" w:space="0" w:color="auto"/>
        <w:left w:val="none" w:sz="0" w:space="0" w:color="auto"/>
        <w:bottom w:val="none" w:sz="0" w:space="0" w:color="auto"/>
        <w:right w:val="none" w:sz="0" w:space="0" w:color="auto"/>
      </w:divBdr>
    </w:div>
    <w:div w:id="2049797900">
      <w:bodyDiv w:val="1"/>
      <w:marLeft w:val="0"/>
      <w:marRight w:val="0"/>
      <w:marTop w:val="0"/>
      <w:marBottom w:val="0"/>
      <w:divBdr>
        <w:top w:val="none" w:sz="0" w:space="0" w:color="auto"/>
        <w:left w:val="none" w:sz="0" w:space="0" w:color="auto"/>
        <w:bottom w:val="none" w:sz="0" w:space="0" w:color="auto"/>
        <w:right w:val="none" w:sz="0" w:space="0" w:color="auto"/>
      </w:divBdr>
    </w:div>
    <w:div w:id="2090954644">
      <w:bodyDiv w:val="1"/>
      <w:marLeft w:val="0"/>
      <w:marRight w:val="0"/>
      <w:marTop w:val="0"/>
      <w:marBottom w:val="0"/>
      <w:divBdr>
        <w:top w:val="none" w:sz="0" w:space="0" w:color="auto"/>
        <w:left w:val="none" w:sz="0" w:space="0" w:color="auto"/>
        <w:bottom w:val="none" w:sz="0" w:space="0" w:color="auto"/>
        <w:right w:val="none" w:sz="0" w:space="0" w:color="auto"/>
      </w:divBdr>
    </w:div>
    <w:div w:id="2130003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emf"/><Relationship Id="rId28"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chemdrawdirect.perkinelmer.cloud/js/sample/index.html" TargetMode="External"/><Relationship Id="rId14" Type="http://schemas.openxmlformats.org/officeDocument/2006/relationships/image" Target="media/image6.emf"/><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CC65A5-F09D-C64F-9718-7B48A711AF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31</Pages>
  <Words>46970</Words>
  <Characters>267734</Characters>
  <Application>Microsoft Office Word</Application>
  <DocSecurity>0</DocSecurity>
  <Lines>2231</Lines>
  <Paragraphs>628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Sabina Passamonti</dc:creator>
  <cp:keywords/>
  <dc:description/>
  <cp:lastModifiedBy>Sabina Passamonti</cp:lastModifiedBy>
  <cp:revision>84</cp:revision>
  <cp:lastPrinted>2021-10-27T14:04:00Z</cp:lastPrinted>
  <dcterms:created xsi:type="dcterms:W3CDTF">2021-12-02T06:17:00Z</dcterms:created>
  <dcterms:modified xsi:type="dcterms:W3CDTF">2021-12-08T09:56:00Z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http://www.zotero.org/styles/biology-direct</vt:lpwstr>
  </property>
  <property fmtid="{D5CDD505-2E9C-101B-9397-08002B2CF9AE}" pid="5" name="Mendeley Recent Style Name 1_1">
    <vt:lpwstr>Biology Direct</vt:lpwstr>
  </property>
  <property fmtid="{D5CDD505-2E9C-101B-9397-08002B2CF9AE}" pid="6" name="Mendeley Recent Style Id 2_1">
    <vt:lpwstr>http://www.zotero.org/styles/chicago-note-bibliography</vt:lpwstr>
  </property>
  <property fmtid="{D5CDD505-2E9C-101B-9397-08002B2CF9AE}" pid="7" name="Mendeley Recent Style Name 2_1">
    <vt:lpwstr>Chicago Manual of Style 17th edition (note)</vt:lpwstr>
  </property>
  <property fmtid="{D5CDD505-2E9C-101B-9397-08002B2CF9AE}" pid="8" name="Mendeley Recent Style Id 3_1">
    <vt:lpwstr>http://www.zotero.org/styles/frontiers-in-pharmacology</vt:lpwstr>
  </property>
  <property fmtid="{D5CDD505-2E9C-101B-9397-08002B2CF9AE}" pid="9" name="Mendeley Recent Style Name 3_1">
    <vt:lpwstr>Frontiers in Pharmacology</vt:lpwstr>
  </property>
  <property fmtid="{D5CDD505-2E9C-101B-9397-08002B2CF9AE}" pid="10" name="Mendeley Recent Style Id 4_1">
    <vt:lpwstr>http://www.zotero.org/styles/international-pig-veterinary-society-congress-proceedings</vt:lpwstr>
  </property>
  <property fmtid="{D5CDD505-2E9C-101B-9397-08002B2CF9AE}" pid="11" name="Mendeley Recent Style Name 4_1">
    <vt:lpwstr>International Pig Veterinary Society Congress Proceedings</vt:lpwstr>
  </property>
  <property fmtid="{D5CDD505-2E9C-101B-9397-08002B2CF9AE}" pid="12" name="Mendeley Recent Style Id 5_1">
    <vt:lpwstr>http://www.zotero.org/styles/journal-of-biomedical-science</vt:lpwstr>
  </property>
  <property fmtid="{D5CDD505-2E9C-101B-9397-08002B2CF9AE}" pid="13" name="Mendeley Recent Style Name 5_1">
    <vt:lpwstr>Journal of Biomedical Science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http://www.zotero.org/styles/royal-society-of-chemistry</vt:lpwstr>
  </property>
  <property fmtid="{D5CDD505-2E9C-101B-9397-08002B2CF9AE}" pid="19" name="Mendeley Recent Style Name 8_1">
    <vt:lpwstr>Royal Society of Chemistry</vt:lpwstr>
  </property>
  <property fmtid="{D5CDD505-2E9C-101B-9397-08002B2CF9AE}" pid="20" name="Mendeley Recent Style Id 9_1">
    <vt:lpwstr>http://www.zotero.org/styles/the-lancet</vt:lpwstr>
  </property>
  <property fmtid="{D5CDD505-2E9C-101B-9397-08002B2CF9AE}" pid="21" name="Mendeley Recent Style Name 9_1">
    <vt:lpwstr>The Lancet</vt:lpwstr>
  </property>
  <property fmtid="{D5CDD505-2E9C-101B-9397-08002B2CF9AE}" pid="22" name="Mendeley Document_1">
    <vt:lpwstr>True</vt:lpwstr>
  </property>
  <property fmtid="{D5CDD505-2E9C-101B-9397-08002B2CF9AE}" pid="23" name="Mendeley Unique User Id_1">
    <vt:lpwstr>c7715591-6e56-3573-9a95-6cc6145baef8</vt:lpwstr>
  </property>
  <property fmtid="{D5CDD505-2E9C-101B-9397-08002B2CF9AE}" pid="24" name="Mendeley Citation Style_1">
    <vt:lpwstr>http://www.zotero.org/styles/biology-direct</vt:lpwstr>
  </property>
</Properties>
</file>