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4414" w14:textId="77777777" w:rsidR="00801A65" w:rsidRDefault="00801A65" w:rsidP="00801A65">
      <w:pPr>
        <w:suppressAutoHyphens w:val="0"/>
        <w:rPr>
          <w:rFonts w:ascii="Times New Roman" w:hAnsi="Times New Roman"/>
          <w:b/>
          <w:bCs/>
          <w:color w:val="000000"/>
          <w:sz w:val="24"/>
          <w:szCs w:val="24"/>
        </w:rPr>
      </w:pPr>
      <w:r>
        <w:rPr>
          <w:rFonts w:ascii="Times New Roman" w:hAnsi="Times New Roman"/>
          <w:b/>
          <w:bCs/>
          <w:color w:val="000000"/>
          <w:sz w:val="24"/>
          <w:szCs w:val="24"/>
        </w:rPr>
        <w:t>Appendix</w:t>
      </w:r>
    </w:p>
    <w:p w14:paraId="428B86F6" w14:textId="77777777" w:rsidR="00801A65" w:rsidRDefault="00801A65" w:rsidP="00801A65">
      <w:pPr>
        <w:suppressAutoHyphens w:val="0"/>
        <w:rPr>
          <w:rFonts w:ascii="Times New Roman" w:hAnsi="Times New Roman"/>
          <w:b/>
          <w:bCs/>
          <w:color w:val="000000"/>
          <w:sz w:val="24"/>
          <w:szCs w:val="24"/>
        </w:rPr>
      </w:pPr>
      <w:r>
        <w:rPr>
          <w:rFonts w:ascii="Times New Roman" w:hAnsi="Times New Roman"/>
          <w:b/>
          <w:bCs/>
          <w:color w:val="000000"/>
          <w:sz w:val="24"/>
          <w:szCs w:val="24"/>
        </w:rPr>
        <w:t>A. Materials and Solutions</w:t>
      </w:r>
    </w:p>
    <w:p w14:paraId="7DC56115" w14:textId="77777777" w:rsidR="00801A65" w:rsidRDefault="00801A65" w:rsidP="00801A65">
      <w:pPr>
        <w:suppressAutoHyphens w:val="0"/>
        <w:ind w:firstLine="480"/>
      </w:pPr>
      <w:bookmarkStart w:id="0" w:name="OLE_LINK18"/>
      <w:bookmarkEnd w:id="0"/>
      <w:r>
        <w:rPr>
          <w:rFonts w:ascii="Times New Roman" w:hAnsi="Times New Roman"/>
          <w:color w:val="000000"/>
          <w:sz w:val="24"/>
          <w:szCs w:val="24"/>
        </w:rPr>
        <w:t>Ti fiber</w:t>
      </w:r>
      <w:r>
        <w:rPr>
          <w:rFonts w:ascii="Times New Roman" w:hAnsi="Times New Roman"/>
        </w:rPr>
        <w:t xml:space="preserve"> (</w:t>
      </w:r>
      <w:r>
        <w:rPr>
          <w:rFonts w:ascii="Times New Roman" w:hAnsi="Times New Roman"/>
          <w:color w:val="000000"/>
          <w:sz w:val="24"/>
          <w:szCs w:val="24"/>
        </w:rPr>
        <w:t>diameter: 250µm), ethyl lactate (EL, 98+%), SnO</w:t>
      </w:r>
      <w:r>
        <w:rPr>
          <w:rFonts w:ascii="Times New Roman" w:hAnsi="Times New Roman"/>
          <w:color w:val="000000"/>
          <w:sz w:val="24"/>
          <w:szCs w:val="24"/>
          <w:vertAlign w:val="subscript"/>
        </w:rPr>
        <w:t>2</w:t>
      </w:r>
      <w:r>
        <w:rPr>
          <w:rFonts w:ascii="Times New Roman" w:hAnsi="Times New Roman"/>
          <w:color w:val="000000"/>
          <w:sz w:val="24"/>
          <w:szCs w:val="24"/>
        </w:rPr>
        <w:t xml:space="preserve"> nano particles in H</w:t>
      </w:r>
      <w:r>
        <w:rPr>
          <w:rFonts w:ascii="Times New Roman" w:hAnsi="Times New Roman"/>
          <w:color w:val="000000"/>
          <w:sz w:val="24"/>
          <w:szCs w:val="24"/>
          <w:vertAlign w:val="subscript"/>
        </w:rPr>
        <w:t>2</w:t>
      </w:r>
      <w:r>
        <w:rPr>
          <w:rFonts w:ascii="Times New Roman" w:hAnsi="Times New Roman"/>
          <w:color w:val="000000"/>
          <w:sz w:val="24"/>
          <w:szCs w:val="24"/>
        </w:rPr>
        <w:t xml:space="preserve">O colloidal dispersion liquid, </w:t>
      </w:r>
      <w:r>
        <w:rPr>
          <w:rFonts w:ascii="Times New Roman" w:hAnsi="Times New Roman"/>
          <w:i/>
          <w:iCs/>
          <w:color w:val="000000"/>
          <w:sz w:val="24"/>
          <w:szCs w:val="24"/>
        </w:rPr>
        <w:t>N</w:t>
      </w:r>
      <w:r>
        <w:rPr>
          <w:rFonts w:ascii="Times New Roman" w:hAnsi="Times New Roman"/>
          <w:color w:val="000000"/>
          <w:sz w:val="24"/>
          <w:szCs w:val="24"/>
        </w:rPr>
        <w:t>,</w:t>
      </w:r>
      <w:r>
        <w:rPr>
          <w:rFonts w:ascii="Times New Roman" w:hAnsi="Times New Roman"/>
          <w:i/>
          <w:iCs/>
          <w:color w:val="000000"/>
          <w:sz w:val="24"/>
          <w:szCs w:val="24"/>
        </w:rPr>
        <w:t>N</w:t>
      </w:r>
      <w:r>
        <w:rPr>
          <w:rFonts w:ascii="Times New Roman" w:hAnsi="Times New Roman"/>
          <w:color w:val="000000"/>
          <w:sz w:val="24"/>
          <w:szCs w:val="24"/>
        </w:rPr>
        <w:t>-dimethylformamide (DMF, 99.8+%), dimethyl sulfoxide (DMSO, 99+%), diethyl ether (DE, 99%), chlorobenzene (CB, 99+%),  acetonitrile (ACN, 99%), and ultrapure H</w:t>
      </w:r>
      <w:r>
        <w:rPr>
          <w:rFonts w:ascii="Times New Roman" w:hAnsi="Times New Roman"/>
          <w:color w:val="000000"/>
          <w:sz w:val="24"/>
          <w:szCs w:val="24"/>
          <w:vertAlign w:val="subscript"/>
        </w:rPr>
        <w:t>2</w:t>
      </w:r>
      <w:r>
        <w:rPr>
          <w:rFonts w:ascii="Times New Roman" w:hAnsi="Times New Roman"/>
          <w:color w:val="000000"/>
          <w:sz w:val="24"/>
          <w:szCs w:val="24"/>
        </w:rPr>
        <w:t>O (HPLC grade, conductance &lt;1.5µS·cm</w:t>
      </w:r>
      <w:r>
        <w:rPr>
          <w:rFonts w:ascii="Times New Roman" w:hAnsi="Times New Roman"/>
          <w:color w:val="000000"/>
          <w:sz w:val="24"/>
          <w:szCs w:val="24"/>
          <w:vertAlign w:val="superscript"/>
        </w:rPr>
        <w:t>-1</w:t>
      </w:r>
      <w:r>
        <w:rPr>
          <w:rFonts w:ascii="Times New Roman" w:hAnsi="Times New Roman"/>
          <w:color w:val="000000"/>
          <w:sz w:val="24"/>
          <w:szCs w:val="24"/>
        </w:rPr>
        <w:t xml:space="preserve">) were purchased from Alfa Aesar. Ta capsule (99.95+%) evaporation source pad was purchased from Zhongnuo Xincai Beijing Tech. Co. Ltd. </w:t>
      </w:r>
      <w:bookmarkStart w:id="1" w:name="_Hlk147508893"/>
      <w:r>
        <w:rPr>
          <w:rFonts w:ascii="Times New Roman" w:hAnsi="Times New Roman"/>
          <w:color w:val="000000"/>
          <w:sz w:val="24"/>
          <w:szCs w:val="24"/>
        </w:rPr>
        <w:t>Methanaminium iodide</w:t>
      </w:r>
      <w:bookmarkEnd w:id="1"/>
      <w:r>
        <w:rPr>
          <w:rFonts w:ascii="Times New Roman" w:hAnsi="Times New Roman"/>
          <w:color w:val="000000"/>
          <w:sz w:val="24"/>
          <w:szCs w:val="24"/>
        </w:rPr>
        <w:t xml:space="preserve"> (CH</w:t>
      </w:r>
      <w:r>
        <w:rPr>
          <w:rFonts w:ascii="Times New Roman" w:hAnsi="Times New Roman"/>
          <w:color w:val="000000"/>
          <w:sz w:val="24"/>
          <w:szCs w:val="24"/>
          <w:vertAlign w:val="subscript"/>
        </w:rPr>
        <w:t>3</w:t>
      </w:r>
      <w:r>
        <w:rPr>
          <w:rFonts w:ascii="Times New Roman" w:hAnsi="Times New Roman"/>
          <w:color w:val="000000"/>
          <w:sz w:val="24"/>
          <w:szCs w:val="24"/>
        </w:rPr>
        <w:t>NH</w:t>
      </w:r>
      <w:r>
        <w:rPr>
          <w:rFonts w:ascii="Times New Roman" w:hAnsi="Times New Roman"/>
          <w:color w:val="000000"/>
          <w:sz w:val="24"/>
          <w:szCs w:val="24"/>
          <w:vertAlign w:val="subscript"/>
        </w:rPr>
        <w:t>3</w:t>
      </w:r>
      <w:r>
        <w:rPr>
          <w:rFonts w:ascii="Times New Roman" w:hAnsi="Times New Roman"/>
          <w:color w:val="000000"/>
          <w:sz w:val="24"/>
          <w:szCs w:val="24"/>
        </w:rPr>
        <w:t>I, abbr. MAI, 99.5%), lead(II) iodide (PbI</w:t>
      </w:r>
      <w:r>
        <w:rPr>
          <w:rFonts w:ascii="Times New Roman" w:hAnsi="Times New Roman"/>
          <w:color w:val="000000"/>
          <w:sz w:val="24"/>
          <w:szCs w:val="24"/>
          <w:vertAlign w:val="subscript"/>
        </w:rPr>
        <w:t>2</w:t>
      </w:r>
      <w:r>
        <w:rPr>
          <w:rFonts w:ascii="Times New Roman" w:hAnsi="Times New Roman"/>
          <w:color w:val="000000"/>
          <w:sz w:val="24"/>
          <w:szCs w:val="24"/>
        </w:rPr>
        <w:t>, 99.99%), 2,2’,7,7’-tetrakis(</w:t>
      </w:r>
      <w:r>
        <w:rPr>
          <w:rFonts w:ascii="Times New Roman" w:hAnsi="Times New Roman"/>
          <w:i/>
          <w:iCs/>
          <w:color w:val="000000"/>
          <w:sz w:val="24"/>
          <w:szCs w:val="24"/>
        </w:rPr>
        <w:t>N</w:t>
      </w:r>
      <w:r>
        <w:rPr>
          <w:rFonts w:ascii="Times New Roman" w:hAnsi="Times New Roman"/>
          <w:color w:val="000000"/>
          <w:sz w:val="24"/>
          <w:szCs w:val="24"/>
        </w:rPr>
        <w:t>,</w:t>
      </w:r>
      <w:r>
        <w:rPr>
          <w:rFonts w:ascii="Times New Roman" w:hAnsi="Times New Roman"/>
          <w:i/>
          <w:iCs/>
          <w:color w:val="000000"/>
          <w:sz w:val="24"/>
          <w:szCs w:val="24"/>
        </w:rPr>
        <w:t>N</w:t>
      </w:r>
      <w:r>
        <w:rPr>
          <w:rFonts w:ascii="Times New Roman" w:hAnsi="Times New Roman"/>
          <w:color w:val="000000"/>
          <w:sz w:val="24"/>
          <w:szCs w:val="24"/>
        </w:rPr>
        <w:t>-di-</w:t>
      </w:r>
      <w:r>
        <w:rPr>
          <w:rFonts w:ascii="Times New Roman" w:hAnsi="Times New Roman"/>
          <w:i/>
          <w:iCs/>
          <w:color w:val="000000"/>
          <w:sz w:val="24"/>
          <w:szCs w:val="24"/>
        </w:rPr>
        <w:t>p</w:t>
      </w:r>
      <w:r>
        <w:rPr>
          <w:rFonts w:ascii="Times New Roman" w:hAnsi="Times New Roman"/>
          <w:color w:val="000000"/>
          <w:sz w:val="24"/>
          <w:szCs w:val="24"/>
        </w:rPr>
        <w:t xml:space="preserve">-methoxyphenyl-amine)9,9’-spirobifluorene (spiro-OMeTAD) and lithium bis(trifluoromethanesulfonyl)imide (LiTFSI, 99.9%) were purchased from Xi’an Yuri Solar Co. Ltd. </w:t>
      </w:r>
      <w:r>
        <w:rPr>
          <w:rFonts w:ascii="Times New Roman" w:hAnsi="Times New Roman"/>
          <w:bCs/>
          <w:color w:val="000000"/>
          <w:sz w:val="24"/>
          <w:szCs w:val="24"/>
        </w:rPr>
        <w:t>Poly[[5,6-difluoro-2-(2-hexyldecyl)-2H-benzotriazole-4,7-diyl]-2,5-thiophenediyl[4,8-bis[5-(tripropylsilyl)-2-thienyl]benzo[1,2-</w:t>
      </w:r>
      <w:r>
        <w:rPr>
          <w:rFonts w:ascii="Times New Roman" w:hAnsi="Times New Roman"/>
          <w:bCs/>
          <w:i/>
          <w:iCs/>
          <w:color w:val="000000"/>
          <w:sz w:val="24"/>
          <w:szCs w:val="24"/>
        </w:rPr>
        <w:t>b</w:t>
      </w:r>
      <w:r>
        <w:rPr>
          <w:rFonts w:ascii="Times New Roman" w:hAnsi="Times New Roman"/>
          <w:bCs/>
          <w:color w:val="000000"/>
          <w:sz w:val="24"/>
          <w:szCs w:val="24"/>
        </w:rPr>
        <w:t>:4,5-</w:t>
      </w:r>
      <w:r>
        <w:rPr>
          <w:rFonts w:ascii="Times New Roman" w:hAnsi="Times New Roman"/>
          <w:bCs/>
          <w:i/>
          <w:iCs/>
          <w:color w:val="000000"/>
          <w:sz w:val="24"/>
          <w:szCs w:val="24"/>
        </w:rPr>
        <w:t>b</w:t>
      </w:r>
      <w:r>
        <w:rPr>
          <w:rFonts w:ascii="Times New Roman" w:hAnsi="Times New Roman"/>
          <w:bCs/>
          <w:color w:val="000000"/>
          <w:sz w:val="24"/>
          <w:szCs w:val="24"/>
        </w:rPr>
        <w:t>’]dithiophene-2,6-diyl]-2,5-thiophenediyl] ((C</w:t>
      </w:r>
      <w:r>
        <w:rPr>
          <w:rFonts w:ascii="Times New Roman" w:hAnsi="Times New Roman"/>
          <w:bCs/>
          <w:color w:val="000000"/>
          <w:sz w:val="24"/>
          <w:szCs w:val="24"/>
          <w:vertAlign w:val="subscript"/>
        </w:rPr>
        <w:t>66</w:t>
      </w:r>
      <w:r>
        <w:rPr>
          <w:rFonts w:ascii="Times New Roman" w:hAnsi="Times New Roman"/>
          <w:bCs/>
          <w:color w:val="000000"/>
          <w:sz w:val="24"/>
          <w:szCs w:val="24"/>
        </w:rPr>
        <w:t>H</w:t>
      </w:r>
      <w:r>
        <w:rPr>
          <w:rFonts w:ascii="Times New Roman" w:hAnsi="Times New Roman"/>
          <w:bCs/>
          <w:color w:val="000000"/>
          <w:sz w:val="24"/>
          <w:szCs w:val="24"/>
          <w:vertAlign w:val="subscript"/>
        </w:rPr>
        <w:t>85</w:t>
      </w:r>
      <w:r>
        <w:rPr>
          <w:rFonts w:ascii="Times New Roman" w:hAnsi="Times New Roman"/>
          <w:bCs/>
          <w:color w:val="000000"/>
          <w:sz w:val="24"/>
          <w:szCs w:val="24"/>
        </w:rPr>
        <w:t>F</w:t>
      </w:r>
      <w:r>
        <w:rPr>
          <w:rFonts w:ascii="Times New Roman" w:hAnsi="Times New Roman"/>
          <w:bCs/>
          <w:color w:val="000000"/>
          <w:sz w:val="24"/>
          <w:szCs w:val="24"/>
          <w:vertAlign w:val="subscript"/>
        </w:rPr>
        <w:t>2</w:t>
      </w:r>
      <w:r>
        <w:rPr>
          <w:rFonts w:ascii="Times New Roman" w:hAnsi="Times New Roman"/>
          <w:bCs/>
          <w:color w:val="000000"/>
          <w:sz w:val="24"/>
          <w:szCs w:val="24"/>
        </w:rPr>
        <w:t>N</w:t>
      </w:r>
      <w:r>
        <w:rPr>
          <w:rFonts w:ascii="Times New Roman" w:hAnsi="Times New Roman"/>
          <w:bCs/>
          <w:color w:val="000000"/>
          <w:sz w:val="24"/>
          <w:szCs w:val="24"/>
          <w:vertAlign w:val="subscript"/>
        </w:rPr>
        <w:t>3</w:t>
      </w:r>
      <w:r>
        <w:rPr>
          <w:rFonts w:ascii="Times New Roman" w:hAnsi="Times New Roman"/>
          <w:bCs/>
          <w:color w:val="000000"/>
          <w:sz w:val="24"/>
          <w:szCs w:val="24"/>
        </w:rPr>
        <w:t>S</w:t>
      </w:r>
      <w:r>
        <w:rPr>
          <w:rFonts w:ascii="Times New Roman" w:hAnsi="Times New Roman"/>
          <w:bCs/>
          <w:color w:val="000000"/>
          <w:sz w:val="24"/>
          <w:szCs w:val="24"/>
          <w:vertAlign w:val="subscript"/>
        </w:rPr>
        <w:t>6</w:t>
      </w:r>
      <w:r>
        <w:rPr>
          <w:rFonts w:ascii="Times New Roman" w:hAnsi="Times New Roman"/>
          <w:bCs/>
          <w:color w:val="000000"/>
          <w:sz w:val="24"/>
          <w:szCs w:val="24"/>
        </w:rPr>
        <w:t>Si</w:t>
      </w:r>
      <w:r>
        <w:rPr>
          <w:rFonts w:ascii="Times New Roman" w:hAnsi="Times New Roman"/>
          <w:bCs/>
          <w:color w:val="000000"/>
          <w:sz w:val="24"/>
          <w:szCs w:val="24"/>
          <w:vertAlign w:val="subscript"/>
        </w:rPr>
        <w:t>2</w:t>
      </w:r>
      <w:r>
        <w:rPr>
          <w:rFonts w:ascii="Times New Roman" w:hAnsi="Times New Roman"/>
          <w:bCs/>
          <w:color w:val="000000"/>
          <w:sz w:val="24"/>
          <w:szCs w:val="24"/>
        </w:rPr>
        <w:t>)</w:t>
      </w:r>
      <w:r>
        <w:rPr>
          <w:rFonts w:ascii="Times New Roman" w:hAnsi="Times New Roman"/>
          <w:bCs/>
          <w:i/>
          <w:iCs/>
          <w:color w:val="000000"/>
          <w:sz w:val="24"/>
          <w:szCs w:val="24"/>
          <w:vertAlign w:val="subscript"/>
        </w:rPr>
        <w:t>n</w:t>
      </w:r>
      <w:r>
        <w:rPr>
          <w:rFonts w:ascii="Times New Roman" w:hAnsi="Times New Roman"/>
          <w:bCs/>
          <w:color w:val="000000"/>
          <w:sz w:val="24"/>
          <w:szCs w:val="24"/>
        </w:rPr>
        <w:t>, abbr. PJ71,</w:t>
      </w:r>
      <w:r>
        <w:rPr>
          <w:rFonts w:ascii="Times New Roman" w:hAnsi="Times New Roman"/>
          <w:color w:val="000000"/>
          <w:sz w:val="24"/>
          <w:szCs w:val="24"/>
        </w:rPr>
        <w:t xml:space="preserve"> </w:t>
      </w:r>
      <w:r>
        <w:rPr>
          <w:rFonts w:ascii="Times New Roman" w:hAnsi="Times New Roman"/>
          <w:i/>
          <w:iCs/>
          <w:color w:val="000000"/>
          <w:sz w:val="24"/>
          <w:szCs w:val="24"/>
        </w:rPr>
        <w:t>M</w:t>
      </w:r>
      <w:r>
        <w:rPr>
          <w:rFonts w:ascii="Times New Roman" w:hAnsi="Times New Roman"/>
          <w:i/>
          <w:iCs/>
          <w:color w:val="000000"/>
          <w:sz w:val="24"/>
          <w:szCs w:val="24"/>
          <w:vertAlign w:val="subscript"/>
        </w:rPr>
        <w:t>w</w:t>
      </w:r>
      <w:r>
        <w:rPr>
          <w:rFonts w:ascii="Times New Roman" w:hAnsi="Times New Roman"/>
          <w:color w:val="000000"/>
          <w:sz w:val="24"/>
          <w:szCs w:val="24"/>
        </w:rPr>
        <w:t>~14k, purified by the Soxhlet extraction method with methanol, hexane and CB in Ar atmosphere</w:t>
      </w:r>
      <w:r>
        <w:rPr>
          <w:rFonts w:ascii="Times New Roman" w:hAnsi="Times New Roman"/>
          <w:bCs/>
          <w:color w:val="000000"/>
          <w:sz w:val="24"/>
          <w:szCs w:val="24"/>
        </w:rPr>
        <w:t>)</w:t>
      </w:r>
      <w:r>
        <w:rPr>
          <w:rFonts w:ascii="Times New Roman" w:hAnsi="Times New Roman"/>
          <w:color w:val="000000"/>
          <w:sz w:val="24"/>
          <w:szCs w:val="24"/>
        </w:rPr>
        <w:t xml:space="preserve"> was purchased from Ossila Luminosyn Co. Ltd. </w:t>
      </w:r>
      <w:bookmarkStart w:id="2" w:name="_Hlk147508873"/>
      <w:r>
        <w:rPr>
          <w:rFonts w:ascii="Times New Roman" w:hAnsi="Times New Roman"/>
          <w:color w:val="000000"/>
          <w:sz w:val="24"/>
          <w:szCs w:val="24"/>
        </w:rPr>
        <w:t>Ethylene glycol</w:t>
      </w:r>
      <w:bookmarkEnd w:id="2"/>
      <w:r>
        <w:rPr>
          <w:rFonts w:ascii="Times New Roman" w:hAnsi="Times New Roman"/>
          <w:color w:val="000000"/>
          <w:sz w:val="24"/>
          <w:szCs w:val="24"/>
        </w:rPr>
        <w:t xml:space="preserve"> (EG, 99.8%+), (NH</w:t>
      </w:r>
      <w:r>
        <w:rPr>
          <w:rFonts w:ascii="Times New Roman" w:hAnsi="Times New Roman"/>
          <w:color w:val="000000"/>
          <w:sz w:val="24"/>
          <w:szCs w:val="24"/>
          <w:vertAlign w:val="subscript"/>
        </w:rPr>
        <w:t>4</w:t>
      </w:r>
      <w:r>
        <w:rPr>
          <w:rFonts w:ascii="Times New Roman" w:hAnsi="Times New Roman"/>
          <w:color w:val="000000"/>
          <w:sz w:val="24"/>
          <w:szCs w:val="24"/>
        </w:rPr>
        <w:t>)</w:t>
      </w:r>
      <w:r>
        <w:rPr>
          <w:rFonts w:ascii="Times New Roman" w:hAnsi="Times New Roman"/>
          <w:color w:val="000000"/>
          <w:sz w:val="24"/>
          <w:szCs w:val="24"/>
          <w:vertAlign w:val="subscript"/>
        </w:rPr>
        <w:t>3</w:t>
      </w:r>
      <w:r>
        <w:rPr>
          <w:rFonts w:ascii="Times New Roman" w:hAnsi="Times New Roman"/>
          <w:color w:val="000000"/>
          <w:sz w:val="24"/>
          <w:szCs w:val="24"/>
        </w:rPr>
        <w:t>PO</w:t>
      </w:r>
      <w:r>
        <w:rPr>
          <w:rFonts w:ascii="Times New Roman" w:hAnsi="Times New Roman"/>
          <w:color w:val="000000"/>
          <w:sz w:val="24"/>
          <w:szCs w:val="24"/>
          <w:vertAlign w:val="subscript"/>
        </w:rPr>
        <w:t>4</w:t>
      </w:r>
      <w:r>
        <w:rPr>
          <w:rFonts w:ascii="Times New Roman" w:hAnsi="Times New Roman"/>
          <w:color w:val="000000"/>
          <w:sz w:val="24"/>
          <w:szCs w:val="24"/>
        </w:rPr>
        <w:t xml:space="preserve"> (98.0%+), HCl (ACS Grade, 37% in solution), HNO</w:t>
      </w:r>
      <w:r>
        <w:rPr>
          <w:rFonts w:ascii="Times New Roman" w:hAnsi="Times New Roman"/>
          <w:color w:val="000000"/>
          <w:sz w:val="24"/>
          <w:szCs w:val="24"/>
          <w:vertAlign w:val="subscript"/>
        </w:rPr>
        <w:t>3</w:t>
      </w:r>
      <w:r>
        <w:rPr>
          <w:rFonts w:ascii="Times New Roman" w:hAnsi="Times New Roman"/>
          <w:color w:val="000000"/>
          <w:sz w:val="24"/>
          <w:szCs w:val="24"/>
        </w:rPr>
        <w:t xml:space="preserve"> (AR Grade, 68% in solution), HF (AR Grade, 49% in solution), and HClO</w:t>
      </w:r>
      <w:r>
        <w:rPr>
          <w:rFonts w:ascii="Times New Roman" w:hAnsi="Times New Roman"/>
          <w:color w:val="000000"/>
          <w:sz w:val="24"/>
          <w:szCs w:val="24"/>
          <w:vertAlign w:val="subscript"/>
        </w:rPr>
        <w:t>4</w:t>
      </w:r>
      <w:r>
        <w:rPr>
          <w:rFonts w:ascii="Times New Roman" w:hAnsi="Times New Roman"/>
          <w:color w:val="000000"/>
          <w:sz w:val="24"/>
          <w:szCs w:val="24"/>
        </w:rPr>
        <w:t xml:space="preserve"> (AR Grade, 72% in solution) were purchased from Alladin. Polyolefin elastomer (POE) encapsulation film and p</w:t>
      </w:r>
      <w:r>
        <w:rPr>
          <w:rFonts w:ascii="Times New Roman" w:hAnsi="Times New Roman"/>
          <w:bCs/>
          <w:color w:val="000000"/>
          <w:sz w:val="24"/>
          <w:szCs w:val="24"/>
        </w:rPr>
        <w:t>olydimethylsiloxane (PDMS) base and curing agent</w:t>
      </w:r>
      <w:r>
        <w:rPr>
          <w:rFonts w:ascii="Times New Roman" w:hAnsi="Times New Roman"/>
          <w:color w:val="000000"/>
          <w:sz w:val="24"/>
          <w:szCs w:val="24"/>
        </w:rPr>
        <w:t xml:space="preserve"> </w:t>
      </w:r>
      <w:r>
        <w:rPr>
          <w:rFonts w:ascii="Times New Roman" w:hAnsi="Times New Roman"/>
          <w:bCs/>
          <w:color w:val="000000"/>
          <w:sz w:val="24"/>
          <w:szCs w:val="24"/>
        </w:rPr>
        <w:t xml:space="preserve">(model number: Sylgard184) </w:t>
      </w:r>
      <w:r>
        <w:rPr>
          <w:rFonts w:ascii="Times New Roman" w:hAnsi="Times New Roman"/>
          <w:color w:val="000000"/>
          <w:sz w:val="24"/>
          <w:szCs w:val="24"/>
        </w:rPr>
        <w:t>were purchased from</w:t>
      </w:r>
      <w:r>
        <w:rPr>
          <w:rFonts w:ascii="Times New Roman" w:hAnsi="Times New Roman"/>
          <w:bCs/>
          <w:color w:val="000000"/>
          <w:sz w:val="24"/>
          <w:szCs w:val="24"/>
        </w:rPr>
        <w:t xml:space="preserve"> Dow Chemical Corp. Quartz substrates were purchased from Agar Scientific Co. Ltd.  </w:t>
      </w:r>
      <w:r>
        <w:rPr>
          <w:rFonts w:ascii="Times New Roman" w:hAnsi="Times New Roman"/>
          <w:color w:val="000000"/>
          <w:sz w:val="24"/>
          <w:szCs w:val="24"/>
        </w:rPr>
        <w:t>Standard Pb in HNO</w:t>
      </w:r>
      <w:r>
        <w:rPr>
          <w:rFonts w:ascii="Times New Roman" w:hAnsi="Times New Roman"/>
          <w:color w:val="000000"/>
          <w:sz w:val="24"/>
          <w:szCs w:val="24"/>
          <w:vertAlign w:val="subscript"/>
        </w:rPr>
        <w:t>3</w:t>
      </w:r>
      <w:r>
        <w:rPr>
          <w:rFonts w:ascii="Times New Roman" w:hAnsi="Times New Roman"/>
          <w:color w:val="000000"/>
          <w:sz w:val="24"/>
          <w:szCs w:val="24"/>
        </w:rPr>
        <w:t xml:space="preserve"> solution (1000mg·L</w:t>
      </w:r>
      <w:r>
        <w:rPr>
          <w:rFonts w:ascii="Times New Roman" w:hAnsi="Times New Roman"/>
          <w:color w:val="000000"/>
          <w:sz w:val="24"/>
          <w:szCs w:val="24"/>
          <w:vertAlign w:val="superscript"/>
        </w:rPr>
        <w:t>-1</w:t>
      </w:r>
      <w:r>
        <w:rPr>
          <w:rFonts w:ascii="Times New Roman" w:hAnsi="Times New Roman"/>
          <w:color w:val="000000"/>
          <w:sz w:val="24"/>
          <w:szCs w:val="24"/>
        </w:rPr>
        <w:t xml:space="preserve">) was purchased from Merck. </w:t>
      </w:r>
    </w:p>
    <w:p w14:paraId="182A5B0B" w14:textId="77777777" w:rsidR="00801A65" w:rsidRDefault="00801A65" w:rsidP="00801A65">
      <w:pPr>
        <w:suppressAutoHyphens w:val="0"/>
        <w:ind w:firstLine="435"/>
        <w:rPr>
          <w:rFonts w:ascii="Times New Roman" w:hAnsi="Times New Roman"/>
          <w:color w:val="000000"/>
          <w:kern w:val="0"/>
          <w:sz w:val="24"/>
          <w:szCs w:val="24"/>
          <w:lang w:bidi="mn-Mong-CN"/>
        </w:rPr>
      </w:pPr>
    </w:p>
    <w:p w14:paraId="2BF36494" w14:textId="77777777" w:rsidR="00801A65" w:rsidRDefault="00801A65" w:rsidP="00801A65">
      <w:pPr>
        <w:suppressAutoHyphens w:val="0"/>
      </w:pPr>
      <w:r>
        <w:rPr>
          <w:rFonts w:ascii="Times New Roman" w:hAnsi="Times New Roman"/>
          <w:b/>
          <w:bCs/>
          <w:color w:val="000000"/>
          <w:sz w:val="24"/>
          <w:szCs w:val="24"/>
        </w:rPr>
        <w:t>B. Pb Content Measurement</w:t>
      </w:r>
    </w:p>
    <w:p w14:paraId="3366425B" w14:textId="77777777" w:rsidR="00801A65" w:rsidRDefault="00801A65" w:rsidP="00801A65">
      <w:pPr>
        <w:suppressAutoHyphens w:val="0"/>
        <w:ind w:firstLine="437"/>
        <w:rPr>
          <w:rFonts w:ascii="Times New Roman" w:hAnsi="Times New Roman"/>
          <w:color w:val="000000"/>
          <w:sz w:val="24"/>
          <w:szCs w:val="24"/>
        </w:rPr>
      </w:pPr>
      <w:r>
        <w:rPr>
          <w:rFonts w:ascii="Times New Roman" w:hAnsi="Times New Roman"/>
          <w:color w:val="000000"/>
          <w:sz w:val="24"/>
          <w:szCs w:val="24"/>
        </w:rPr>
        <w:t>FAAS is an established technique for determining trace metals, including Pb, because of its selectivity, measurement speed and relatively low cost. The Pb concentration is determined from the absorbance of the selected Pb spectral line after calibration with reference standards. The absorbance is proportional to the Pb concentration in the sample. However, molecular absorption associated with the acetylene flame can interfere with the Pb absorption measurement at 217.0 nm. The interference can reduce the analytical sensitivity. To mitigate the interference associated with the primary line at 217.0 nm, the secondary analytical line at 283.3 nm was selected for Pb detection. The measurement also employed a lean, oxygen-rich flame to reduce the potential interference from Pb atom ionization. The acetylene flow rate was varied between 0.6 L·min</w:t>
      </w:r>
      <w:r>
        <w:rPr>
          <w:rFonts w:ascii="Times New Roman" w:hAnsi="Times New Roman"/>
          <w:color w:val="000000"/>
          <w:sz w:val="24"/>
          <w:szCs w:val="24"/>
          <w:vertAlign w:val="superscript"/>
        </w:rPr>
        <w:t>-1</w:t>
      </w:r>
      <w:r>
        <w:rPr>
          <w:rFonts w:ascii="Times New Roman" w:hAnsi="Times New Roman"/>
          <w:color w:val="000000"/>
          <w:sz w:val="24"/>
          <w:szCs w:val="24"/>
        </w:rPr>
        <w:t xml:space="preserve"> and 1.5 L·min</w:t>
      </w:r>
      <w:r>
        <w:rPr>
          <w:rFonts w:ascii="Times New Roman" w:hAnsi="Times New Roman"/>
          <w:color w:val="000000"/>
          <w:sz w:val="24"/>
          <w:szCs w:val="24"/>
          <w:vertAlign w:val="superscript"/>
        </w:rPr>
        <w:t>-1</w:t>
      </w:r>
      <w:r>
        <w:rPr>
          <w:rFonts w:ascii="Times New Roman" w:hAnsi="Times New Roman"/>
          <w:color w:val="000000"/>
          <w:sz w:val="24"/>
          <w:szCs w:val="24"/>
        </w:rPr>
        <w:t>. The maximum absorbance was observed at 1.0 L·min</w:t>
      </w:r>
      <w:r>
        <w:rPr>
          <w:rFonts w:ascii="Times New Roman" w:hAnsi="Times New Roman"/>
          <w:color w:val="000000"/>
          <w:sz w:val="24"/>
          <w:szCs w:val="24"/>
          <w:vertAlign w:val="superscript"/>
        </w:rPr>
        <w:t>-1</w:t>
      </w:r>
      <w:r>
        <w:rPr>
          <w:rFonts w:ascii="Times New Roman" w:hAnsi="Times New Roman"/>
          <w:color w:val="000000"/>
          <w:sz w:val="24"/>
          <w:szCs w:val="24"/>
        </w:rPr>
        <w:t xml:space="preserve">, which was subsequently used for the analysis. For the Pb quantification, a calibration curve was prepared from standard solutions with known Pb concentrations. The calibration range was selected to cover the expected concentrations in the plant extracts. The absorbance of each standard was measured at the 283.3 nm Pb absorption line under optimized flame conditions. A linear relationship between absorbance and Pb concentration was established across the standard concentration range. The Pb content of each plant extract was then determined from its absorbance under the same instrumental conditions. </w:t>
      </w:r>
    </w:p>
    <w:p w14:paraId="4FD3F000"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SimSun">
    <w:altName w:val="SimSun"/>
    <w:panose1 w:val="00000000000000000000"/>
    <w:charset w:val="86"/>
    <w:family w:val="roman"/>
    <w:notTrueType/>
    <w:pitch w:val="default"/>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A65"/>
    <w:rsid w:val="000F1587"/>
    <w:rsid w:val="00195413"/>
    <w:rsid w:val="003A03A7"/>
    <w:rsid w:val="003D0186"/>
    <w:rsid w:val="007278E4"/>
    <w:rsid w:val="00801A65"/>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C0DA"/>
  <w15:chartTrackingRefBased/>
  <w15:docId w15:val="{7EF1DAAD-72B8-4996-B339-99E751FD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A65"/>
    <w:pPr>
      <w:widowControl w:val="0"/>
      <w:suppressAutoHyphens/>
      <w:spacing w:after="0" w:line="240" w:lineRule="auto"/>
      <w:jc w:val="both"/>
    </w:pPr>
    <w:rPr>
      <w:rFonts w:ascii="Calibri" w:eastAsia="宋体;SimSun" w:hAnsi="Calibri" w:cs="Times New Roman"/>
      <w:sz w:val="21"/>
      <w:szCs w:val="22"/>
      <w:lang w:eastAsia="zh-CN"/>
      <w14:ligatures w14:val="none"/>
    </w:rPr>
  </w:style>
  <w:style w:type="paragraph" w:styleId="Heading1">
    <w:name w:val="heading 1"/>
    <w:basedOn w:val="Normal"/>
    <w:next w:val="Normal"/>
    <w:link w:val="Heading1Char"/>
    <w:uiPriority w:val="9"/>
    <w:qFormat/>
    <w:rsid w:val="00801A65"/>
    <w:pPr>
      <w:keepNext/>
      <w:keepLines/>
      <w:widowControl/>
      <w:suppressAutoHyphens w:val="0"/>
      <w:spacing w:before="360" w:after="80" w:line="278" w:lineRule="auto"/>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01A65"/>
    <w:pPr>
      <w:keepNext/>
      <w:keepLines/>
      <w:widowControl/>
      <w:suppressAutoHyphens w:val="0"/>
      <w:spacing w:before="160" w:after="80" w:line="278" w:lineRule="auto"/>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01A65"/>
    <w:pPr>
      <w:keepNext/>
      <w:keepLines/>
      <w:widowControl/>
      <w:suppressAutoHyphens w:val="0"/>
      <w:spacing w:before="160" w:after="80" w:line="278" w:lineRule="auto"/>
      <w:jc w:val="left"/>
      <w:outlineLvl w:val="2"/>
    </w:pPr>
    <w:rPr>
      <w:rFonts w:asciiTheme="minorHAnsi" w:eastAsiaTheme="majorEastAsia" w:hAnsiTheme="minorHAnsi"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01A65"/>
    <w:pPr>
      <w:keepNext/>
      <w:keepLines/>
      <w:widowControl/>
      <w:suppressAutoHyphens w:val="0"/>
      <w:spacing w:before="80" w:after="40" w:line="278" w:lineRule="auto"/>
      <w:jc w:val="left"/>
      <w:outlineLvl w:val="3"/>
    </w:pPr>
    <w:rPr>
      <w:rFonts w:asciiTheme="minorHAnsi" w:eastAsiaTheme="majorEastAsia" w:hAnsiTheme="minorHAnsi" w:cstheme="majorBidi"/>
      <w:i/>
      <w:iCs/>
      <w:color w:val="0F4761" w:themeColor="accent1" w:themeShade="BF"/>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801A65"/>
    <w:pPr>
      <w:keepNext/>
      <w:keepLines/>
      <w:widowControl/>
      <w:suppressAutoHyphens w:val="0"/>
      <w:spacing w:before="80" w:after="40" w:line="278" w:lineRule="auto"/>
      <w:jc w:val="left"/>
      <w:outlineLvl w:val="4"/>
    </w:pPr>
    <w:rPr>
      <w:rFonts w:asciiTheme="minorHAnsi" w:eastAsiaTheme="majorEastAsia" w:hAnsiTheme="minorHAnsi" w:cstheme="majorBidi"/>
      <w:color w:val="0F4761" w:themeColor="accent1" w:themeShade="BF"/>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801A65"/>
    <w:pPr>
      <w:keepNext/>
      <w:keepLines/>
      <w:widowControl/>
      <w:suppressAutoHyphens w:val="0"/>
      <w:spacing w:before="40" w:line="278" w:lineRule="auto"/>
      <w:jc w:val="left"/>
      <w:outlineLvl w:val="5"/>
    </w:pPr>
    <w:rPr>
      <w:rFonts w:asciiTheme="minorHAnsi" w:eastAsiaTheme="majorEastAsia" w:hAnsiTheme="minorHAnsi" w:cstheme="majorBidi"/>
      <w:i/>
      <w:iCs/>
      <w:color w:val="595959" w:themeColor="text1" w:themeTint="A6"/>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801A65"/>
    <w:pPr>
      <w:keepNext/>
      <w:keepLines/>
      <w:widowControl/>
      <w:suppressAutoHyphens w:val="0"/>
      <w:spacing w:before="40" w:line="278" w:lineRule="auto"/>
      <w:jc w:val="left"/>
      <w:outlineLvl w:val="6"/>
    </w:pPr>
    <w:rPr>
      <w:rFonts w:asciiTheme="minorHAnsi" w:eastAsiaTheme="majorEastAsia" w:hAnsiTheme="minorHAnsi" w:cstheme="majorBidi"/>
      <w:color w:val="595959" w:themeColor="text1" w:themeTint="A6"/>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801A65"/>
    <w:pPr>
      <w:keepNext/>
      <w:keepLines/>
      <w:widowControl/>
      <w:suppressAutoHyphens w:val="0"/>
      <w:spacing w:line="278" w:lineRule="auto"/>
      <w:jc w:val="left"/>
      <w:outlineLvl w:val="7"/>
    </w:pPr>
    <w:rPr>
      <w:rFonts w:asciiTheme="minorHAnsi" w:eastAsiaTheme="majorEastAsia" w:hAnsiTheme="minorHAnsi" w:cstheme="majorBidi"/>
      <w:i/>
      <w:iCs/>
      <w:color w:val="272727" w:themeColor="text1" w:themeTint="D8"/>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801A65"/>
    <w:pPr>
      <w:keepNext/>
      <w:keepLines/>
      <w:widowControl/>
      <w:suppressAutoHyphens w:val="0"/>
      <w:spacing w:line="278" w:lineRule="auto"/>
      <w:jc w:val="left"/>
      <w:outlineLvl w:val="8"/>
    </w:pPr>
    <w:rPr>
      <w:rFonts w:asciiTheme="minorHAnsi" w:eastAsiaTheme="majorEastAsia" w:hAnsiTheme="minorHAnsi" w:cstheme="majorBidi"/>
      <w:color w:val="272727" w:themeColor="text1" w:themeTint="D8"/>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A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A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A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A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A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A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A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A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A65"/>
    <w:rPr>
      <w:rFonts w:eastAsiaTheme="majorEastAsia" w:cstheme="majorBidi"/>
      <w:color w:val="272727" w:themeColor="text1" w:themeTint="D8"/>
    </w:rPr>
  </w:style>
  <w:style w:type="paragraph" w:styleId="Title">
    <w:name w:val="Title"/>
    <w:basedOn w:val="Normal"/>
    <w:next w:val="Normal"/>
    <w:link w:val="TitleChar"/>
    <w:uiPriority w:val="10"/>
    <w:qFormat/>
    <w:rsid w:val="00801A65"/>
    <w:pPr>
      <w:widowControl/>
      <w:suppressAutoHyphens w:val="0"/>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01A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A65"/>
    <w:pPr>
      <w:widowControl/>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801A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A65"/>
    <w:pPr>
      <w:widowControl/>
      <w:suppressAutoHyphens w:val="0"/>
      <w:spacing w:before="160" w:after="160" w:line="278" w:lineRule="auto"/>
      <w:jc w:val="center"/>
    </w:pPr>
    <w:rPr>
      <w:rFonts w:asciiTheme="minorHAnsi" w:eastAsiaTheme="minorHAnsi" w:hAnsiTheme="minorHAnsi" w:cstheme="minorBidi"/>
      <w:i/>
      <w:iCs/>
      <w:color w:val="404040" w:themeColor="text1" w:themeTint="BF"/>
      <w:sz w:val="24"/>
      <w:szCs w:val="24"/>
      <w:lang w:eastAsia="en-US"/>
      <w14:ligatures w14:val="standardContextual"/>
    </w:rPr>
  </w:style>
  <w:style w:type="character" w:customStyle="1" w:styleId="QuoteChar">
    <w:name w:val="Quote Char"/>
    <w:basedOn w:val="DefaultParagraphFont"/>
    <w:link w:val="Quote"/>
    <w:uiPriority w:val="29"/>
    <w:rsid w:val="00801A65"/>
    <w:rPr>
      <w:i/>
      <w:iCs/>
      <w:color w:val="404040" w:themeColor="text1" w:themeTint="BF"/>
    </w:rPr>
  </w:style>
  <w:style w:type="paragraph" w:styleId="ListParagraph">
    <w:name w:val="List Paragraph"/>
    <w:basedOn w:val="Normal"/>
    <w:uiPriority w:val="34"/>
    <w:qFormat/>
    <w:rsid w:val="00801A65"/>
    <w:pPr>
      <w:widowControl/>
      <w:suppressAutoHyphens w:val="0"/>
      <w:spacing w:after="160" w:line="278" w:lineRule="auto"/>
      <w:ind w:left="720"/>
      <w:contextualSpacing/>
      <w:jc w:val="left"/>
    </w:pPr>
    <w:rPr>
      <w:rFonts w:asciiTheme="minorHAnsi" w:eastAsiaTheme="minorHAnsi" w:hAnsiTheme="minorHAnsi" w:cstheme="minorBidi"/>
      <w:sz w:val="24"/>
      <w:szCs w:val="24"/>
      <w:lang w:eastAsia="en-US"/>
      <w14:ligatures w14:val="standardContextual"/>
    </w:rPr>
  </w:style>
  <w:style w:type="character" w:styleId="IntenseEmphasis">
    <w:name w:val="Intense Emphasis"/>
    <w:basedOn w:val="DefaultParagraphFont"/>
    <w:uiPriority w:val="21"/>
    <w:qFormat/>
    <w:rsid w:val="00801A65"/>
    <w:rPr>
      <w:i/>
      <w:iCs/>
      <w:color w:val="0F4761" w:themeColor="accent1" w:themeShade="BF"/>
    </w:rPr>
  </w:style>
  <w:style w:type="paragraph" w:styleId="IntenseQuote">
    <w:name w:val="Intense Quote"/>
    <w:basedOn w:val="Normal"/>
    <w:next w:val="Normal"/>
    <w:link w:val="IntenseQuoteChar"/>
    <w:uiPriority w:val="30"/>
    <w:qFormat/>
    <w:rsid w:val="00801A65"/>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lang w:eastAsia="en-US"/>
      <w14:ligatures w14:val="standardContextual"/>
    </w:rPr>
  </w:style>
  <w:style w:type="character" w:customStyle="1" w:styleId="IntenseQuoteChar">
    <w:name w:val="Intense Quote Char"/>
    <w:basedOn w:val="DefaultParagraphFont"/>
    <w:link w:val="IntenseQuote"/>
    <w:uiPriority w:val="30"/>
    <w:rsid w:val="00801A65"/>
    <w:rPr>
      <w:i/>
      <w:iCs/>
      <w:color w:val="0F4761" w:themeColor="accent1" w:themeShade="BF"/>
    </w:rPr>
  </w:style>
  <w:style w:type="character" w:styleId="IntenseReference">
    <w:name w:val="Intense Reference"/>
    <w:basedOn w:val="DefaultParagraphFont"/>
    <w:uiPriority w:val="32"/>
    <w:qFormat/>
    <w:rsid w:val="00801A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475</Words>
  <Characters>2710</Characters>
  <Application>Microsoft Office Word</Application>
  <DocSecurity>0</DocSecurity>
  <Lines>22</Lines>
  <Paragraphs>6</Paragraphs>
  <ScaleCrop>false</ScaleCrop>
  <Company>Springer Nature</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2026-10-20T06:56:00Z</dcterms:created>
  <dcterms:modified xsi:type="dcterms:W3CDTF">2026-10-20T06:57:00Z</dcterms:modified>
</cp:coreProperties>
</file>