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Times New Roman" w:cs="Times New Roman" w:eastAsia="Times New Roman" w:hAnsi="Times New Roman"/>
          <w:b/>
          <w:bCs/>
          <w:sz w:val="32"/>
          <w:szCs w:val="32"/>
        </w:rPr>
        <w:t xml:space="preserve">Additional file 2</w:t>
      </w:r>
    </w:p>
    <w:p>
      <w:pPr>
        <w:spacing w:after="200" w:line="300"/>
      </w:pPr>
      <w:r>
        <w:rPr>
          <w:rFonts w:ascii="Times New Roman" w:cs="Times New Roman" w:eastAsia="Times New Roman" w:hAnsi="Times New Roman"/>
          <w:b/>
          <w:bCs/>
          <w:sz w:val="26"/>
          <w:szCs w:val="26"/>
        </w:rPr>
        <w:t xml:space="preserve">Prior hormonal contraceptive use and preeclampsia in Angola: a hospital-based, individually matched case–control study</w:t>
      </w:r>
    </w:p>
    <w:p>
      <w:pPr>
        <w:spacing w:after="100" w:line="276"/>
        <w:jc w:val="left"/>
      </w:pPr>
      <w:r>
        <w:rPr>
          <w:rFonts w:ascii="Times New Roman" w:cs="Times New Roman" w:eastAsia="Times New Roman" w:hAnsi="Times New Roman"/>
        </w:rPr>
        <w:t xml:space="preserve">Raúl Fernandes Tchitali, Helvio Pedro, Teresa Lueto, Antonino Kapitão</w:t>
      </w:r>
    </w:p>
    <w:p>
      <w:pPr>
        <w:spacing w:after="100" w:before="240"/>
      </w:pPr>
      <w:r>
        <w:rPr>
          <w:rFonts w:ascii="Times New Roman" w:cs="Times New Roman" w:eastAsia="Times New Roman" w:hAnsi="Times New Roman"/>
          <w:b/>
          <w:bCs/>
        </w:rPr>
        <w:t xml:space="preserve">Contents</w:t>
      </w:r>
    </w:p>
    <w:p>
      <w:pPr>
        <w:spacing w:after="40" w:line="276"/>
        <w:jc w:val="left"/>
      </w:pPr>
      <w:r>
        <w:rPr>
          <w:rFonts w:ascii="Times New Roman" w:cs="Times New Roman" w:eastAsia="Times New Roman" w:hAnsi="Times New Roman"/>
        </w:rPr>
        <w:t xml:space="preserve">Appendix S1. Supplementary methods</w:t>
      </w:r>
    </w:p>
    <w:p>
      <w:pPr>
        <w:spacing w:after="40" w:line="276"/>
        <w:jc w:val="left"/>
      </w:pPr>
      <w:r>
        <w:rPr>
          <w:rFonts w:ascii="Times New Roman" w:cs="Times New Roman" w:eastAsia="Times New Roman" w:hAnsi="Times New Roman"/>
        </w:rPr>
        <w:t xml:space="preserve">Table S1. Deviations from the ethics-approved protocol and statistical analysis plan</w:t>
      </w:r>
    </w:p>
    <w:p>
      <w:pPr>
        <w:spacing w:after="40" w:line="276"/>
        <w:jc w:val="left"/>
      </w:pPr>
      <w:r>
        <w:rPr>
          <w:rFonts w:ascii="Times New Roman" w:cs="Times New Roman" w:eastAsia="Times New Roman" w:hAnsi="Times New Roman"/>
        </w:rPr>
        <w:t xml:space="preserve">Table S2. Firth penalized conditional likelihood estimates: Wald and profile penalized-likelihood confidence intervals</w:t>
      </w:r>
    </w:p>
    <w:p>
      <w:pPr>
        <w:spacing w:after="40" w:line="276"/>
        <w:jc w:val="left"/>
      </w:pPr>
      <w:r>
        <w:rPr>
          <w:rFonts w:ascii="Times New Roman" w:cs="Times New Roman" w:eastAsia="Times New Roman" w:hAnsi="Times New Roman"/>
        </w:rPr>
        <w:t xml:space="preserve">Table S3. Selection-bias scenarios</w:t>
      </w:r>
    </w:p>
    <w:p>
      <w:pPr>
        <w:spacing w:after="40" w:line="276"/>
        <w:jc w:val="left"/>
      </w:pPr>
      <w:r>
        <w:rPr>
          <w:rFonts w:ascii="Times New Roman" w:cs="Times New Roman" w:eastAsia="Times New Roman" w:hAnsi="Times New Roman"/>
        </w:rPr>
        <w:t xml:space="preserve">Table S4. Post hoc bias analysis for the exclusion of women with gestational hypertension from the control pool</w:t>
      </w:r>
    </w:p>
    <w:p>
      <w:pPr>
        <w:spacing w:after="40" w:line="276"/>
        <w:jc w:val="left"/>
      </w:pPr>
      <w:r>
        <w:rPr>
          <w:rFonts w:ascii="Times New Roman" w:cs="Times New Roman" w:eastAsia="Times New Roman" w:hAnsi="Times New Roman"/>
        </w:rPr>
        <w:t xml:space="preserve">Table S5. Method of pregnancy dating, by case status</w:t>
      </w:r>
    </w:p>
    <w:p>
      <w:pPr>
        <w:spacing w:after="40" w:line="276"/>
        <w:jc w:val="left"/>
      </w:pPr>
      <w:r>
        <w:rPr>
          <w:rFonts w:ascii="Times New Roman" w:cs="Times New Roman" w:eastAsia="Times New Roman" w:hAnsi="Times New Roman"/>
        </w:rPr>
        <w:t xml:space="preserve">Table S6. Characteristics of hormonal contraceptive use among exposed cases and controls</w:t>
      </w:r>
    </w:p>
    <w:p>
      <w:pPr>
        <w:spacing w:after="40" w:line="276"/>
        <w:jc w:val="left"/>
      </w:pPr>
      <w:r>
        <w:rPr>
          <w:rFonts w:ascii="Times New Roman" w:cs="Times New Roman" w:eastAsia="Times New Roman" w:hAnsi="Times New Roman"/>
        </w:rPr>
        <w:t xml:space="preserve">Table S7. Full results of the primary conditional logistic regression model (Model 1)</w:t>
      </w:r>
    </w:p>
    <w:p>
      <w:pPr>
        <w:spacing w:after="40" w:line="276"/>
        <w:jc w:val="left"/>
      </w:pPr>
      <w:r>
        <w:rPr>
          <w:rFonts w:ascii="Times New Roman" w:cs="Times New Roman" w:eastAsia="Times New Roman" w:hAnsi="Times New Roman"/>
        </w:rPr>
        <w:t xml:space="preserve">Table S8. Sensitivity analyses</w:t>
      </w:r>
    </w:p>
    <w:p>
      <w:pPr>
        <w:spacing w:after="40" w:line="276"/>
        <w:jc w:val="left"/>
      </w:pPr>
      <w:r>
        <w:rPr>
          <w:rFonts w:ascii="Times New Roman" w:cs="Times New Roman" w:eastAsia="Times New Roman" w:hAnsi="Times New Roman"/>
        </w:rPr>
        <w:t xml:space="preserve">Table S9. Validation substudy</w:t>
      </w:r>
    </w:p>
    <w:p>
      <w:pPr>
        <w:spacing w:after="40" w:line="276"/>
        <w:jc w:val="left"/>
      </w:pPr>
      <w:r>
        <w:rPr>
          <w:rFonts w:ascii="Times New Roman" w:cs="Times New Roman" w:eastAsia="Times New Roman" w:hAnsi="Times New Roman"/>
        </w:rPr>
        <w:t xml:space="preserve">Figure S1. Directed acyclic graph used to select the adjustment set</w:t>
      </w:r>
    </w:p>
    <w:p>
      <w:pPr>
        <w:spacing w:after="40" w:line="276"/>
        <w:jc w:val="left"/>
      </w:pPr>
      <w:r>
        <w:rPr>
          <w:rFonts w:ascii="Times New Roman" w:cs="Times New Roman" w:eastAsia="Times New Roman" w:hAnsi="Times New Roman"/>
        </w:rPr>
        <w:t xml:space="preserve">References</w:t>
      </w:r>
    </w:p>
    <w:p>
      <w:pPr>
        <w:keepNext/>
        <w:pageBreakBefore/>
        <w:spacing w:after="120" w:before="240" w:line="360"/>
      </w:pPr>
      <w:r>
        <w:rPr>
          <w:rFonts w:ascii="Times New Roman" w:cs="Times New Roman" w:eastAsia="Times New Roman" w:hAnsi="Times New Roman"/>
          <w:b/>
          <w:bCs/>
          <w:sz w:val="24"/>
          <w:szCs w:val="24"/>
        </w:rPr>
        <w:t xml:space="preserve">APPENDIX S1. SUPPLEMENTARY METHODS</w:t>
      </w:r>
    </w:p>
    <w:p>
      <w:pPr>
        <w:keepNext/>
        <w:spacing w:after="60" w:before="120" w:line="360"/>
      </w:pPr>
      <w:r>
        <w:rPr>
          <w:rFonts w:ascii="Times New Roman" w:cs="Times New Roman" w:eastAsia="Times New Roman" w:hAnsi="Times New Roman"/>
          <w:b/>
          <w:bCs/>
          <w:i/>
          <w:iCs/>
          <w:sz w:val="24"/>
          <w:szCs w:val="24"/>
        </w:rPr>
        <w:t xml:space="preserve">Full case definition</w:t>
      </w:r>
    </w:p>
    <w:p>
      <w:pPr>
        <w:spacing w:after="100" w:line="276"/>
        <w:jc w:val="left"/>
      </w:pPr>
      <w:r>
        <w:rPr>
          <w:rFonts w:ascii="Times New Roman" w:cs="Times New Roman" w:eastAsia="Times New Roman" w:hAnsi="Times New Roman"/>
        </w:rPr>
        <w:t xml:space="preserve">Preeclampsia was defined according to the 2021 recommendations of the International Society for the Study of Hypertension in Pregnancy (ISSHP)</w:t>
      </w:r>
      <w:r>
        <w:rPr>
          <w:rFonts w:ascii="Times New Roman" w:cs="Times New Roman" w:eastAsia="Times New Roman" w:hAnsi="Times New Roman"/>
          <w:vertAlign w:val="superscript"/>
        </w:rPr>
        <w:t xml:space="preserve">1</w:t>
      </w:r>
      <w:r>
        <w:rPr>
          <w:rFonts w:ascii="Times New Roman" w:cs="Times New Roman" w:eastAsia="Times New Roman" w:hAnsi="Times New Roman"/>
        </w:rPr>
        <w:t xml:space="preserve"> as new-onset hypertension after 20 weeks of gestation in a previously normotensive woman (systolic blood pressure ≥140 mmHg and/or diastolic ≥90 mmHg on at least two measurements at least four hours apart; values ≥160/110 mmHg could be confirmed after 15 minutes) with at least one of: (a) proteinuria – urine protein/creatinine ratio ≥30 mg/mmol (0.3 mg/mg) or 24-hour protein ≥300 mg or, if unavailable, dipstick ≥2+ confirmed on a second midstream sample, with the method recorded; (b) maternal organ dysfunction – creatinine ≥90 µmol/L (≥1 mg/dL); alanine or aspartate aminotransferase &gt;40 IU/L with or without right upper quadrant pain; neurological complications (eclampsia, altered mental status, blindness, hyperreflexia with clonus, severe persistent headache, scotomata); platelet count &lt;150 000/µL, hemolysis or disseminated intravascular coagulation; (c) uteroplacental dysfunction – fetal growth restriction, abnormal umbilical artery Doppler or stillbirth. Superimposed preeclampsia was excluded through the exclusion of chronic hypertension; gestational hypertension alone qualified neither as a case nor as a control (the possible effect of excluding these women from the control pool is examined in Table S4). In this study, on the advice of the study's specialist obstetrician and as a deviation from the protocol (Table S1), only women with confirmed proteinuria (criterion a) were enrolled as cases; organ or uteroplacental dysfunction without proteinuria (criteria b and c alone) was not sufficient for enrollment. Severe features: blood pressure ≥160/110 mmHg, eclampsia, HELLP syndrome or severe organ dysfunction.</w:t>
      </w:r>
    </w:p>
    <w:p>
      <w:pPr>
        <w:keepNext/>
        <w:spacing w:after="60" w:before="120" w:line="360"/>
      </w:pPr>
      <w:r>
        <w:rPr>
          <w:rFonts w:ascii="Times New Roman" w:cs="Times New Roman" w:eastAsia="Times New Roman" w:hAnsi="Times New Roman"/>
          <w:b/>
          <w:bCs/>
          <w:i/>
          <w:iCs/>
          <w:sz w:val="24"/>
          <w:szCs w:val="24"/>
        </w:rPr>
        <w:t xml:space="preserve">Eligibility</w:t>
      </w:r>
    </w:p>
    <w:p>
      <w:pPr>
        <w:spacing w:after="100" w:line="276"/>
        <w:jc w:val="left"/>
      </w:pPr>
      <w:r>
        <w:rPr>
          <w:rFonts w:ascii="Times New Roman" w:cs="Times New Roman" w:eastAsia="Times New Roman" w:hAnsi="Times New Roman"/>
        </w:rPr>
        <w:t xml:space="preserve">Inclusion: age 16–49 years; ≥20 completed weeks of gestation; residence in Benguela province for ≥12 months; written informed consent (assent plus consent of a legal representative for participants younger than 18 years). Exclusion: chronic hypertension (previous diagnosis, previous antihypertensive use, or documented blood pressure ≥140/90 mmHg before 20 weeks); pregestational diabetes; chronic kidney disease or systemic autoimmune disease; multiple pregnancy; pregnancy after assisted reproduction; inability to be interviewed after clinical stabilization with no legal representative available; refusal. Controls admitted for conditions directly related to contraceptive use were not eligible.</w:t>
      </w:r>
    </w:p>
    <w:p>
      <w:pPr>
        <w:keepNext/>
        <w:spacing w:after="60" w:before="120" w:line="360"/>
      </w:pPr>
      <w:r>
        <w:rPr>
          <w:rFonts w:ascii="Times New Roman" w:cs="Times New Roman" w:eastAsia="Times New Roman" w:hAnsi="Times New Roman"/>
          <w:b/>
          <w:bCs/>
          <w:i/>
          <w:iCs/>
          <w:sz w:val="24"/>
          <w:szCs w:val="24"/>
        </w:rPr>
        <w:t xml:space="preserve">Control sampling</w:t>
      </w:r>
    </w:p>
    <w:p>
      <w:pPr>
        <w:spacing w:after="100" w:line="276"/>
        <w:jc w:val="left"/>
      </w:pPr>
      <w:r>
        <w:rPr>
          <w:rFonts w:ascii="Times New Roman" w:cs="Times New Roman" w:eastAsia="Times New Roman" w:hAnsi="Times New Roman"/>
        </w:rPr>
        <w:t xml:space="preserve">The sampling frame was an electronic, time-stamped list of all eligible pregnant women attending the antenatal clinic, obstetric emergency department or maternity ward each day, closed daily at the same time and recording only the matching variables and municipality. For each confirmed case, candidates were women on the list within ±7 days of the index date, age ±3 years, same parity group (nulliparous; 1–2; ≥3 births), gestational age ±2 weeks at the index date, meeting all eligibility criteria and not previously sampled. Candidates were ordered with a random number generator (R script, seed recorded and archived) by a person not involved in interviews and without access to exposure data; the first two were approached and, after refusal or ineligibility, the next on the list, with every replacement logged. Relaxation hierarchy when fewer than two candidates were available: age ±5 years, then gestational age ±3 weeks, then calendar window ±14 days; parity group was never relaxed; a set with one control remained valid. The complete draw (candidates, random numbers, results) was archived for audit.</w:t>
      </w:r>
    </w:p>
    <w:p>
      <w:pPr>
        <w:keepNext/>
        <w:spacing w:after="60" w:before="120" w:line="360"/>
      </w:pPr>
      <w:r>
        <w:rPr>
          <w:rFonts w:ascii="Times New Roman" w:cs="Times New Roman" w:eastAsia="Times New Roman" w:hAnsi="Times New Roman"/>
          <w:b/>
          <w:bCs/>
          <w:i/>
          <w:iCs/>
          <w:sz w:val="24"/>
          <w:szCs w:val="24"/>
        </w:rPr>
        <w:t xml:space="preserve">Exposure definitions</w:t>
      </w:r>
    </w:p>
    <w:p>
      <w:pPr>
        <w:spacing w:after="100" w:line="276"/>
        <w:jc w:val="left"/>
      </w:pPr>
      <w:r>
        <w:rPr>
          <w:rFonts w:ascii="Times New Roman" w:cs="Times New Roman" w:eastAsia="Times New Roman" w:hAnsi="Times New Roman"/>
        </w:rPr>
        <w:t xml:space="preserve">Hormonal contraceptive use: ≥1 month of use (≥1 injection; ≥1 cycle of pill, patch or ring; implant or levonorgestrel intrauterine system inserted) before the last menstrual period (LMP) of the index pregnancy; emergency contraception recorded separately. End of coverage: depot medroxyprogesterone acetate (DMPA), date of last injection + 13 weeks; pill, patch or ring, date of last use or cycle; implant and intrauterine system, date of removal. Interval since discontinuation: estimated conception date (LMP + 14 days) minus end of coverage. Exposure after the LMP was recorded. Each exposure item was classified as documented (family planning card, antenatal card or family planning register) or self-reported only.</w:t>
      </w:r>
    </w:p>
    <w:p>
      <w:pPr>
        <w:keepNext/>
        <w:spacing w:after="60" w:before="120" w:line="360"/>
      </w:pPr>
      <w:r>
        <w:rPr>
          <w:rFonts w:ascii="Times New Roman" w:cs="Times New Roman" w:eastAsia="Times New Roman" w:hAnsi="Times New Roman"/>
          <w:b/>
          <w:bCs/>
          <w:i/>
          <w:iCs/>
          <w:sz w:val="24"/>
          <w:szCs w:val="24"/>
        </w:rPr>
        <w:t xml:space="preserve">Interviews and quality control</w:t>
      </w:r>
    </w:p>
    <w:p>
      <w:pPr>
        <w:spacing w:after="100" w:line="276"/>
        <w:jc w:val="left"/>
      </w:pPr>
      <w:r>
        <w:rPr>
          <w:rFonts w:ascii="Times New Roman" w:cs="Times New Roman" w:eastAsia="Times New Roman" w:hAnsi="Times New Roman"/>
        </w:rPr>
        <w:t xml:space="preserve">All interviews were conducted by five trained midwives or nurses. Interviewers received two days of training with certification. Consent was obtained by a person other than the interviewer. Interviews took place in a private room without partner or relatives present; 10% were audio-recorded with consent. Clinical record abstraction was performed by a person other than the interviewer; 10% of abstractions were repeated and 5% of participants re-interviewed by telephone. Plausibility ranges were predefined (eg age 16–49 years; systolic 70–260 and diastolic 40–160 mmHg; body mass index [BMI] 14–60 kg/m²; height 130–200 cm; duration of use ≤(age − 12) × 12 months); out-of-range values triggered verification at source. Statistical outliers were identified with Tukey's criteria; no value was deleted for being atypical, and winsorization was not used. Cleaning decisions were made blind to exposure–outcome tables and logged.</w:t>
      </w:r>
    </w:p>
    <w:p>
      <w:pPr>
        <w:keepNext/>
        <w:spacing w:after="60" w:before="120" w:line="360"/>
      </w:pPr>
      <w:r>
        <w:rPr>
          <w:rFonts w:ascii="Times New Roman" w:cs="Times New Roman" w:eastAsia="Times New Roman" w:hAnsi="Times New Roman"/>
          <w:b/>
          <w:bCs/>
          <w:i/>
          <w:iCs/>
          <w:sz w:val="24"/>
          <w:szCs w:val="24"/>
        </w:rPr>
        <w:t xml:space="preserve">Modeling details</w:t>
      </w:r>
    </w:p>
    <w:p>
      <w:pPr>
        <w:spacing w:after="100" w:line="276"/>
        <w:jc w:val="left"/>
      </w:pPr>
      <w:r>
        <w:rPr>
          <w:rFonts w:ascii="Times New Roman" w:cs="Times New Roman" w:eastAsia="Times New Roman" w:hAnsi="Times New Roman"/>
        </w:rPr>
        <w:t xml:space="preserve">Conditional logistic regression maximized the exact conditional likelihood for 1:2 matched sets (one case per set). Restricted cubic splines used three knots at the 10th, 50th and 90th percentiles: BMI 20.7, 25.4 and 30.0 kg/m²; duration among users 7.5, 30.0 and 68.0 months. Firth's penalty added one half of the log-determinant of the observed information to the conditional log-likelihood; for Firth estimates, 95% confidence intervals (CIs) and p values were obtained from the profile penalized likelihood,</w:t>
      </w:r>
      <w:r>
        <w:rPr>
          <w:rFonts w:ascii="Times New Roman" w:cs="Times New Roman" w:eastAsia="Times New Roman" w:hAnsi="Times New Roman"/>
          <w:vertAlign w:val="superscript"/>
        </w:rPr>
        <w:t xml:space="preserve">3</w:t>
      </w:r>
      <w:r>
        <w:rPr>
          <w:rFonts w:ascii="Times New Roman" w:cs="Times New Roman" w:eastAsia="Times New Roman" w:hAnsi="Times New Roman"/>
        </w:rPr>
        <w:t xml:space="preserve"> with the penalty computed from the full information matrix (Table S2). Influence was assessed by deleting each of the 495 observations in turn (deleting a case removes its set). Covariates without within-set variation in a restricted subset would have been dropped; none was. For the extended model, interpregnancy interval was coded as &lt;24 months, ≥24 months or nulliparous (not applicable). Multiple imputation (20 data sets, 10 cycles each) used multinomial logistic regression for physical activity and predictive mean matching (five donors) for interpregnancy interval, with parameter uncertainty propagated by bootstrap; imputation models included case status, exposure, age, parity, gestational age, BMI, family history, previous preeclampsia, education and residence.</w:t>
      </w:r>
    </w:p>
    <w:p>
      <w:pPr>
        <w:keepNext/>
        <w:spacing w:after="60" w:before="120" w:line="360"/>
      </w:pPr>
      <w:r>
        <w:rPr>
          <w:rFonts w:ascii="Times New Roman" w:cs="Times New Roman" w:eastAsia="Times New Roman" w:hAnsi="Times New Roman"/>
          <w:b/>
          <w:bCs/>
          <w:i/>
          <w:iCs/>
          <w:sz w:val="24"/>
          <w:szCs w:val="24"/>
        </w:rPr>
        <w:t xml:space="preserve">Quantitative bias analysis</w:t>
      </w:r>
    </w:p>
    <w:p>
      <w:pPr>
        <w:spacing w:after="100" w:line="276"/>
        <w:jc w:val="left"/>
      </w:pPr>
      <w:r>
        <w:rPr>
          <w:rFonts w:ascii="Times New Roman" w:cs="Times New Roman" w:eastAsia="Times New Roman" w:hAnsi="Times New Roman"/>
        </w:rPr>
        <w:t xml:space="preserve">For each of 2000 iterations, sensitivity and specificity were drawn from Beta(x+1, n−x+1) distributions based on the validation substudy (pooled for the non-differential scenario, by case status for the differential scenario). The true exposure prevalence in cases and in controls was back-calculated, positive and negative predictive values were derived and each participant's exposure was re-sampled; Model 1 was refitted and random error was added by drawing from the normal distribution of the estimated coefficient. Iterations yielding impossible values were discarded. The fixed worst-case scenario (1000 iterations) assumed sensitivity 0.95 and specificity 0.98 in cases and sensitivity 0.80 and specificity 0.98 in controls. E-values were computed treating the odds ratio (OR) as a rate ratio, as justified by incidence-density sampling.</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Selection bias was explored by dividing the adjusted OR and its confidence limits by bias factors of 0.8–1.5 (Table S3).</w:t>
      </w:r>
    </w:p>
    <w:p>
      <w:pPr>
        <w:spacing w:after="100" w:line="276"/>
        <w:jc w:val="left"/>
      </w:pPr>
      <w:r>
        <w:rPr>
          <w:rFonts w:ascii="Times New Roman" w:cs="Times New Roman" w:eastAsia="Times New Roman" w:hAnsi="Times New Roman"/>
        </w:rPr>
        <w:t xml:space="preserve">Post hoc, a deterministic bias analysis examined the exclusion of women with gestational hypertension (without preeclampsia at the index date) from the control pool, since under incidence-density sampling these women belonged to the risk set. With f the assumed share of the risk set made up by these women and p_gh their assumed prevalence of prior hormonal contraceptive use, the exposure prevalence in a control group sampled from the full risk set would be p∗ = (1 − f) × p0 + f × p_gh, where p0 = 0.188 is the prevalence among enrolled controls. The bias factor odds(p∗)/odds(p0) was used to divide the adjusted OR and both confidence limits (Table S4). These women were not interviewed, so no data on them were used.</w:t>
      </w:r>
    </w:p>
    <w:p>
      <w:pPr>
        <w:keepNext/>
        <w:pageBreakBefore/>
        <w:spacing w:after="120" w:before="120" w:line="276"/>
      </w:pPr>
      <w:r>
        <w:rPr>
          <w:rFonts w:ascii="Times New Roman" w:cs="Times New Roman" w:eastAsia="Times New Roman" w:hAnsi="Times New Roman"/>
          <w:b/>
          <w:bCs/>
        </w:rPr>
        <w:t xml:space="preserve">Table S1.</w:t>
      </w:r>
      <w:r>
        <w:rPr>
          <w:rFonts w:ascii="Times New Roman" w:cs="Times New Roman" w:eastAsia="Times New Roman" w:hAnsi="Times New Roman"/>
        </w:rPr>
        <w:t xml:space="preserve"> Deviations from the ethics-approved protocol and statistical analysis plan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26"/>
      </w:tblGrid>
      <w:tr>
        <w:trPr>
          <w:tblHeader/>
        </w:trPr>
        <w:tc>
          <w:tcPr>
            <w:tcW w:type="dxa" w:w="30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18"/>
                <w:szCs w:val="18"/>
              </w:rPr>
              <w:t xml:space="preserve">Protocol/statistical analysis plan</w:t>
            </w:r>
          </w:p>
        </w:tc>
        <w:tc>
          <w:tcPr>
            <w:tcW w:type="dxa" w:w="30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18"/>
                <w:szCs w:val="18"/>
              </w:rPr>
              <w:t xml:space="preserve">Implemented</w:t>
            </w:r>
          </w:p>
        </w:tc>
        <w:tc>
          <w:tcPr>
            <w:tcW w:type="dxa" w:w="3026"/>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18"/>
                <w:szCs w:val="18"/>
              </w:rPr>
              <w:t xml:space="preserve">Reason</w:t>
            </w:r>
          </w:p>
        </w:tc>
      </w:tr>
      <w:tr>
        <w:trPr>
          <w:cantSplit/>
        </w:trPr>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Software: R (survival::clogit) or equivalent</w:t>
            </w:r>
          </w:p>
        </w:tc>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Python 3.13 (custom conditional likelihood verified against statsmodels ConditionalLogit)</w:t>
            </w:r>
          </w:p>
        </w:tc>
        <w:tc>
          <w:tcPr>
            <w:tcW w:type="dxa" w:w="30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Equivalent method; permitted by the protocol ("or equivalent")</w:t>
            </w:r>
          </w:p>
        </w:tc>
      </w:tr>
      <w:tr>
        <w:trPr>
          <w:cantSplit/>
        </w:trPr>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Sensitivity analysis with BMI at enrollment</w:t>
            </w:r>
          </w:p>
        </w:tc>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Not performed</w:t>
            </w:r>
          </w:p>
        </w:tc>
        <w:tc>
          <w:tcPr>
            <w:tcW w:type="dxa" w:w="30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Enrollment weight was not entered in the final dataset; the analysis was specified as informative only</w:t>
            </w:r>
          </w:p>
        </w:tc>
      </w:tr>
      <w:tr>
        <w:trPr>
          <w:cantSplit/>
        </w:trPr>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Exclusion of minors and referred cases (combined)</w:t>
            </w:r>
          </w:p>
        </w:tc>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Also reported separately</w:t>
            </w:r>
          </w:p>
        </w:tc>
        <w:tc>
          <w:tcPr>
            <w:tcW w:type="dxa" w:w="30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Post hoc decomposition to identify the source of attenuation</w:t>
            </w:r>
          </w:p>
        </w:tc>
      </w:tr>
      <w:tr>
        <w:trPr>
          <w:cantSplit/>
        </w:trPr>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Duration per 12 months</w:t>
            </w:r>
          </w:p>
        </w:tc>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Additional model including an ever-use indicator</w:t>
            </w:r>
          </w:p>
        </w:tc>
        <w:tc>
          <w:tcPr>
            <w:tcW w:type="dxa" w:w="30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Post hoc, to separate dose–response among users from the ever–never contrast</w:t>
            </w:r>
          </w:p>
        </w:tc>
      </w:tr>
      <w:tr>
        <w:trPr>
          <w:cantSplit/>
        </w:trPr>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Model 1 with ≥15 events per parameter</w:t>
            </w:r>
          </w:p>
        </w:tc>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13.8 events per parameter (12 parameters)</w:t>
            </w:r>
          </w:p>
        </w:tc>
        <w:tc>
          <w:tcPr>
            <w:tcW w:type="dxa" w:w="30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Education modeled with four categories as specified; Firth estimate reported as a check</w:t>
            </w:r>
          </w:p>
        </w:tc>
      </w:tr>
      <w:tr>
        <w:trPr>
          <w:cantSplit/>
        </w:trPr>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Recruitment for a minimum of 12 months (maximum 18), until the target sample size was reached</w:t>
            </w:r>
          </w:p>
        </w:tc>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Recruitment from January to June 2026 (six months)</w:t>
            </w:r>
          </w:p>
        </w:tc>
        <w:tc>
          <w:tcPr>
            <w:tcW w:type="dxa" w:w="30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Recruitment stopped when the target of 165 cases and 330 controls had been reached, before the planned minimum of 12 months, because more incident cases than anticipated were diagnosed; seasonal variation in recruitment cannot be excluded</w:t>
            </w:r>
          </w:p>
        </w:tc>
      </w:tr>
      <w:tr>
        <w:trPr>
          <w:cantSplit/>
        </w:trPr>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Case definition: 2021 ISSHP criteria, including diagnosis by maternal organ or uteroplacental dysfunction without proteinuria</w:t>
            </w:r>
          </w:p>
        </w:tc>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Only women with confirmed proteinuria were enrolled as cases</w:t>
            </w:r>
          </w:p>
        </w:tc>
        <w:tc>
          <w:tcPr>
            <w:tcW w:type="dxa" w:w="30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Advice of the study's specialist obstetrician, to reduce outcome misclassification; proteinuria is the standard investigation at Hospital Geral de Benguela in pregnant women with signs of preeclampsia</w:t>
            </w:r>
          </w:p>
        </w:tc>
      </w:tr>
      <w:tr>
        <w:trPr>
          <w:cantSplit/>
        </w:trPr>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Preparation (three months) and training and pilot (one month) before recruitment</w:t>
            </w:r>
          </w:p>
        </w:tc>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About two months between ethics approval (October 30, 2025) and the start of recruitment (January 2026)</w:t>
            </w:r>
          </w:p>
        </w:tc>
        <w:tc>
          <w:tcPr>
            <w:tcW w:type="dxa" w:w="30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Interviewer training and testing of study procedures had been completed before formal ethics approval, with authorization from the hospital, so recruitment could start about two months after approval</w:t>
            </w:r>
          </w:p>
        </w:tc>
      </w:tr>
      <w:tr>
        <w:trPr>
          <w:cantSplit/>
        </w:trPr>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Pilot study of about 10 cases and 20 controls</w:t>
            </w:r>
          </w:p>
        </w:tc>
        <w:tc>
          <w:tcPr>
            <w:tcW w:type="dxa" w:w="3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11 cases and 19 controls, not included in the analysis</w:t>
            </w:r>
          </w:p>
        </w:tc>
        <w:tc>
          <w:tcPr>
            <w:tcW w:type="dxa" w:w="30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The protocol specified an approximate size; pilot participants were not analyzed</w:t>
            </w:r>
          </w:p>
        </w:tc>
      </w:tr>
      <w:tr>
        <w:trPr>
          <w:cantSplit/>
        </w:trPr>
        <w:tc>
          <w:tcPr>
            <w:tcW w:type="dxa" w:w="30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Prespecified analyses only</w:t>
            </w:r>
          </w:p>
        </w:tc>
        <w:tc>
          <w:tcPr>
            <w:tcW w:type="dxa" w:w="30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Post hoc deterministic bias analysis for the exclusion of women with gestational hypertension from the control pool (Table S4); profile penalized-likelihood CIs for Firth estimates</w:t>
            </w:r>
          </w:p>
        </w:tc>
        <w:tc>
          <w:tcPr>
            <w:tcW w:type="dxa" w:w="3026"/>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Requested during internal review; labeled as post hoc</w:t>
            </w:r>
          </w:p>
        </w:tc>
      </w:tr>
    </w:tbl>
    <w:p>
      <w:pPr>
        <w:spacing w:after="80" w:before="80" w:line="240"/>
      </w:pPr>
      <w:r>
        <w:rPr>
          <w:rFonts w:ascii="Times New Roman" w:cs="Times New Roman" w:eastAsia="Times New Roman" w:hAnsi="Times New Roman"/>
          <w:sz w:val="20"/>
          <w:szCs w:val="20"/>
        </w:rPr>
        <w:t xml:space="preserve">BMI, body mass index; CI, confidence interval; ISSHP, International Society for the Study of Hypertension in Pregnancy.</w:t>
      </w:r>
    </w:p>
    <w:p>
      <w:pPr>
        <w:keepNext/>
        <w:pageBreakBefore/>
        <w:spacing w:after="120" w:before="120" w:line="276"/>
      </w:pPr>
      <w:r>
        <w:rPr>
          <w:rFonts w:ascii="Times New Roman" w:cs="Times New Roman" w:eastAsia="Times New Roman" w:hAnsi="Times New Roman"/>
          <w:b/>
          <w:bCs/>
        </w:rPr>
        <w:t xml:space="preserve">Table S2.</w:t>
      </w:r>
      <w:r>
        <w:rPr>
          <w:rFonts w:ascii="Times New Roman" w:cs="Times New Roman" w:eastAsia="Times New Roman" w:hAnsi="Times New Roman"/>
        </w:rPr>
        <w:t xml:space="preserve"> Firth penalized conditional likelihood estimates: Wald and profile penalized-likelihood confidence intervals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26"/>
        <w:gridCol w:w="1000"/>
        <w:gridCol w:w="1500"/>
        <w:gridCol w:w="2000"/>
        <w:gridCol w:w="1500"/>
      </w:tblGrid>
      <w:tr>
        <w:trPr>
          <w:tblHeader/>
        </w:trPr>
        <w:tc>
          <w:tcPr>
            <w:tcW w:type="dxa" w:w="3026"/>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20"/>
                <w:szCs w:val="20"/>
              </w:rPr>
              <w:t xml:space="preserve">Model</w:t>
            </w:r>
          </w:p>
        </w:tc>
        <w:tc>
          <w:tcPr>
            <w:tcW w:type="dxa" w:w="10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20"/>
                <w:szCs w:val="20"/>
              </w:rPr>
              <w:t xml:space="preserve">OR</w:t>
            </w:r>
          </w:p>
        </w:tc>
        <w:tc>
          <w:tcPr>
            <w:tcW w:type="dxa" w:w="15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20"/>
                <w:szCs w:val="20"/>
              </w:rPr>
              <w:t xml:space="preserve">Wald 95% CI</w:t>
            </w:r>
          </w:p>
        </w:tc>
        <w:tc>
          <w:tcPr>
            <w:tcW w:type="dxa" w:w="20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20"/>
                <w:szCs w:val="20"/>
              </w:rPr>
              <w:t xml:space="preserve">Profile penalized-likelihood 95% CI</w:t>
            </w:r>
          </w:p>
        </w:tc>
        <w:tc>
          <w:tcPr>
            <w:tcW w:type="dxa" w:w="15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20"/>
                <w:szCs w:val="20"/>
              </w:rPr>
              <w:t xml:space="preserve">Likelihood-ratio p</w:t>
            </w:r>
          </w:p>
        </w:tc>
      </w:tr>
      <w:tr>
        <w:trPr>
          <w:cantSplit/>
        </w:trPr>
        <w:tc>
          <w:tcPr>
            <w:tcW w:type="dxa" w:w="30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Primary model (Model 1), Firth</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2.12</w:t>
            </w:r>
          </w:p>
        </w:tc>
        <w:tc>
          <w:tcPr>
            <w:tcW w:type="dxa" w:w="1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1.31–3.44</w:t>
            </w:r>
          </w:p>
        </w:tc>
        <w:tc>
          <w:tcPr>
            <w:tcW w:type="dxa" w:w="2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1.33–3.44</w:t>
            </w:r>
          </w:p>
        </w:tc>
        <w:tc>
          <w:tcPr>
            <w:tcW w:type="dxa" w:w="1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0.0016</w:t>
            </w:r>
          </w:p>
        </w:tc>
      </w:tr>
      <w:tr>
        <w:trPr>
          <w:cantSplit/>
        </w:trPr>
        <w:tc>
          <w:tcPr>
            <w:tcW w:type="dxa" w:w="3026"/>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Active comparator (63 informative sets), Firth</w:t>
            </w:r>
          </w:p>
        </w:tc>
        <w:tc>
          <w:tcPr>
            <w:tcW w:type="dxa" w:w="10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1.68</w:t>
            </w:r>
          </w:p>
        </w:tc>
        <w:tc>
          <w:tcPr>
            <w:tcW w:type="dxa" w:w="15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0.68–4.12</w:t>
            </w:r>
          </w:p>
        </w:tc>
        <w:tc>
          <w:tcPr>
            <w:tcW w:type="dxa" w:w="20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0.73–4.11</w:t>
            </w:r>
          </w:p>
        </w:tc>
        <w:tc>
          <w:tcPr>
            <w:tcW w:type="dxa" w:w="15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0.23</w:t>
            </w:r>
          </w:p>
        </w:tc>
      </w:tr>
    </w:tbl>
    <w:p>
      <w:pPr>
        <w:spacing w:after="80" w:before="80" w:line="240"/>
      </w:pPr>
      <w:r>
        <w:rPr>
          <w:rFonts w:ascii="Times New Roman" w:cs="Times New Roman" w:eastAsia="Times New Roman" w:hAnsi="Times New Roman"/>
          <w:sz w:val="20"/>
          <w:szCs w:val="20"/>
        </w:rPr>
        <w:t xml:space="preserve">Profile penalized-likelihood intervals</w:t>
      </w:r>
      <w:r>
        <w:rPr>
          <w:rFonts w:ascii="Times New Roman" w:cs="Times New Roman" w:eastAsia="Times New Roman" w:hAnsi="Times New Roman"/>
          <w:sz w:val="20"/>
          <w:szCs w:val="20"/>
          <w:vertAlign w:val="superscript"/>
        </w:rPr>
        <w:t xml:space="preserve">3</w:t>
      </w:r>
      <w:r>
        <w:rPr>
          <w:rFonts w:ascii="Times New Roman" w:cs="Times New Roman" w:eastAsia="Times New Roman" w:hAnsi="Times New Roman"/>
          <w:sz w:val="20"/>
          <w:szCs w:val="20"/>
        </w:rPr>
        <w:t xml:space="preserve"> are reported in the main text. CI, confidence interval; OR, odds ratio.</w:t>
      </w:r>
    </w:p>
    <w:p>
      <w:pPr>
        <w:keepNext/>
        <w:pageBreakBefore/>
        <w:spacing w:after="120" w:before="120" w:line="276"/>
      </w:pPr>
      <w:r>
        <w:rPr>
          <w:rFonts w:ascii="Times New Roman" w:cs="Times New Roman" w:eastAsia="Times New Roman" w:hAnsi="Times New Roman"/>
          <w:b/>
          <w:bCs/>
        </w:rPr>
        <w:t xml:space="preserve">Table S3.</w:t>
      </w:r>
      <w:r>
        <w:rPr>
          <w:rFonts w:ascii="Times New Roman" w:cs="Times New Roman" w:eastAsia="Times New Roman" w:hAnsi="Times New Roman"/>
        </w:rPr>
        <w:t xml:space="preserve"> Selection-bias scenarios: adjusted OR corrected for a range of selection bias factors</w:t>
      </w:r>
    </w:p>
    <w:tbl>
      <w:tblPr>
        <w:tblW w:type="dxa" w:w="7000"/>
        <w:tblBorders>
          <w:top w:val="single" w:color="auto" w:sz="4"/>
          <w:left w:val="single" w:color="auto" w:sz="4"/>
          <w:bottom w:val="single" w:color="auto" w:sz="4"/>
          <w:right w:val="single" w:color="auto" w:sz="4"/>
          <w:insideH w:val="single" w:color="auto" w:sz="4"/>
          <w:insideV w:val="single" w:color="auto" w:sz="4"/>
        </w:tblBorders>
      </w:tblPr>
      <w:tblGrid>
        <w:gridCol w:w="3500"/>
        <w:gridCol w:w="3500"/>
      </w:tblGrid>
      <w:tr>
        <w:trPr>
          <w:tblHeader/>
        </w:trPr>
        <w:tc>
          <w:tcPr>
            <w:tcW w:type="dxa" w:w="35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20"/>
                <w:szCs w:val="20"/>
              </w:rPr>
              <w:t xml:space="preserve">Selection bias factor</w:t>
            </w:r>
          </w:p>
        </w:tc>
        <w:tc>
          <w:tcPr>
            <w:tcW w:type="dxa" w:w="35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20"/>
                <w:szCs w:val="20"/>
              </w:rPr>
              <w:t xml:space="preserve">Corrected OR (95% CI)</w:t>
            </w:r>
          </w:p>
        </w:tc>
      </w:tr>
      <w:tr>
        <w:trPr>
          <w:cantSplit/>
        </w:trPr>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0.8</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2.74 (1.69–4.46)</w:t>
            </w:r>
          </w:p>
        </w:tc>
      </w:tr>
      <w:tr>
        <w:trPr>
          <w:cantSplit/>
        </w:trPr>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0.9</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2.44 (1.50–3.96)</w:t>
            </w:r>
          </w:p>
        </w:tc>
      </w:tr>
      <w:tr>
        <w:trPr>
          <w:cantSplit/>
        </w:trPr>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1.1</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1.99 (1.23–3.24)</w:t>
            </w:r>
          </w:p>
        </w:tc>
      </w:tr>
      <w:tr>
        <w:trPr>
          <w:cantSplit/>
        </w:trPr>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1.25</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1.75 (1.08–2.85)</w:t>
            </w:r>
          </w:p>
        </w:tc>
      </w:tr>
      <w:tr>
        <w:trPr>
          <w:cantSplit/>
        </w:trPr>
        <w:tc>
          <w:tcPr>
            <w:tcW w:type="dxa" w:w="35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1.5</w:t>
            </w:r>
          </w:p>
        </w:tc>
        <w:tc>
          <w:tcPr>
            <w:tcW w:type="dxa" w:w="35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1.46 (0.90–2.38)</w:t>
            </w:r>
          </w:p>
        </w:tc>
      </w:tr>
    </w:tbl>
    <w:p>
      <w:pPr>
        <w:spacing w:after="80" w:before="80" w:line="240"/>
      </w:pPr>
      <w:r>
        <w:rPr>
          <w:rFonts w:ascii="Times New Roman" w:cs="Times New Roman" w:eastAsia="Times New Roman" w:hAnsi="Times New Roman"/>
          <w:sz w:val="20"/>
          <w:szCs w:val="20"/>
        </w:rPr>
        <w:t xml:space="preserve">The bias factor is the ratio of the selection odds of exposed to unexposed cases divided by the same ratio in controls; values &gt;1 indicate that selection inflated the observed OR. Corrected OR = observed adjusted OR (2.19, 95% CI 1.35–3.57) / bias factor. CI, confidence interval; OR, odds ratio.</w:t>
      </w:r>
    </w:p>
    <w:p>
      <w:pPr>
        <w:keepNext/>
        <w:pageBreakBefore/>
        <w:spacing w:after="120" w:before="120" w:line="276"/>
      </w:pPr>
      <w:r>
        <w:rPr>
          <w:rFonts w:ascii="Times New Roman" w:cs="Times New Roman" w:eastAsia="Times New Roman" w:hAnsi="Times New Roman"/>
          <w:b/>
          <w:bCs/>
        </w:rPr>
        <w:t xml:space="preserve">Table S4.</w:t>
      </w:r>
      <w:r>
        <w:rPr>
          <w:rFonts w:ascii="Times New Roman" w:cs="Times New Roman" w:eastAsia="Times New Roman" w:hAnsi="Times New Roman"/>
        </w:rPr>
        <w:t xml:space="preserve"> Post hoc bias analysis for the exclusion of women with gestational hypertension from the control pool: corrected adjusted OR (95% CI) by scenario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26"/>
        <w:gridCol w:w="1250"/>
        <w:gridCol w:w="1250"/>
        <w:gridCol w:w="1250"/>
        <w:gridCol w:w="1250"/>
        <w:gridCol w:w="1250"/>
        <w:gridCol w:w="1150"/>
      </w:tblGrid>
      <w:tr>
        <w:trPr>
          <w:tblHeader/>
        </w:trPr>
        <w:tc>
          <w:tcPr>
            <w:tcW w:type="dxa" w:w="1626"/>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18"/>
                <w:szCs w:val="18"/>
              </w:rPr>
              <w:t xml:space="preserve">Share of risk set with gestational hypertension (f)</w:t>
            </w:r>
          </w:p>
        </w:tc>
        <w:tc>
          <w:tcPr>
            <w:tcW w:type="dxa" w:w="125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18.8%</w:t>
            </w:r>
          </w:p>
        </w:tc>
        <w:tc>
          <w:tcPr>
            <w:tcW w:type="dxa" w:w="125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25%</w:t>
            </w:r>
          </w:p>
        </w:tc>
        <w:tc>
          <w:tcPr>
            <w:tcW w:type="dxa" w:w="125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30%</w:t>
            </w:r>
          </w:p>
        </w:tc>
        <w:tc>
          <w:tcPr>
            <w:tcW w:type="dxa" w:w="125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40%</w:t>
            </w:r>
          </w:p>
        </w:tc>
        <w:tc>
          <w:tcPr>
            <w:tcW w:type="dxa" w:w="125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50%</w:t>
            </w:r>
          </w:p>
        </w:tc>
        <w:tc>
          <w:tcPr>
            <w:tcW w:type="dxa" w:w="115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Prevalence needed for lower limit = 1</w:t>
            </w:r>
          </w:p>
        </w:tc>
      </w:tr>
      <w:tr>
        <w:trPr>
          <w:cantSplit/>
        </w:trPr>
        <w:tc>
          <w:tcPr>
            <w:tcW w:type="dxa" w:w="1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5%</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2.19 (1.35–3.57)</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2.15 (1.32–3.50)</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2.11 (1.30–3.44)</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2.05 (1.26–3.33)</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1.99 (1.22–3.23)</w:t>
            </w:r>
          </w:p>
        </w:tc>
        <w:tc>
          <w:tcPr>
            <w:tcW w:type="dxa" w:w="11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Not reachable</w:t>
            </w:r>
          </w:p>
        </w:tc>
      </w:tr>
      <w:tr>
        <w:trPr>
          <w:cantSplit/>
        </w:trPr>
        <w:tc>
          <w:tcPr>
            <w:tcW w:type="dxa" w:w="1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10%</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2.19 (1.35–3.57)</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2.11 (1.30–3.43)</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2.04 (1.25–3.32)</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1.92 (1.18–3.12)</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1.81 (1.11–2.94)</w:t>
            </w:r>
          </w:p>
        </w:tc>
        <w:tc>
          <w:tcPr>
            <w:tcW w:type="dxa" w:w="11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69%</w:t>
            </w:r>
          </w:p>
        </w:tc>
      </w:tr>
      <w:tr>
        <w:trPr>
          <w:cantSplit/>
        </w:trPr>
        <w:tc>
          <w:tcPr>
            <w:tcW w:type="dxa" w:w="1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15%</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2.19 (1.35–3.57)</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2.07 (1.27–3.36)</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1.97 (1.21–3.21)</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1.80 (1.11–2.93)</w:t>
            </w:r>
          </w:p>
        </w:tc>
        <w:tc>
          <w:tcPr>
            <w:tcW w:type="dxa" w:w="12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1.65 (1.02–2.69)</w:t>
            </w:r>
          </w:p>
        </w:tc>
        <w:tc>
          <w:tcPr>
            <w:tcW w:type="dxa" w:w="11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52%</w:t>
            </w:r>
          </w:p>
        </w:tc>
      </w:tr>
      <w:tr>
        <w:trPr>
          <w:cantSplit/>
        </w:trPr>
        <w:tc>
          <w:tcPr>
            <w:tcW w:type="dxa" w:w="1626"/>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20%</w:t>
            </w:r>
          </w:p>
        </w:tc>
        <w:tc>
          <w:tcPr>
            <w:tcW w:type="dxa" w:w="125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2.19 (1.35–3.57)</w:t>
            </w:r>
          </w:p>
        </w:tc>
        <w:tc>
          <w:tcPr>
            <w:tcW w:type="dxa" w:w="125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2.03 (1.25–3.29)</w:t>
            </w:r>
          </w:p>
        </w:tc>
        <w:tc>
          <w:tcPr>
            <w:tcW w:type="dxa" w:w="125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1.91 (1.17–3.10)</w:t>
            </w:r>
          </w:p>
        </w:tc>
        <w:tc>
          <w:tcPr>
            <w:tcW w:type="dxa" w:w="125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1.70 (1.04–2.76)</w:t>
            </w:r>
          </w:p>
        </w:tc>
        <w:tc>
          <w:tcPr>
            <w:tcW w:type="dxa" w:w="125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1.52 (0.93–2.47)</w:t>
            </w:r>
          </w:p>
        </w:tc>
        <w:tc>
          <w:tcPr>
            <w:tcW w:type="dxa" w:w="115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44%</w:t>
            </w:r>
          </w:p>
        </w:tc>
      </w:tr>
    </w:tbl>
    <w:p>
      <w:pPr>
        <w:spacing w:after="80" w:before="80" w:line="240"/>
      </w:pPr>
      <w:r>
        <w:rPr>
          <w:rFonts w:ascii="Times New Roman" w:cs="Times New Roman" w:eastAsia="Times New Roman" w:hAnsi="Times New Roman"/>
          <w:sz w:val="20"/>
          <w:szCs w:val="20"/>
        </w:rPr>
        <w:t xml:space="preserve">Columns: assumed prevalence of prior hormonal contraceptive use among women with gestational hypertension (p_gh; 18.8% is the prevalence among enrolled controls). Rows: assumed share of the risk set made up by these women. Corrected exposure prevalence among controls p∗ = (1 − f) × 0.188 + f × p_gh; bias factor = odds(p∗)/odds(0.188); the observed adjusted OR (2.19, 95% CI 1.35–3.57) and both confidence limits were divided by the bias factor. Last column: prevalence among these women at which the lower confidence limit would reach 1. Deterministic scenarios; no data on the excluded women were available. CI, confidence interval; OR, odds ratio.</w:t>
      </w:r>
    </w:p>
    <w:p>
      <w:pPr>
        <w:keepNext/>
        <w:pageBreakBefore/>
        <w:spacing w:after="120" w:before="120" w:line="276"/>
      </w:pPr>
      <w:r>
        <w:rPr>
          <w:rFonts w:ascii="Times New Roman" w:cs="Times New Roman" w:eastAsia="Times New Roman" w:hAnsi="Times New Roman"/>
          <w:b/>
          <w:bCs/>
        </w:rPr>
        <w:t xml:space="preserve">Table S5.</w:t>
      </w:r>
      <w:r>
        <w:rPr>
          <w:rFonts w:ascii="Times New Roman" w:cs="Times New Roman" w:eastAsia="Times New Roman" w:hAnsi="Times New Roman"/>
        </w:rPr>
        <w:t xml:space="preserve"> Method of pregnancy dating, by case status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600"/>
        <w:gridCol w:w="1800"/>
        <w:gridCol w:w="1800"/>
        <w:gridCol w:w="1800"/>
      </w:tblGrid>
      <w:tr>
        <w:trPr>
          <w:tblHeader/>
        </w:trPr>
        <w:tc>
          <w:tcPr>
            <w:tcW w:type="dxa" w:w="36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20"/>
                <w:szCs w:val="20"/>
              </w:rPr>
              <w:t xml:space="preserve">Dating method</w:t>
            </w:r>
          </w:p>
        </w:tc>
        <w:tc>
          <w:tcPr>
            <w:tcW w:type="dxa" w:w="18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20"/>
                <w:szCs w:val="20"/>
              </w:rPr>
              <w:t xml:space="preserve">Cases (n = 165)</w:t>
            </w:r>
          </w:p>
        </w:tc>
        <w:tc>
          <w:tcPr>
            <w:tcW w:type="dxa" w:w="18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20"/>
                <w:szCs w:val="20"/>
              </w:rPr>
              <w:t xml:space="preserve">Controls (n = 330)</w:t>
            </w:r>
          </w:p>
        </w:tc>
        <w:tc>
          <w:tcPr>
            <w:tcW w:type="dxa" w:w="18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20"/>
                <w:szCs w:val="20"/>
              </w:rPr>
              <w:t xml:space="preserve">All (n = 495)</w:t>
            </w:r>
          </w:p>
        </w:tc>
      </w:tr>
      <w:tr>
        <w:trPr>
          <w:cantSplit/>
        </w:trPr>
        <w:tc>
          <w:tcPr>
            <w:tcW w:type="dxa" w:w="3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First-trimester ultrasound</w:t>
            </w:r>
          </w:p>
        </w:tc>
        <w:tc>
          <w:tcPr>
            <w:tcW w:type="dxa" w:w="18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19 (11.5)</w:t>
            </w:r>
          </w:p>
        </w:tc>
        <w:tc>
          <w:tcPr>
            <w:tcW w:type="dxa" w:w="18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41 (12.4)</w:t>
            </w:r>
          </w:p>
        </w:tc>
        <w:tc>
          <w:tcPr>
            <w:tcW w:type="dxa" w:w="18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60 (12.1)</w:t>
            </w:r>
          </w:p>
        </w:tc>
      </w:tr>
      <w:tr>
        <w:trPr>
          <w:cantSplit/>
        </w:trPr>
        <w:tc>
          <w:tcPr>
            <w:tcW w:type="dxa" w:w="3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LMP confirmed by ultrasound</w:t>
            </w:r>
          </w:p>
        </w:tc>
        <w:tc>
          <w:tcPr>
            <w:tcW w:type="dxa" w:w="18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46 (27.9)</w:t>
            </w:r>
          </w:p>
        </w:tc>
        <w:tc>
          <w:tcPr>
            <w:tcW w:type="dxa" w:w="18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96 (29.1)</w:t>
            </w:r>
          </w:p>
        </w:tc>
        <w:tc>
          <w:tcPr>
            <w:tcW w:type="dxa" w:w="18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142 (28.7)</w:t>
            </w:r>
          </w:p>
        </w:tc>
      </w:tr>
      <w:tr>
        <w:trPr>
          <w:cantSplit/>
        </w:trPr>
        <w:tc>
          <w:tcPr>
            <w:tcW w:type="dxa" w:w="3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Second-trimester ultrasound</w:t>
            </w:r>
          </w:p>
        </w:tc>
        <w:tc>
          <w:tcPr>
            <w:tcW w:type="dxa" w:w="18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66 (40.0)</w:t>
            </w:r>
          </w:p>
        </w:tc>
        <w:tc>
          <w:tcPr>
            <w:tcW w:type="dxa" w:w="18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116 (35.2)</w:t>
            </w:r>
          </w:p>
        </w:tc>
        <w:tc>
          <w:tcPr>
            <w:tcW w:type="dxa" w:w="18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182 (36.8)</w:t>
            </w:r>
          </w:p>
        </w:tc>
      </w:tr>
      <w:tr>
        <w:trPr>
          <w:cantSplit/>
        </w:trPr>
        <w:tc>
          <w:tcPr>
            <w:tcW w:type="dxa" w:w="36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LMP only</w:t>
            </w:r>
          </w:p>
        </w:tc>
        <w:tc>
          <w:tcPr>
            <w:tcW w:type="dxa" w:w="18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34 (20.6)</w:t>
            </w:r>
          </w:p>
        </w:tc>
        <w:tc>
          <w:tcPr>
            <w:tcW w:type="dxa" w:w="18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77 (23.3)</w:t>
            </w:r>
          </w:p>
        </w:tc>
        <w:tc>
          <w:tcPr>
            <w:tcW w:type="dxa" w:w="18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111 (22.4)</w:t>
            </w:r>
          </w:p>
        </w:tc>
      </w:tr>
    </w:tbl>
    <w:p>
      <w:pPr>
        <w:spacing w:after="80" w:before="80" w:line="240"/>
      </w:pPr>
      <w:r>
        <w:rPr>
          <w:rFonts w:ascii="Times New Roman" w:cs="Times New Roman" w:eastAsia="Times New Roman" w:hAnsi="Times New Roman"/>
          <w:sz w:val="20"/>
          <w:szCs w:val="20"/>
        </w:rPr>
        <w:t xml:space="preserve">Data are n (%). Gestational age was assigned by the prespecified hierarchy. LMP, last menstrual period.</w:t>
      </w:r>
    </w:p>
    <w:p>
      <w:pPr>
        <w:keepNext/>
        <w:pageBreakBefore/>
        <w:spacing w:after="120" w:before="120" w:line="276"/>
      </w:pPr>
      <w:r>
        <w:rPr>
          <w:rFonts w:ascii="Times New Roman" w:cs="Times New Roman" w:eastAsia="Times New Roman" w:hAnsi="Times New Roman"/>
          <w:b/>
          <w:bCs/>
        </w:rPr>
        <w:t xml:space="preserve">Table S6.</w:t>
      </w:r>
      <w:r>
        <w:rPr>
          <w:rFonts w:ascii="Times New Roman" w:cs="Times New Roman" w:eastAsia="Times New Roman" w:hAnsi="Times New Roman"/>
        </w:rPr>
        <w:t xml:space="preserve"> Characteristics of hormonal contraceptive use among exposed cases and controls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826"/>
        <w:gridCol w:w="2100"/>
        <w:gridCol w:w="2100"/>
      </w:tblGrid>
      <w:tr>
        <w:trPr>
          <w:tblHeader/>
        </w:trPr>
        <w:tc>
          <w:tcPr>
            <w:tcW w:type="dxa" w:w="4826"/>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20"/>
                <w:szCs w:val="20"/>
              </w:rPr>
              <w:t xml:space="preserve">Characteristic</w:t>
            </w:r>
          </w:p>
        </w:tc>
        <w:tc>
          <w:tcPr>
            <w:tcW w:type="dxa" w:w="21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20"/>
                <w:szCs w:val="20"/>
              </w:rPr>
              <w:t xml:space="preserve">Exposed cases (n = 54)</w:t>
            </w:r>
          </w:p>
        </w:tc>
        <w:tc>
          <w:tcPr>
            <w:tcW w:type="dxa" w:w="21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20"/>
                <w:szCs w:val="20"/>
              </w:rPr>
              <w:t xml:space="preserve">Exposed controls (n = 62)</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20"/>
                <w:szCs w:val="20"/>
              </w:rPr>
              <w:t xml:space="preserve">Predominant method</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   DMPA</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28 (51.9)</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30 (48.4)</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   Progestogen-only pill</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6 (11.1)</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6 (9.7)</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   Combined oral contraceptive</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8 (14.8)</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10 (16.1)</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   Implant</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9 (16.7)</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9 (14.5)</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   Other (patch, vaginal ring or LNG-IUS)</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3 (5.6)</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7 (11.3)</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Cumulative duration, months, median (IQR)</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30 (15–53)</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28 (12–54)</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Interval from end of coverage to conception, months, median (IQR)</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3.3 (1.1–8.9)</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6.6 (1.6–14.5)</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Exposure documented in records</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29 (53.7)</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41 (66.1)</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Hormonal exposure after LMP</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 (1.9)</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 (3.2)</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Recorded cardiovascular contraindication</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 (3.7)</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 (3.2)</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20"/>
                <w:szCs w:val="20"/>
              </w:rPr>
              <w:t xml:space="preserve">Reason for discontinuation</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   Desire for pregnancy</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32 (59.3)</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36 (58.1)</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   Adverse effects</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11 (20.4)</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11 (17.7)</w:t>
            </w:r>
          </w:p>
        </w:tc>
      </w:tr>
      <w:tr>
        <w:trPr>
          <w:cantSplit/>
        </w:trPr>
        <w:tc>
          <w:tcPr>
            <w:tcW w:type="dxa" w:w="4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   Method failure</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3 (5.6)</w:t>
            </w:r>
          </w:p>
        </w:tc>
        <w:tc>
          <w:tcPr>
            <w:tcW w:type="dxa" w:w="21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6 (9.7)</w:t>
            </w:r>
          </w:p>
        </w:tc>
      </w:tr>
      <w:tr>
        <w:trPr>
          <w:cantSplit/>
        </w:trPr>
        <w:tc>
          <w:tcPr>
            <w:tcW w:type="dxa" w:w="4826"/>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   Other</w:t>
            </w:r>
          </w:p>
        </w:tc>
        <w:tc>
          <w:tcPr>
            <w:tcW w:type="dxa" w:w="21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8 (14.8)</w:t>
            </w:r>
          </w:p>
        </w:tc>
        <w:tc>
          <w:tcPr>
            <w:tcW w:type="dxa" w:w="21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9 (14.5)</w:t>
            </w:r>
          </w:p>
        </w:tc>
      </w:tr>
    </w:tbl>
    <w:p>
      <w:pPr>
        <w:spacing w:after="80" w:before="80" w:line="240"/>
      </w:pPr>
      <w:r>
        <w:rPr>
          <w:rFonts w:ascii="Times New Roman" w:cs="Times New Roman" w:eastAsia="Times New Roman" w:hAnsi="Times New Roman"/>
          <w:sz w:val="20"/>
          <w:szCs w:val="20"/>
        </w:rPr>
        <w:t xml:space="preserve">Data are n (%) unless stated. DMPA, depot medroxyprogesterone acetate; IQR, interquartile range; LMP, last menstrual period; LNG-IUS, levonorgestrel intrauterine system.</w:t>
      </w:r>
    </w:p>
    <w:p>
      <w:pPr>
        <w:keepNext/>
        <w:pageBreakBefore/>
        <w:spacing w:after="120" w:before="120" w:line="276"/>
      </w:pPr>
      <w:r>
        <w:rPr>
          <w:rFonts w:ascii="Times New Roman" w:cs="Times New Roman" w:eastAsia="Times New Roman" w:hAnsi="Times New Roman"/>
          <w:b/>
          <w:bCs/>
        </w:rPr>
        <w:t xml:space="preserve">Table S7.</w:t>
      </w:r>
      <w:r>
        <w:rPr>
          <w:rFonts w:ascii="Times New Roman" w:cs="Times New Roman" w:eastAsia="Times New Roman" w:hAnsi="Times New Roman"/>
        </w:rPr>
        <w:t xml:space="preserve"> Full results of the primary conditional logistic regression model (Model 1)</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526"/>
        <w:gridCol w:w="3500"/>
      </w:tblGrid>
      <w:tr>
        <w:trPr>
          <w:tblHeader/>
        </w:trPr>
        <w:tc>
          <w:tcPr>
            <w:tcW w:type="dxa" w:w="5526"/>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20"/>
                <w:szCs w:val="20"/>
              </w:rPr>
              <w:t xml:space="preserve">Variable</w:t>
            </w:r>
          </w:p>
        </w:tc>
        <w:tc>
          <w:tcPr>
            <w:tcW w:type="dxa" w:w="35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20"/>
                <w:szCs w:val="20"/>
              </w:rPr>
              <w:t xml:space="preserve">Adjusted OR (95% CI)</w:t>
            </w:r>
          </w:p>
        </w:tc>
      </w:tr>
      <w:tr>
        <w:trPr>
          <w:cantSplit/>
        </w:trPr>
        <w:tc>
          <w:tcPr>
            <w:tcW w:type="dxa" w:w="55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Prior hormonal contraception (ever vs never)</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2.19 (1.35–3.57)</w:t>
            </w:r>
          </w:p>
        </w:tc>
      </w:tr>
      <w:tr>
        <w:trPr>
          <w:cantSplit/>
        </w:trPr>
        <w:tc>
          <w:tcPr>
            <w:tcW w:type="dxa" w:w="55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Pre-pregnancy BMI, 30 vs 22 kg/m² (spline)</w:t>
            </w:r>
            <w:r>
              <w:rPr>
                <w:rFonts w:ascii="Times New Roman" w:cs="Times New Roman" w:eastAsia="Times New Roman" w:hAnsi="Times New Roman"/>
                <w:sz w:val="20"/>
                <w:szCs w:val="20"/>
                <w:vertAlign w:val="superscript"/>
              </w:rPr>
              <w:t xml:space="preserve">a</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2.78 (1.70–4.56)</w:t>
            </w:r>
          </w:p>
        </w:tc>
      </w:tr>
      <w:tr>
        <w:trPr>
          <w:cantSplit/>
        </w:trPr>
        <w:tc>
          <w:tcPr>
            <w:tcW w:type="dxa" w:w="55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First-degree family history of preeclampsia or hypertension</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2.12 (1.27–3.55)</w:t>
            </w:r>
          </w:p>
        </w:tc>
      </w:tr>
      <w:tr>
        <w:trPr>
          <w:cantSplit/>
        </w:trPr>
        <w:tc>
          <w:tcPr>
            <w:tcW w:type="dxa" w:w="55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Preeclampsia in a previous pregnancy</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4.73 (1.77–12.69)</w:t>
            </w:r>
          </w:p>
        </w:tc>
      </w:tr>
      <w:tr>
        <w:trPr>
          <w:cantSplit/>
        </w:trPr>
        <w:tc>
          <w:tcPr>
            <w:tcW w:type="dxa" w:w="55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Education: primary vs none</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0.82 (0.42–1.60)</w:t>
            </w:r>
          </w:p>
        </w:tc>
      </w:tr>
      <w:tr>
        <w:trPr>
          <w:cantSplit/>
        </w:trPr>
        <w:tc>
          <w:tcPr>
            <w:tcW w:type="dxa" w:w="55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Education: secondary vs none</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0.82 (0.43–1.58)</w:t>
            </w:r>
          </w:p>
        </w:tc>
      </w:tr>
      <w:tr>
        <w:trPr>
          <w:cantSplit/>
        </w:trPr>
        <w:tc>
          <w:tcPr>
            <w:tcW w:type="dxa" w:w="55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Education: higher vs none</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1.50 (0.66–3.40)</w:t>
            </w:r>
          </w:p>
        </w:tc>
      </w:tr>
      <w:tr>
        <w:trPr>
          <w:cantSplit/>
        </w:trPr>
        <w:tc>
          <w:tcPr>
            <w:tcW w:type="dxa" w:w="55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Rural vs urban residence</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0.84 (0.52–1.35)</w:t>
            </w:r>
          </w:p>
        </w:tc>
      </w:tr>
      <w:tr>
        <w:trPr>
          <w:cantSplit/>
        </w:trPr>
        <w:tc>
          <w:tcPr>
            <w:tcW w:type="dxa" w:w="55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Smoking in the year before pregnancy</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0.55 (0.20–1.50)</w:t>
            </w:r>
          </w:p>
        </w:tc>
      </w:tr>
      <w:tr>
        <w:trPr>
          <w:cantSplit/>
        </w:trPr>
        <w:tc>
          <w:tcPr>
            <w:tcW w:type="dxa" w:w="55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Age, per year (residual)</w:t>
            </w:r>
          </w:p>
        </w:tc>
        <w:tc>
          <w:tcPr>
            <w:tcW w:type="dxa" w:w="35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1.01 (0.82–1.24)</w:t>
            </w:r>
          </w:p>
        </w:tc>
      </w:tr>
      <w:tr>
        <w:trPr>
          <w:cantSplit/>
        </w:trPr>
        <w:tc>
          <w:tcPr>
            <w:tcW w:type="dxa" w:w="5526"/>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20"/>
                <w:szCs w:val="20"/>
              </w:rPr>
              <w:t xml:space="preserve">Parity, per birth (residual)</w:t>
            </w:r>
          </w:p>
        </w:tc>
        <w:tc>
          <w:tcPr>
            <w:tcW w:type="dxa" w:w="35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20"/>
                <w:szCs w:val="20"/>
              </w:rPr>
              <w:t xml:space="preserve">1.00 (0.80–1.26)</w:t>
            </w:r>
          </w:p>
        </w:tc>
      </w:tr>
    </w:tbl>
    <w:p>
      <w:pPr>
        <w:spacing w:after="80" w:before="80" w:line="240"/>
      </w:pPr>
      <w:r>
        <w:rPr>
          <w:rFonts w:ascii="Times New Roman" w:cs="Times New Roman" w:eastAsia="Times New Roman" w:hAnsi="Times New Roman"/>
          <w:sz w:val="20"/>
          <w:szCs w:val="20"/>
        </w:rPr>
        <w:t xml:space="preserve">Conditional logistic regression stratified by 165 matched sets (495 participants). Variance inflation factors: maximum 4.79 (BMI spline terms), all others &lt;2.5. Firth's penalized estimate for hormonal contraception: 2.12 (profile penalized-likelihood 95% CI 1.33–3.44; Wald 1.31–3.44). Age and parity are matching variables; their coefficients reflect only residual variation within sets and should not be interpreted as risk factor estimates. BMI, body mass index; CI, confidence interval; OR, odds ratio. </w:t>
      </w:r>
      <w:r>
        <w:rPr>
          <w:rFonts w:ascii="Times New Roman" w:cs="Times New Roman" w:eastAsia="Times New Roman" w:hAnsi="Times New Roman"/>
          <w:sz w:val="20"/>
          <w:szCs w:val="20"/>
          <w:vertAlign w:val="superscript"/>
        </w:rPr>
        <w:t xml:space="preserve">a</w:t>
      </w:r>
      <w:r>
        <w:rPr>
          <w:rFonts w:ascii="Times New Roman" w:cs="Times New Roman" w:eastAsia="Times New Roman" w:hAnsi="Times New Roman"/>
          <w:sz w:val="20"/>
          <w:szCs w:val="20"/>
        </w:rPr>
        <w:t xml:space="preserve">Restricted cubic spline with three knots; overall likelihood-ratio test for BMI (2 df) p = 0.00012; test for non-linearity p = 0.060.</w:t>
      </w:r>
    </w:p>
    <w:p>
      <w:pPr>
        <w:keepNext/>
        <w:pageBreakBefore/>
        <w:spacing w:after="120" w:before="120" w:line="276"/>
      </w:pPr>
      <w:r>
        <w:rPr>
          <w:rFonts w:ascii="Times New Roman" w:cs="Times New Roman" w:eastAsia="Times New Roman" w:hAnsi="Times New Roman"/>
          <w:b/>
          <w:bCs/>
        </w:rPr>
        <w:t xml:space="preserve">Table S8.</w:t>
      </w:r>
      <w:r>
        <w:rPr>
          <w:rFonts w:ascii="Times New Roman" w:cs="Times New Roman" w:eastAsia="Times New Roman" w:hAnsi="Times New Roman"/>
        </w:rPr>
        <w:t xml:space="preserve"> Sensitivity analyses of the association between prior hormonal contraceptive use and preeclampsia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26"/>
        <w:gridCol w:w="1300"/>
        <w:gridCol w:w="1200"/>
        <w:gridCol w:w="1300"/>
        <w:gridCol w:w="1600"/>
      </w:tblGrid>
      <w:tr>
        <w:trPr>
          <w:tblHeader/>
        </w:trPr>
        <w:tc>
          <w:tcPr>
            <w:tcW w:type="dxa" w:w="3626"/>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18"/>
                <w:szCs w:val="18"/>
              </w:rPr>
              <w:t xml:space="preserve">Analysis</w:t>
            </w:r>
          </w:p>
        </w:tc>
        <w:tc>
          <w:tcPr>
            <w:tcW w:type="dxa" w:w="13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Status</w:t>
            </w:r>
          </w:p>
        </w:tc>
        <w:tc>
          <w:tcPr>
            <w:tcW w:type="dxa" w:w="12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Informative sets</w:t>
            </w:r>
          </w:p>
        </w:tc>
        <w:tc>
          <w:tcPr>
            <w:tcW w:type="dxa" w:w="13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Exposed cases/controls</w:t>
            </w:r>
          </w:p>
        </w:tc>
        <w:tc>
          <w:tcPr>
            <w:tcW w:type="dxa" w:w="16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OR (95% CI)</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Primary analysis (Model 1)</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165</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54/62</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2.19 (1.35–3.57)</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Excluding women with hormonal exposure after the LMP</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164</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53/60</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2.17 (1.33–3.54)</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Documented exposure only (self-report-only users excluded)</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140</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29/30</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1.84 (0.99–3.44)</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Antenatal-clinic controls only</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157</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50/49</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2.14 (1.25–3.65)</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Excluding sets with relaxed matching</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159</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54/60</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2.33 (1.42–3.83)</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Excluding minors and sets of referred cases</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109</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33/46</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1.53 (0.85–2.77)</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Excluding minors only</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Post hoc</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159</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53/62</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2.16 (1.33–3.51)</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Excluding sets of referred cases only</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Post hoc</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114</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34/46</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1.58 (0.87–2.86)</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Excluding users with a recorded cardiovascular contraindication</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163</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52/60</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2.09 (1.28–3.41)</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Extended model,</w:t>
            </w:r>
            <w:r>
              <w:rPr>
                <w:rFonts w:ascii="Times New Roman" w:cs="Times New Roman" w:eastAsia="Times New Roman" w:hAnsi="Times New Roman"/>
                <w:sz w:val="18"/>
                <w:szCs w:val="18"/>
                <w:vertAlign w:val="superscript"/>
              </w:rPr>
              <w:t xml:space="preserve">a</w:t>
            </w:r>
            <w:r>
              <w:rPr>
                <w:rFonts w:ascii="Times New Roman" w:cs="Times New Roman" w:eastAsia="Times New Roman" w:hAnsi="Times New Roman"/>
                <w:sz w:val="18"/>
                <w:szCs w:val="18"/>
              </w:rPr>
              <w:t xml:space="preserve"> complete cases</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160</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50/60</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1.98 (1.19–3.28)</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Extended model,</w:t>
            </w:r>
            <w:r>
              <w:rPr>
                <w:rFonts w:ascii="Times New Roman" w:cs="Times New Roman" w:eastAsia="Times New Roman" w:hAnsi="Times New Roman"/>
                <w:sz w:val="18"/>
                <w:szCs w:val="18"/>
                <w:vertAlign w:val="superscript"/>
              </w:rPr>
              <w:t xml:space="preserve">a</w:t>
            </w:r>
            <w:r>
              <w:rPr>
                <w:rFonts w:ascii="Times New Roman" w:cs="Times New Roman" w:eastAsia="Times New Roman" w:hAnsi="Times New Roman"/>
                <w:sz w:val="18"/>
                <w:szCs w:val="18"/>
              </w:rPr>
              <w:t xml:space="preserve"> multiple imputation (m = 20)</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54/62</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2.20 (1.35–3.58)</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Excluding influential observations (&gt;10% change)</w:t>
            </w:r>
            <w:r>
              <w:rPr>
                <w:rFonts w:ascii="Times New Roman" w:cs="Times New Roman" w:eastAsia="Times New Roman" w:hAnsi="Times New Roman"/>
                <w:sz w:val="18"/>
                <w:szCs w:val="18"/>
                <w:vertAlign w:val="superscript"/>
              </w:rPr>
              <w:t xml:space="preserve">b</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165</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54/62</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2.19 (1.35–3.57)</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Unconditional logistic regression, crude</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54/62</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2.10 (1.37–3.22)</w:t>
            </w:r>
          </w:p>
        </w:tc>
      </w:tr>
      <w:tr>
        <w:trPr>
          <w:cantSplit/>
        </w:trPr>
        <w:tc>
          <w:tcPr>
            <w:tcW w:type="dxa" w:w="36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Unconditional logistic regression, adjusted</w:t>
            </w:r>
            <w:r>
              <w:rPr>
                <w:rFonts w:ascii="Times New Roman" w:cs="Times New Roman" w:eastAsia="Times New Roman" w:hAnsi="Times New Roman"/>
                <w:sz w:val="18"/>
                <w:szCs w:val="18"/>
                <w:vertAlign w:val="superscript"/>
              </w:rPr>
              <w:t xml:space="preserve">c</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w:t>
            </w:r>
          </w:p>
        </w:tc>
        <w:tc>
          <w:tcPr>
            <w:tcW w:type="dxa" w:w="13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54/62</w:t>
            </w:r>
          </w:p>
        </w:tc>
        <w:tc>
          <w:tcPr>
            <w:tcW w:type="dxa" w:w="16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2.05 (1.29–3.25)</w:t>
            </w:r>
          </w:p>
        </w:tc>
      </w:tr>
      <w:tr>
        <w:trPr>
          <w:cantSplit/>
        </w:trPr>
        <w:tc>
          <w:tcPr>
            <w:tcW w:type="dxa" w:w="3626"/>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BMI at enrollment instead of pre-pregnancy BMI</w:t>
            </w:r>
          </w:p>
        </w:tc>
        <w:tc>
          <w:tcPr>
            <w:tcW w:type="dxa" w:w="13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Prespecified</w:t>
            </w:r>
          </w:p>
        </w:tc>
        <w:tc>
          <w:tcPr>
            <w:tcW w:type="dxa" w:w="12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w:t>
            </w:r>
          </w:p>
        </w:tc>
        <w:tc>
          <w:tcPr>
            <w:tcW w:type="dxa" w:w="13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w:t>
            </w:r>
          </w:p>
        </w:tc>
        <w:tc>
          <w:tcPr>
            <w:tcW w:type="dxa" w:w="16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Not performed</w:t>
            </w:r>
            <w:r>
              <w:rPr>
                <w:rFonts w:ascii="Times New Roman" w:cs="Times New Roman" w:eastAsia="Times New Roman" w:hAnsi="Times New Roman"/>
                <w:sz w:val="18"/>
                <w:szCs w:val="18"/>
                <w:vertAlign w:val="superscript"/>
              </w:rPr>
              <w:t xml:space="preserve">d</w:t>
            </w:r>
          </w:p>
        </w:tc>
      </w:tr>
    </w:tbl>
    <w:p>
      <w:pPr>
        <w:spacing w:after="80" w:before="80" w:line="240"/>
      </w:pPr>
      <w:r>
        <w:rPr>
          <w:rFonts w:ascii="Times New Roman" w:cs="Times New Roman" w:eastAsia="Times New Roman" w:hAnsi="Times New Roman"/>
          <w:sz w:val="20"/>
          <w:szCs w:val="20"/>
        </w:rPr>
        <w:t xml:space="preserve">Conditional logistic regression adjusted for Model 1 covariates unless stated. Exposed cases/controls are counted among participants in informative matched sets, as in Figure 3 of the main text (all participants for the multiple-imputation and unconditional analyses). The analysis excluding influential observations is identical to the primary analysis and is not counted as a separate sensitivity analysis. BMI, body mass index; CI, confidence interval; IPAQ, International Physical Activity Questionnaire; LMP, last menstrual period; OR, odds ratio. </w:t>
      </w:r>
      <w:r>
        <w:rPr>
          <w:rFonts w:ascii="Times New Roman" w:cs="Times New Roman" w:eastAsia="Times New Roman" w:hAnsi="Times New Roman"/>
          <w:sz w:val="20"/>
          <w:szCs w:val="20"/>
          <w:vertAlign w:val="superscript"/>
        </w:rPr>
        <w:t xml:space="preserve">a</w:t>
      </w:r>
      <w:r>
        <w:rPr>
          <w:rFonts w:ascii="Times New Roman" w:cs="Times New Roman" w:eastAsia="Times New Roman" w:hAnsi="Times New Roman"/>
          <w:sz w:val="20"/>
          <w:szCs w:val="20"/>
        </w:rPr>
        <w:t xml:space="preserve">Model 1 plus physical activity (IPAQ: low, moderate, high), interpregnancy interval (&lt;24 months, ≥24 months, nulliparous) and HIV infection; 13 sets had missing data. </w:t>
      </w:r>
      <w:r>
        <w:rPr>
          <w:rFonts w:ascii="Times New Roman" w:cs="Times New Roman" w:eastAsia="Times New Roman" w:hAnsi="Times New Roman"/>
          <w:sz w:val="20"/>
          <w:szCs w:val="20"/>
          <w:vertAlign w:val="superscript"/>
        </w:rPr>
        <w:t xml:space="preserve">b</w:t>
      </w:r>
      <w:r>
        <w:rPr>
          <w:rFonts w:ascii="Times New Roman" w:cs="Times New Roman" w:eastAsia="Times New Roman" w:hAnsi="Times New Roman"/>
          <w:sz w:val="20"/>
          <w:szCs w:val="20"/>
        </w:rPr>
        <w:t xml:space="preserve">No observation changed the OR by more than 10% (maximum 6.8%), so no observation was excluded. </w:t>
      </w:r>
      <w:r>
        <w:rPr>
          <w:rFonts w:ascii="Times New Roman" w:cs="Times New Roman" w:eastAsia="Times New Roman" w:hAnsi="Times New Roman"/>
          <w:sz w:val="20"/>
          <w:szCs w:val="20"/>
          <w:vertAlign w:val="superscript"/>
        </w:rPr>
        <w:t xml:space="preserve">c</w:t>
      </w:r>
      <w:r>
        <w:rPr>
          <w:rFonts w:ascii="Times New Roman" w:cs="Times New Roman" w:eastAsia="Times New Roman" w:hAnsi="Times New Roman"/>
          <w:sz w:val="20"/>
          <w:szCs w:val="20"/>
        </w:rPr>
        <w:t xml:space="preserve">Model 1 covariates plus parity group and gestational age. </w:t>
      </w:r>
      <w:r>
        <w:rPr>
          <w:rFonts w:ascii="Times New Roman" w:cs="Times New Roman" w:eastAsia="Times New Roman" w:hAnsi="Times New Roman"/>
          <w:sz w:val="20"/>
          <w:szCs w:val="20"/>
          <w:vertAlign w:val="superscript"/>
        </w:rPr>
        <w:t xml:space="preserve">d</w:t>
      </w:r>
      <w:r>
        <w:rPr>
          <w:rFonts w:ascii="Times New Roman" w:cs="Times New Roman" w:eastAsia="Times New Roman" w:hAnsi="Times New Roman"/>
          <w:sz w:val="20"/>
          <w:szCs w:val="20"/>
        </w:rPr>
        <w:t xml:space="preserve">Enrollment weight was not entered in the final dataset; the analysis was specified as informative only.</w:t>
      </w:r>
    </w:p>
    <w:p>
      <w:pPr>
        <w:keepNext/>
        <w:pageBreakBefore/>
        <w:spacing w:after="120" w:before="120" w:line="276"/>
      </w:pPr>
      <w:r>
        <w:rPr>
          <w:rFonts w:ascii="Times New Roman" w:cs="Times New Roman" w:eastAsia="Times New Roman" w:hAnsi="Times New Roman"/>
          <w:b/>
          <w:bCs/>
        </w:rPr>
        <w:t xml:space="preserve">Table S9.</w:t>
      </w:r>
      <w:r>
        <w:rPr>
          <w:rFonts w:ascii="Times New Roman" w:cs="Times New Roman" w:eastAsia="Times New Roman" w:hAnsi="Times New Roman"/>
        </w:rPr>
        <w:t xml:space="preserve"> Validation substudy: self-reported prior hormonal contraceptive use compared with family planning records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800"/>
        <w:gridCol w:w="1000"/>
        <w:gridCol w:w="1000"/>
        <w:gridCol w:w="1000"/>
        <w:gridCol w:w="1050"/>
        <w:gridCol w:w="1050"/>
        <w:gridCol w:w="1150"/>
        <w:gridCol w:w="1150"/>
        <w:gridCol w:w="826"/>
      </w:tblGrid>
      <w:tr>
        <w:trPr>
          <w:tblHeader/>
        </w:trPr>
        <w:tc>
          <w:tcPr>
            <w:tcW w:type="dxa" w:w="8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b/>
                <w:bCs/>
                <w:sz w:val="18"/>
                <w:szCs w:val="18"/>
              </w:rPr>
              <w:t xml:space="preserve">Group</w:t>
            </w:r>
          </w:p>
        </w:tc>
        <w:tc>
          <w:tcPr>
            <w:tcW w:type="dxa" w:w="10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Participants</w:t>
            </w:r>
          </w:p>
        </w:tc>
        <w:tc>
          <w:tcPr>
            <w:tcW w:type="dxa" w:w="10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Documented use, reported (TP)</w:t>
            </w:r>
          </w:p>
        </w:tc>
        <w:tc>
          <w:tcPr>
            <w:tcW w:type="dxa" w:w="100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Documented use, not reported (FN)</w:t>
            </w:r>
          </w:p>
        </w:tc>
        <w:tc>
          <w:tcPr>
            <w:tcW w:type="dxa" w:w="105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No documented use, not reported (TN)</w:t>
            </w:r>
          </w:p>
        </w:tc>
        <w:tc>
          <w:tcPr>
            <w:tcW w:type="dxa" w:w="105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No documented use, reported (FP)</w:t>
            </w:r>
          </w:p>
        </w:tc>
        <w:tc>
          <w:tcPr>
            <w:tcW w:type="dxa" w:w="115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Sensitivity (95% CI)</w:t>
            </w:r>
          </w:p>
        </w:tc>
        <w:tc>
          <w:tcPr>
            <w:tcW w:type="dxa" w:w="1150"/>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Specificity (95% CI)</w:t>
            </w:r>
          </w:p>
        </w:tc>
        <w:tc>
          <w:tcPr>
            <w:tcW w:type="dxa" w:w="826"/>
            <w:tcBorders>
              <w:top w:val="single" w:color="000000" w:sz="6"/>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b/>
                <w:bCs/>
                <w:sz w:val="18"/>
                <w:szCs w:val="18"/>
              </w:rPr>
              <w:t xml:space="preserve">Kappa</w:t>
            </w:r>
          </w:p>
        </w:tc>
      </w:tr>
      <w:tr>
        <w:trPr>
          <w:cantSplit/>
        </w:trPr>
        <w:tc>
          <w:tcPr>
            <w:tcW w:type="dxa" w:w="8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Cases</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23</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9</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w:t>
            </w:r>
          </w:p>
        </w:tc>
        <w:tc>
          <w:tcPr>
            <w:tcW w:type="dxa" w:w="10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13</w:t>
            </w:r>
          </w:p>
        </w:tc>
        <w:tc>
          <w:tcPr>
            <w:tcW w:type="dxa" w:w="10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0</w:t>
            </w:r>
          </w:p>
        </w:tc>
        <w:tc>
          <w:tcPr>
            <w:tcW w:type="dxa" w:w="11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0.90 (0.60–0.98)</w:t>
            </w:r>
          </w:p>
        </w:tc>
        <w:tc>
          <w:tcPr>
            <w:tcW w:type="dxa" w:w="11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1.00 (0.77–1.00)</w:t>
            </w:r>
          </w:p>
        </w:tc>
        <w:tc>
          <w:tcPr>
            <w:tcW w:type="dxa" w:w="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0.91</w:t>
            </w:r>
          </w:p>
        </w:tc>
      </w:tr>
      <w:tr>
        <w:trPr>
          <w:cantSplit/>
        </w:trPr>
        <w:tc>
          <w:tcPr>
            <w:tcW w:type="dxa" w:w="8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Controls</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32</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3</w:t>
            </w:r>
          </w:p>
        </w:tc>
        <w:tc>
          <w:tcPr>
            <w:tcW w:type="dxa" w:w="100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0</w:t>
            </w:r>
          </w:p>
        </w:tc>
        <w:tc>
          <w:tcPr>
            <w:tcW w:type="dxa" w:w="10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29</w:t>
            </w:r>
          </w:p>
        </w:tc>
        <w:tc>
          <w:tcPr>
            <w:tcW w:type="dxa" w:w="10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0</w:t>
            </w:r>
          </w:p>
        </w:tc>
        <w:tc>
          <w:tcPr>
            <w:tcW w:type="dxa" w:w="11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1.00 (0.44–1.00)</w:t>
            </w:r>
          </w:p>
        </w:tc>
        <w:tc>
          <w:tcPr>
            <w:tcW w:type="dxa" w:w="1150"/>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1.00 (0.88–1.00)</w:t>
            </w:r>
          </w:p>
        </w:tc>
        <w:tc>
          <w:tcPr>
            <w:tcW w:type="dxa" w:w="826"/>
            <w:tcBorders>
              <w:top w:val="none" w:color="FFFFFF" w:sz="0"/>
              <w:left w:val="none" w:color="FFFFFF" w:sz="0"/>
              <w:bottom w:val="none" w:color="FFFFFF" w:sz="0"/>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1.00</w:t>
            </w:r>
          </w:p>
        </w:tc>
      </w:tr>
      <w:tr>
        <w:trPr>
          <w:cantSplit/>
        </w:trPr>
        <w:tc>
          <w:tcPr>
            <w:tcW w:type="dxa" w:w="8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left"/>
            </w:pPr>
            <w:r>
              <w:rPr>
                <w:rFonts w:ascii="Times New Roman" w:cs="Times New Roman" w:eastAsia="Times New Roman" w:hAnsi="Times New Roman"/>
                <w:sz w:val="18"/>
                <w:szCs w:val="18"/>
              </w:rPr>
              <w:t xml:space="preserve">All</w:t>
            </w:r>
          </w:p>
        </w:tc>
        <w:tc>
          <w:tcPr>
            <w:tcW w:type="dxa" w:w="10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55</w:t>
            </w:r>
          </w:p>
        </w:tc>
        <w:tc>
          <w:tcPr>
            <w:tcW w:type="dxa" w:w="10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12</w:t>
            </w:r>
          </w:p>
        </w:tc>
        <w:tc>
          <w:tcPr>
            <w:tcW w:type="dxa" w:w="100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w:t>
            </w:r>
          </w:p>
        </w:tc>
        <w:tc>
          <w:tcPr>
            <w:tcW w:type="dxa" w:w="105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42</w:t>
            </w:r>
          </w:p>
        </w:tc>
        <w:tc>
          <w:tcPr>
            <w:tcW w:type="dxa" w:w="105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0</w:t>
            </w:r>
          </w:p>
        </w:tc>
        <w:tc>
          <w:tcPr>
            <w:tcW w:type="dxa" w:w="115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0.92 (0.67–0.99)</w:t>
            </w:r>
          </w:p>
        </w:tc>
        <w:tc>
          <w:tcPr>
            <w:tcW w:type="dxa" w:w="1150"/>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1.00 (0.92–1.00)</w:t>
            </w:r>
          </w:p>
        </w:tc>
        <w:tc>
          <w:tcPr>
            <w:tcW w:type="dxa" w:w="826"/>
            <w:tcBorders>
              <w:top w:val="none" w:color="FFFFFF" w:sz="0"/>
              <w:left w:val="none" w:color="FFFFFF" w:sz="0"/>
              <w:bottom w:val="single" w:color="000000" w:sz="6"/>
              <w:right w:val="none" w:color="FFFFFF" w:sz="0"/>
            </w:tcBorders>
            <w:tcMar>
              <w:top w:type="dxa" w:w="30"/>
              <w:left w:type="dxa" w:w="70"/>
              <w:bottom w:type="dxa" w:w="30"/>
              <w:right w:type="dxa" w:w="70"/>
            </w:tcMar>
            <w:vAlign w:val="top"/>
          </w:tcPr>
          <w:p>
            <w:pPr>
              <w:spacing w:after="0" w:before="0" w:line="240"/>
              <w:jc w:val="center"/>
            </w:pPr>
            <w:r>
              <w:rPr>
                <w:rFonts w:ascii="Times New Roman" w:cs="Times New Roman" w:eastAsia="Times New Roman" w:hAnsi="Times New Roman"/>
                <w:sz w:val="18"/>
                <w:szCs w:val="18"/>
              </w:rPr>
              <w:t xml:space="preserve">0.95</w:t>
            </w:r>
          </w:p>
        </w:tc>
      </w:tr>
    </w:tbl>
    <w:p>
      <w:pPr>
        <w:spacing w:after="80" w:before="80" w:line="240"/>
      </w:pPr>
      <w:r>
        <w:rPr>
          <w:rFonts w:ascii="Times New Roman" w:cs="Times New Roman" w:eastAsia="Times New Roman" w:hAnsi="Times New Roman"/>
          <w:sz w:val="20"/>
          <w:szCs w:val="20"/>
        </w:rPr>
        <w:t xml:space="preserve">Random sample of participants (planned as 10%; 55 participants, 11.1%). Records (family planning card or register) were the reference standard. 95% CIs by the Wilson method. Sensitivity in controls is based on only three controls with documented use. CI, confidence interval; FN, false negative; FP, false positive; TN, true negative; TP, true positive.</w:t>
      </w:r>
    </w:p>
    <w:p>
      <w:pPr>
        <w:keepNext/>
        <w:pageBreakBefore/>
        <w:spacing w:after="120" w:before="120" w:line="276"/>
      </w:pPr>
      <w:r>
        <w:rPr>
          <w:rFonts w:ascii="Times New Roman" w:cs="Times New Roman" w:eastAsia="Times New Roman" w:hAnsi="Times New Roman"/>
          <w:b/>
          <w:bCs/>
        </w:rPr>
        <w:t xml:space="preserve">Figure S1.</w:t>
      </w:r>
      <w:r>
        <w:rPr>
          <w:rFonts w:ascii="Times New Roman" w:cs="Times New Roman" w:eastAsia="Times New Roman" w:hAnsi="Times New Roman"/>
        </w:rPr>
        <w:t xml:space="preserve"> Directed acyclic graph used to select the adjustment set (simplified)</w:t>
      </w:r>
    </w:p>
    <w:p>
      <w:r>
        <w:drawing>
          <wp:inline distT="0" distB="0" distL="0" distR="0">
            <wp:extent cx="5715000" cy="3438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38525"/>
                    </a:xfrm>
                    <a:prstGeom prst="rect">
                      <a:avLst/>
                    </a:prstGeom>
                  </pic:spPr>
                </pic:pic>
              </a:graphicData>
            </a:graphic>
          </wp:inline>
        </w:drawing>
      </w:r>
    </w:p>
    <w:p>
      <w:pPr>
        <w:spacing w:after="80" w:before="80" w:line="240"/>
      </w:pPr>
      <w:r>
        <w:rPr>
          <w:rFonts w:ascii="Times New Roman" w:cs="Times New Roman" w:eastAsia="Times New Roman" w:hAnsi="Times New Roman"/>
          <w:sz w:val="20"/>
          <w:szCs w:val="20"/>
        </w:rPr>
        <w:t xml:space="preserve">Arrows indicate assumed causal relations. Confounders (top) were included in Model 1; matching factors (bottom) were controlled by design and by conditioning on matched set, with age and parity also included as continuous terms; mediators were not adjusted for. The full directed acyclic graph is part of the ethics-approved protocol, which is available from the corresponding author on request. BMI, body mass index.</w:t>
      </w:r>
    </w:p>
    <w:p>
      <w:pPr>
        <w:keepNext/>
        <w:spacing w:after="120" w:before="240" w:line="360"/>
      </w:pPr>
      <w:r>
        <w:rPr>
          <w:rFonts w:ascii="Times New Roman" w:cs="Times New Roman" w:eastAsia="Times New Roman" w:hAnsi="Times New Roman"/>
          <w:b/>
          <w:bCs/>
          <w:sz w:val="24"/>
          <w:szCs w:val="24"/>
        </w:rPr>
        <w:t xml:space="preserve">REFERENCES</w:t>
      </w:r>
    </w:p>
    <w:p>
      <w:pPr>
        <w:spacing w:after="80" w:line="276"/>
        <w:ind w:left="440" w:hanging="440"/>
      </w:pPr>
      <w:r>
        <w:rPr>
          <w:rFonts w:ascii="Times New Roman" w:cs="Times New Roman" w:eastAsia="Times New Roman" w:hAnsi="Times New Roman"/>
          <w:sz w:val="22"/>
          <w:szCs w:val="22"/>
        </w:rPr>
        <w:t xml:space="preserve">1.	Magee LA, Brown MA, Hall DR, et al. The 2021 International Society for the Study of Hypertension in Pregnancy classification, diagnosis &amp; management recommendations for international practice. Pregnancy Hypertens. 2022;27:148-169.</w:t>
      </w:r>
    </w:p>
    <w:p>
      <w:pPr>
        <w:spacing w:after="80" w:line="276"/>
        <w:ind w:left="440" w:hanging="440"/>
      </w:pPr>
      <w:r>
        <w:rPr>
          <w:rFonts w:ascii="Times New Roman" w:cs="Times New Roman" w:eastAsia="Times New Roman" w:hAnsi="Times New Roman"/>
          <w:sz w:val="22"/>
          <w:szCs w:val="22"/>
        </w:rPr>
        <w:t xml:space="preserve">2.	VanderWeele TJ, Ding P. Sensitivity analysis in observational research: introducing the E-value. Ann Intern Med. 2017;167:268-274.</w:t>
      </w:r>
    </w:p>
    <w:p>
      <w:pPr>
        <w:spacing w:after="80" w:line="276"/>
        <w:ind w:left="440" w:hanging="440"/>
      </w:pPr>
      <w:r>
        <w:rPr>
          <w:rFonts w:ascii="Times New Roman" w:cs="Times New Roman" w:eastAsia="Times New Roman" w:hAnsi="Times New Roman"/>
          <w:sz w:val="22"/>
          <w:szCs w:val="22"/>
        </w:rPr>
        <w:t xml:space="preserve">3.	Heinze G, Schemper M. A solution to the problem of separation in logistic regression. Stat Med. 2002;21:2409-2419.</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e13c5c72735fb5481cc77e201547b1ec403430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2026-10-09T02:34:01.061Z</dcterms:created>
  <dcterms:modified xsi:type="dcterms:W3CDTF">2026-10-09T02:34:01.061Z</dcterms:modified>
</cp:coreProperties>
</file>

<file path=docProps/custom.xml><?xml version="1.0" encoding="utf-8"?>
<Properties xmlns="http://schemas.openxmlformats.org/officeDocument/2006/custom-properties" xmlns:vt="http://schemas.openxmlformats.org/officeDocument/2006/docPropsVTypes"/>
</file>