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0E9" w:rsidRPr="00A50B24" w:rsidRDefault="00C740E9" w:rsidP="00C740E9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u w:val="single"/>
        </w:rPr>
        <w:t>Data Supplements:</w:t>
      </w:r>
    </w:p>
    <w:p w:rsidR="00C740E9" w:rsidRDefault="00C740E9" w:rsidP="00C740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Table 1: Additional clinical features and medication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SSc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patients evaluated by panel 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83"/>
        <w:gridCol w:w="3195"/>
        <w:gridCol w:w="2268"/>
      </w:tblGrid>
      <w:tr w:rsidR="00C740E9" w:rsidRPr="004D19C2" w:rsidTr="00AC33FB">
        <w:trPr>
          <w:trHeight w:val="567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Patients with available data,</w:t>
            </w:r>
          </w:p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Panel A</w:t>
            </w:r>
          </w:p>
        </w:tc>
      </w:tr>
      <w:tr w:rsidR="00C740E9" w:rsidTr="00AC33FB">
        <w:trPr>
          <w:trHeight w:val="567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Digital ulcers, n (%)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Pr="0052617A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17A">
              <w:rPr>
                <w:rFonts w:ascii="Times New Roman" w:hAnsi="Times New Roman" w:cs="Times New Roman"/>
                <w:sz w:val="24"/>
                <w:szCs w:val="24"/>
              </w:rPr>
              <w:t>361/371 (97)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 (43)</w:t>
            </w:r>
          </w:p>
        </w:tc>
      </w:tr>
      <w:tr w:rsidR="00C740E9" w:rsidTr="00AC33FB">
        <w:trPr>
          <w:trHeight w:val="567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Calcinosis, %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Pr="0052617A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17A">
              <w:rPr>
                <w:rFonts w:ascii="Times New Roman" w:hAnsi="Times New Roman" w:cs="Times New Roman"/>
                <w:sz w:val="24"/>
                <w:szCs w:val="24"/>
              </w:rPr>
              <w:t>281/371 (76)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122/281 (43)</w:t>
            </w:r>
          </w:p>
        </w:tc>
      </w:tr>
      <w:tr w:rsidR="00C740E9" w:rsidTr="00AC33FB">
        <w:trPr>
          <w:trHeight w:val="567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Any pulmonary fibrosis, n (%)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Pr="0052617A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17A">
              <w:rPr>
                <w:rFonts w:ascii="Times New Roman" w:hAnsi="Times New Roman" w:cs="Times New Roman"/>
                <w:sz w:val="24"/>
                <w:szCs w:val="24"/>
              </w:rPr>
              <w:t>356/371 (96)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198/356 (56)</w:t>
            </w:r>
          </w:p>
        </w:tc>
      </w:tr>
      <w:tr w:rsidR="00C740E9" w:rsidTr="00AC33FB">
        <w:trPr>
          <w:trHeight w:val="567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Severe pulmonary fibrosis &gt; 10 %, n (%)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Pr="0052617A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17A">
              <w:rPr>
                <w:rFonts w:ascii="Times New Roman" w:hAnsi="Times New Roman" w:cs="Times New Roman"/>
                <w:sz w:val="24"/>
                <w:szCs w:val="24"/>
              </w:rPr>
              <w:t>356/371 (96)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87/356 (24)</w:t>
            </w:r>
          </w:p>
        </w:tc>
      </w:tr>
      <w:tr w:rsidR="00C740E9" w:rsidTr="00AC33FB">
        <w:trPr>
          <w:trHeight w:val="567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PAH, n (%)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Pr="0052617A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17A">
              <w:rPr>
                <w:rFonts w:ascii="Times New Roman" w:hAnsi="Times New Roman" w:cs="Times New Roman"/>
                <w:sz w:val="24"/>
                <w:szCs w:val="24"/>
              </w:rPr>
              <w:t>371/371 (100)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 (12)</w:t>
            </w:r>
          </w:p>
        </w:tc>
      </w:tr>
      <w:tr w:rsidR="00C740E9" w:rsidTr="00AC33FB">
        <w:trPr>
          <w:trHeight w:val="567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PH-ILD, n (%)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Pr="0052617A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17A">
              <w:rPr>
                <w:rFonts w:ascii="Times New Roman" w:hAnsi="Times New Roman" w:cs="Times New Roman"/>
                <w:sz w:val="24"/>
                <w:szCs w:val="24"/>
              </w:rPr>
              <w:t>371/371 (100)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(8)</w:t>
            </w:r>
          </w:p>
        </w:tc>
      </w:tr>
      <w:tr w:rsidR="00C740E9" w:rsidTr="00AC33FB">
        <w:trPr>
          <w:trHeight w:val="567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Acetylacic acid, n (%)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Pr="0052617A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17A">
              <w:rPr>
                <w:rFonts w:ascii="Times New Roman" w:hAnsi="Times New Roman" w:cs="Times New Roman"/>
                <w:sz w:val="24"/>
                <w:szCs w:val="24"/>
              </w:rPr>
              <w:t>246/371 (66)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101/246 (41)</w:t>
            </w:r>
          </w:p>
        </w:tc>
      </w:tr>
      <w:tr w:rsidR="00C740E9" w:rsidTr="00AC33FB">
        <w:trPr>
          <w:trHeight w:val="567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Beta blockers, n (%)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Pr="0052617A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17A">
              <w:rPr>
                <w:rFonts w:ascii="Times New Roman" w:hAnsi="Times New Roman" w:cs="Times New Roman"/>
                <w:sz w:val="24"/>
                <w:szCs w:val="24"/>
              </w:rPr>
              <w:t>246/371 (66)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81/246 (33)</w:t>
            </w:r>
          </w:p>
        </w:tc>
      </w:tr>
      <w:tr w:rsidR="00C740E9" w:rsidTr="00AC33FB">
        <w:trPr>
          <w:trHeight w:val="567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Calcium channel blockers, n (%)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Pr="0052617A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17A">
              <w:rPr>
                <w:rFonts w:ascii="Times New Roman" w:hAnsi="Times New Roman" w:cs="Times New Roman"/>
                <w:sz w:val="24"/>
                <w:szCs w:val="24"/>
              </w:rPr>
              <w:t>246/371 (66)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195/246 (79)</w:t>
            </w:r>
          </w:p>
        </w:tc>
      </w:tr>
      <w:tr w:rsidR="00C740E9" w:rsidTr="00AC33FB">
        <w:trPr>
          <w:trHeight w:val="567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Pr="008863EE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 w:rsidRPr="00791E29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ACE-I/ARB II, n (%)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Pr="0052617A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17A">
              <w:rPr>
                <w:rFonts w:ascii="Times New Roman" w:hAnsi="Times New Roman" w:cs="Times New Roman"/>
                <w:sz w:val="24"/>
                <w:szCs w:val="24"/>
              </w:rPr>
              <w:t>246/371 (66)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99/246 (40)</w:t>
            </w:r>
          </w:p>
        </w:tc>
      </w:tr>
      <w:tr w:rsidR="00C740E9" w:rsidTr="00AC33FB">
        <w:trPr>
          <w:trHeight w:val="567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Diuretics, n (%)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Pr="0052617A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17A">
              <w:rPr>
                <w:rFonts w:ascii="Times New Roman" w:hAnsi="Times New Roman" w:cs="Times New Roman"/>
                <w:sz w:val="24"/>
                <w:szCs w:val="24"/>
              </w:rPr>
              <w:t>246/371 (66)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105/246 (43)</w:t>
            </w:r>
          </w:p>
        </w:tc>
      </w:tr>
      <w:tr w:rsidR="00C740E9" w:rsidTr="00AC33FB">
        <w:trPr>
          <w:trHeight w:val="567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Statins, n (%)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Pr="0052617A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17A">
              <w:rPr>
                <w:rFonts w:ascii="Times New Roman" w:hAnsi="Times New Roman" w:cs="Times New Roman"/>
                <w:sz w:val="24"/>
                <w:szCs w:val="24"/>
              </w:rPr>
              <w:t>245/371 (66)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99/245 (40)</w:t>
            </w:r>
          </w:p>
        </w:tc>
      </w:tr>
      <w:tr w:rsidR="00C740E9" w:rsidTr="00AC33FB">
        <w:trPr>
          <w:trHeight w:val="567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Anticoagulants, n (%)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Pr="0052617A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17A">
              <w:rPr>
                <w:rFonts w:ascii="Times New Roman" w:hAnsi="Times New Roman" w:cs="Times New Roman"/>
                <w:sz w:val="24"/>
                <w:szCs w:val="24"/>
              </w:rPr>
              <w:t>246/371 (66)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67/246 (27)</w:t>
            </w:r>
          </w:p>
        </w:tc>
      </w:tr>
    </w:tbl>
    <w:p w:rsidR="00C740E9" w:rsidRDefault="00C740E9" w:rsidP="00C740E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618A1">
        <w:rPr>
          <w:rFonts w:ascii="Times New Roman" w:hAnsi="Times New Roman" w:cs="Times New Roman"/>
          <w:sz w:val="20"/>
          <w:szCs w:val="20"/>
        </w:rPr>
        <w:t>ACE-I, angiotensin-converting-enzyme inhibitor; ARB II, angiotensin II receptor blocker; PAH, pulmonary arterial hypertension; PH-ILD, pulmonary hypertension from interstitial lung disease.</w:t>
      </w:r>
      <w:r>
        <w:rPr>
          <w:rFonts w:ascii="Times New Roman" w:hAnsi="Times New Roman" w:cs="Times New Roman"/>
          <w:sz w:val="20"/>
          <w:szCs w:val="20"/>
        </w:rPr>
        <w:t xml:space="preserve"> PAH/PH-ILD data are described to be complete as even patients at low suspicion of PH are referred for right heart catheterization.</w:t>
      </w:r>
    </w:p>
    <w:p w:rsidR="00C740E9" w:rsidRDefault="00C740E9" w:rsidP="00C740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2: Serological markers evaluated by Panel A and B.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9"/>
        <w:gridCol w:w="2659"/>
      </w:tblGrid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Panel A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Panel B</w:t>
            </w: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Angiopoietin 2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Activin A</w:t>
            </w: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CCL2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CCL17</w:t>
            </w: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CCL3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CCL18</w:t>
            </w: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CCL4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CCL19</w:t>
            </w: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CCL5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CCL21</w:t>
            </w: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CCL8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CD166 antigen</w:t>
            </w: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CCL11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CX</w:t>
            </w:r>
            <w:r w:rsidRPr="00FF4750">
              <w:rPr>
                <w:rFonts w:asciiTheme="majorHAnsi" w:hAnsiTheme="majorHAnsi"/>
                <w:sz w:val="20"/>
                <w:szCs w:val="20"/>
                <w:vertAlign w:val="subscript"/>
              </w:rPr>
              <w:t>3</w:t>
            </w:r>
            <w:r w:rsidRPr="009F767F">
              <w:rPr>
                <w:rFonts w:asciiTheme="majorHAnsi" w:hAnsiTheme="majorHAnsi"/>
                <w:sz w:val="20"/>
                <w:szCs w:val="20"/>
              </w:rPr>
              <w:t>CL1</w:t>
            </w: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CCL13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CXCL10</w:t>
            </w: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CCL22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DKK1</w:t>
            </w: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CCL24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Endostatin</w:t>
            </w: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CXCL13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Lipocalin-2</w:t>
            </w: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Fibroblast growth factor 1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Osteoprotegerin</w:t>
            </w: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Fibroblast growth factor 2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Osteopontin</w:t>
            </w: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Hepatocyte growth factor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Pentraxin-related protein PTX3</w:t>
            </w: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IL-1 receptor antagonist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IL-1β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IL-6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IL-8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lastRenderedPageBreak/>
              <w:t>IL-10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IL-12p70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IL-17a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IL 23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IL 33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Placental growth factor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Thymic stromal lymphopoietin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740E9" w:rsidRPr="00A15DF7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Tumor necrosis factor-related apoptosis-inducing ligand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VEGF A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VEGF C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740E9" w:rsidRPr="009F767F" w:rsidTr="00AC33FB">
        <w:trPr>
          <w:trHeight w:val="397"/>
        </w:trPr>
        <w:tc>
          <w:tcPr>
            <w:tcW w:w="2659" w:type="dxa"/>
            <w:vAlign w:val="center"/>
          </w:tcPr>
          <w:p w:rsidR="00C740E9" w:rsidRPr="009F767F" w:rsidRDefault="00C740E9" w:rsidP="00AC33FB">
            <w:pPr>
              <w:rPr>
                <w:rFonts w:asciiTheme="majorHAnsi" w:hAnsiTheme="majorHAnsi"/>
                <w:sz w:val="20"/>
                <w:szCs w:val="20"/>
              </w:rPr>
            </w:pPr>
            <w:r w:rsidRPr="009F767F">
              <w:rPr>
                <w:rFonts w:asciiTheme="majorHAnsi" w:hAnsiTheme="majorHAnsi"/>
                <w:sz w:val="20"/>
                <w:szCs w:val="20"/>
              </w:rPr>
              <w:t>VEGF D</w:t>
            </w:r>
          </w:p>
        </w:tc>
        <w:tc>
          <w:tcPr>
            <w:tcW w:w="2659" w:type="dxa"/>
            <w:vAlign w:val="center"/>
          </w:tcPr>
          <w:p w:rsidR="00C740E9" w:rsidRPr="009F767F" w:rsidRDefault="00C740E9" w:rsidP="00AC33F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C740E9" w:rsidRDefault="00C740E9" w:rsidP="00C740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740E9" w:rsidRDefault="00C740E9" w:rsidP="00C740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2303B6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2303B6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Systemic sclerosis specific d</w:t>
      </w:r>
      <w:r w:rsidRPr="002303B6">
        <w:rPr>
          <w:rFonts w:ascii="Times New Roman" w:hAnsi="Times New Roman" w:cs="Times New Roman"/>
          <w:sz w:val="24"/>
          <w:szCs w:val="24"/>
        </w:rPr>
        <w:t xml:space="preserve">emographics and cardiac outcome measures of </w:t>
      </w:r>
      <w:r>
        <w:rPr>
          <w:rFonts w:ascii="Times New Roman" w:hAnsi="Times New Roman" w:cs="Times New Roman"/>
          <w:sz w:val="24"/>
          <w:szCs w:val="24"/>
        </w:rPr>
        <w:t>patients evaluated by panel B.</w:t>
      </w:r>
    </w:p>
    <w:tbl>
      <w:tblPr>
        <w:tblStyle w:val="TableGrid"/>
        <w:tblW w:w="7225" w:type="dxa"/>
        <w:tblLook w:val="04A0" w:firstRow="1" w:lastRow="0" w:firstColumn="1" w:lastColumn="0" w:noHBand="0" w:noVBand="1"/>
      </w:tblPr>
      <w:tblGrid>
        <w:gridCol w:w="2714"/>
        <w:gridCol w:w="2407"/>
        <w:gridCol w:w="2104"/>
      </w:tblGrid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</w:tcPr>
          <w:p w:rsidR="00C740E9" w:rsidRPr="0014450D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0D">
              <w:rPr>
                <w:rFonts w:ascii="Times New Roman" w:hAnsi="Times New Roman" w:cs="Times New Roman"/>
                <w:sz w:val="24"/>
                <w:szCs w:val="24"/>
              </w:rPr>
              <w:t>Patients with available data,</w:t>
            </w:r>
          </w:p>
          <w:p w:rsidR="00C740E9" w:rsidRPr="0014450D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0D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Panel B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at serum sampling, years</w:t>
            </w:r>
          </w:p>
        </w:tc>
        <w:tc>
          <w:tcPr>
            <w:tcW w:w="2407" w:type="dxa"/>
          </w:tcPr>
          <w:p w:rsidR="00C740E9" w:rsidRPr="0014450D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298/298 (100)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56.0 (13.8)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Female, n (%)</w:t>
            </w:r>
          </w:p>
        </w:tc>
        <w:tc>
          <w:tcPr>
            <w:tcW w:w="2407" w:type="dxa"/>
          </w:tcPr>
          <w:p w:rsidR="00C740E9" w:rsidRPr="0014450D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298/298 (100)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249 (84)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Disease duration, years</w:t>
            </w:r>
          </w:p>
        </w:tc>
        <w:tc>
          <w:tcPr>
            <w:tcW w:w="2407" w:type="dxa"/>
          </w:tcPr>
          <w:p w:rsidR="00C740E9" w:rsidRPr="0014450D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285/298 (96)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 (0.5-8.7)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Observation period, years</w:t>
            </w:r>
          </w:p>
        </w:tc>
        <w:tc>
          <w:tcPr>
            <w:tcW w:w="2407" w:type="dxa"/>
          </w:tcPr>
          <w:p w:rsidR="00C740E9" w:rsidRPr="0014450D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298/298 (100)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 (5.3-9.5)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Mortality, n (%)</w:t>
            </w:r>
          </w:p>
        </w:tc>
        <w:tc>
          <w:tcPr>
            <w:tcW w:w="2407" w:type="dxa"/>
          </w:tcPr>
          <w:p w:rsidR="00C740E9" w:rsidRPr="0014450D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298/298 (100)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 (35)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lcSSc, n (%)</w:t>
            </w:r>
          </w:p>
        </w:tc>
        <w:tc>
          <w:tcPr>
            <w:tcW w:w="2407" w:type="dxa"/>
          </w:tcPr>
          <w:p w:rsidR="00C740E9" w:rsidRPr="0014450D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295/298 (99)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 (75)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ACA, n (%)</w:t>
            </w:r>
          </w:p>
        </w:tc>
        <w:tc>
          <w:tcPr>
            <w:tcW w:w="2407" w:type="dxa"/>
          </w:tcPr>
          <w:p w:rsidR="00C740E9" w:rsidRPr="0014450D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298/298 (100)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 (51)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ATA, n (%)</w:t>
            </w:r>
          </w:p>
        </w:tc>
        <w:tc>
          <w:tcPr>
            <w:tcW w:w="2407" w:type="dxa"/>
          </w:tcPr>
          <w:p w:rsidR="00C740E9" w:rsidRPr="0014450D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298/298 (100)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(17)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mRSS</w:t>
            </w:r>
          </w:p>
        </w:tc>
        <w:tc>
          <w:tcPr>
            <w:tcW w:w="2407" w:type="dxa"/>
          </w:tcPr>
          <w:p w:rsidR="00C740E9" w:rsidRPr="0014450D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275/298 (92)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(3-13)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ILD</w:t>
            </w:r>
          </w:p>
        </w:tc>
        <w:tc>
          <w:tcPr>
            <w:tcW w:w="2407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290/298 (97)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 (26)</w:t>
            </w:r>
          </w:p>
        </w:tc>
      </w:tr>
      <w:tr w:rsidR="00C740E9" w:rsidTr="00AC33FB">
        <w:tc>
          <w:tcPr>
            <w:tcW w:w="2714" w:type="dxa"/>
          </w:tcPr>
          <w:p w:rsidR="00C740E9" w:rsidRPr="0072579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BMI, kg/m</w:t>
            </w:r>
            <w:r w:rsidRPr="007257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07" w:type="dxa"/>
          </w:tcPr>
          <w:p w:rsidR="00C740E9" w:rsidRPr="0014450D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210/298 (70)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(4)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Smoking</w:t>
            </w:r>
          </w:p>
        </w:tc>
        <w:tc>
          <w:tcPr>
            <w:tcW w:w="2407" w:type="dxa"/>
          </w:tcPr>
          <w:p w:rsidR="00C740E9" w:rsidRPr="003B1808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200/298 (67)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 (61)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2407" w:type="dxa"/>
          </w:tcPr>
          <w:p w:rsidR="00C740E9" w:rsidRPr="003B1808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213/298 (71)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(12)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Ischemic heart disease</w:t>
            </w:r>
          </w:p>
        </w:tc>
        <w:tc>
          <w:tcPr>
            <w:tcW w:w="2407" w:type="dxa"/>
          </w:tcPr>
          <w:p w:rsidR="00C740E9" w:rsidRPr="003B1808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213/298 (71)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 (18)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GLS &gt; -17.0 %, n (%)</w:t>
            </w:r>
          </w:p>
        </w:tc>
        <w:tc>
          <w:tcPr>
            <w:tcW w:w="2407" w:type="dxa"/>
          </w:tcPr>
          <w:p w:rsidR="00C740E9" w:rsidRPr="0014450D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93/298 (32)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(27)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Diastolic dysfunction, n (%)</w:t>
            </w:r>
          </w:p>
        </w:tc>
        <w:tc>
          <w:tcPr>
            <w:tcW w:w="2407" w:type="dxa"/>
          </w:tcPr>
          <w:p w:rsidR="00C740E9" w:rsidRPr="0014450D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113/298 (38)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(25)</w:t>
            </w:r>
          </w:p>
        </w:tc>
      </w:tr>
      <w:tr w:rsidR="00C740E9" w:rsidTr="00AC33FB">
        <w:tc>
          <w:tcPr>
            <w:tcW w:w="2714" w:type="dxa"/>
          </w:tcPr>
          <w:p w:rsidR="00C740E9" w:rsidRDefault="00C740E9" w:rsidP="00AC33F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TAPSE &lt; 17 mm, n (%)</w:t>
            </w:r>
          </w:p>
        </w:tc>
        <w:tc>
          <w:tcPr>
            <w:tcW w:w="2407" w:type="dxa"/>
          </w:tcPr>
          <w:p w:rsidR="00C740E9" w:rsidRPr="0014450D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143/298 (48)</w:t>
            </w:r>
          </w:p>
        </w:tc>
        <w:tc>
          <w:tcPr>
            <w:tcW w:w="2104" w:type="dxa"/>
          </w:tcPr>
          <w:p w:rsidR="00C740E9" w:rsidRDefault="00C740E9" w:rsidP="00AC33F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(15)</w:t>
            </w:r>
          </w:p>
        </w:tc>
      </w:tr>
    </w:tbl>
    <w:p w:rsidR="00C740E9" w:rsidRPr="00D14C91" w:rsidRDefault="00C740E9" w:rsidP="00C740E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Data are presented as mean (SD), median (IQR) or number (percentage). </w:t>
      </w:r>
      <w:r w:rsidRPr="00903456">
        <w:rPr>
          <w:rFonts w:ascii="Times New Roman" w:hAnsi="Times New Roman" w:cs="Times New Roman"/>
          <w:sz w:val="20"/>
          <w:szCs w:val="20"/>
        </w:rPr>
        <w:t xml:space="preserve">ACA, anti-centromere antibodies; ATA, anti-topoisomerase I antibodies; BMI, body mass index; </w:t>
      </w:r>
      <w:r>
        <w:rPr>
          <w:rFonts w:ascii="Times New Roman" w:hAnsi="Times New Roman" w:cs="Times New Roman"/>
          <w:sz w:val="20"/>
          <w:szCs w:val="20"/>
        </w:rPr>
        <w:t xml:space="preserve">GLS, global longitudinal strain; </w:t>
      </w:r>
      <w:proofErr w:type="spellStart"/>
      <w:r>
        <w:rPr>
          <w:rFonts w:ascii="Times New Roman" w:hAnsi="Times New Roman" w:cs="Times New Roman"/>
          <w:sz w:val="20"/>
          <w:szCs w:val="20"/>
        </w:rPr>
        <w:t>lcSSc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limited cutaneous systemic sclerosis; </w:t>
      </w:r>
      <w:proofErr w:type="spellStart"/>
      <w:r w:rsidRPr="00903456">
        <w:rPr>
          <w:rFonts w:ascii="Times New Roman" w:hAnsi="Times New Roman" w:cs="Times New Roman"/>
          <w:sz w:val="20"/>
          <w:szCs w:val="20"/>
        </w:rPr>
        <w:t>mRSS</w:t>
      </w:r>
      <w:proofErr w:type="spellEnd"/>
      <w:r w:rsidRPr="00903456">
        <w:rPr>
          <w:rFonts w:ascii="Times New Roman" w:hAnsi="Times New Roman" w:cs="Times New Roman"/>
          <w:sz w:val="20"/>
          <w:szCs w:val="20"/>
        </w:rPr>
        <w:t xml:space="preserve">, modified </w:t>
      </w:r>
      <w:proofErr w:type="spellStart"/>
      <w:r w:rsidRPr="00903456">
        <w:rPr>
          <w:rFonts w:ascii="Times New Roman" w:hAnsi="Times New Roman" w:cs="Times New Roman"/>
          <w:sz w:val="20"/>
          <w:szCs w:val="20"/>
        </w:rPr>
        <w:t>Rodnan</w:t>
      </w:r>
      <w:proofErr w:type="spellEnd"/>
      <w:r w:rsidRPr="00903456">
        <w:rPr>
          <w:rFonts w:ascii="Times New Roman" w:hAnsi="Times New Roman" w:cs="Times New Roman"/>
          <w:sz w:val="20"/>
          <w:szCs w:val="20"/>
        </w:rPr>
        <w:t xml:space="preserve"> skin score; </w:t>
      </w:r>
      <w:r>
        <w:rPr>
          <w:rFonts w:ascii="Times New Roman" w:hAnsi="Times New Roman" w:cs="Times New Roman"/>
          <w:sz w:val="20"/>
          <w:szCs w:val="20"/>
        </w:rPr>
        <w:t>TAPSE, tricuspid annular plane systolic excursion.</w:t>
      </w:r>
      <w:r w:rsidRPr="0090345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Parameters of cardiac function are evaluated on </w:t>
      </w:r>
      <w:proofErr w:type="spellStart"/>
      <w:r>
        <w:rPr>
          <w:rFonts w:ascii="Times New Roman" w:hAnsi="Times New Roman" w:cs="Times New Roman"/>
          <w:sz w:val="20"/>
          <w:szCs w:val="20"/>
        </w:rPr>
        <w:t>echocardiographies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performed within three years from blood sampling.</w:t>
      </w:r>
    </w:p>
    <w:p w:rsidR="00C740E9" w:rsidRDefault="00C740E9" w:rsidP="00C740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740E9" w:rsidRDefault="00C740E9" w:rsidP="00C740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Figure 1: Serum levels of angiopoietin 2, </w:t>
      </w:r>
      <w:proofErr w:type="spellStart"/>
      <w:r>
        <w:rPr>
          <w:rFonts w:ascii="Times New Roman" w:hAnsi="Times New Roman" w:cs="Times New Roman"/>
          <w:sz w:val="24"/>
          <w:szCs w:val="24"/>
        </w:rPr>
        <w:t>osteopontin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TRAIL in </w:t>
      </w:r>
      <w:proofErr w:type="spellStart"/>
      <w:r>
        <w:rPr>
          <w:rFonts w:ascii="Times New Roman" w:hAnsi="Times New Roman" w:cs="Times New Roman"/>
          <w:sz w:val="24"/>
          <w:szCs w:val="24"/>
        </w:rPr>
        <w:t>SSc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patients and healthy controls</w:t>
      </w:r>
    </w:p>
    <w:p w:rsidR="00C740E9" w:rsidRDefault="00C740E9" w:rsidP="00C740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4E07DD" wp14:editId="43909568">
            <wp:extent cx="5760720" cy="2141220"/>
            <wp:effectExtent l="0" t="0" r="0" b="0"/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 Anders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0883" w:rsidRDefault="00C740E9"/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0E9"/>
    <w:rsid w:val="001A6D85"/>
    <w:rsid w:val="006E330B"/>
    <w:rsid w:val="00B1111D"/>
    <w:rsid w:val="00C253AF"/>
    <w:rsid w:val="00C740E9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61A025-FEDB-4909-9DE4-BD82BAA76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40E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40E9"/>
    <w:pPr>
      <w:spacing w:after="0" w:line="240" w:lineRule="auto"/>
    </w:pPr>
    <w:rPr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471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2021-12-17T12:17:00Z</dcterms:created>
  <dcterms:modified xsi:type="dcterms:W3CDTF">2021-12-17T12:17:00Z</dcterms:modified>
</cp:coreProperties>
</file>