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2BF8" w14:textId="77777777" w:rsidR="00BF1311" w:rsidRPr="00056E1F" w:rsidRDefault="00BF1311" w:rsidP="00BF1311">
      <w:pPr>
        <w:spacing w:after="0" w:line="480" w:lineRule="auto"/>
        <w:rPr>
          <w:rFonts w:ascii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056E1F">
        <w:rPr>
          <w:rFonts w:ascii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Supplementary Table 1. Primer pairs used for gene expression analysis in </w:t>
      </w:r>
      <w:r w:rsidRPr="00056E1F"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:lang w:eastAsia="en-GB"/>
          <w14:ligatures w14:val="none"/>
        </w:rPr>
        <w:t>Rhizopogon roseolus</w:t>
      </w:r>
      <w:r w:rsidRPr="00056E1F">
        <w:rPr>
          <w:rFonts w:ascii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TUFC10010 and their quality parameters predicted using OligoAnalyzer</w:t>
      </w:r>
    </w:p>
    <w:tbl>
      <w:tblPr>
        <w:tblStyle w:val="TableGrid"/>
        <w:tblW w:w="8870" w:type="dxa"/>
        <w:tblBorders>
          <w:top w:val="none" w:sz="0" w:space="0" w:color="auto"/>
          <w:left w:val="none" w:sz="0" w:space="0" w:color="auto"/>
          <w:bottom w:val="single" w:sz="4" w:space="0" w:color="FFFFFF" w:themeColor="background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794"/>
        <w:gridCol w:w="1757"/>
        <w:gridCol w:w="567"/>
        <w:gridCol w:w="567"/>
        <w:gridCol w:w="850"/>
        <w:gridCol w:w="850"/>
        <w:gridCol w:w="796"/>
        <w:gridCol w:w="567"/>
        <w:gridCol w:w="567"/>
      </w:tblGrid>
      <w:tr w:rsidR="00BF1311" w:rsidRPr="00056E1F" w14:paraId="2C9F6793" w14:textId="77777777" w:rsidTr="00750150">
        <w:tc>
          <w:tcPr>
            <w:tcW w:w="42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19959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8CD38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Genes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9B4CF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 xml:space="preserve">Primer 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E56BE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Sequence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68C57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T</w:t>
            </w: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vertAlign w:val="subscript"/>
                <w:lang w:val="en-GB" w:eastAsia="en-GB"/>
                <w14:ligatures w14:val="none"/>
              </w:rPr>
              <w:t>m</w:t>
            </w: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 xml:space="preserve"> (</w:t>
            </w: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vertAlign w:val="superscript"/>
                <w:lang w:val="en-GB" w:eastAsia="en-GB"/>
                <w14:ligatures w14:val="none"/>
              </w:rPr>
              <w:t>o</w:t>
            </w: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C)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6C7CE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GC (%)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400DB32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Hairpin ΔG (kcal/mol)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E6043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Selfdimer ΔG (kcal/mol)</w:t>
            </w:r>
          </w:p>
        </w:tc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3CF09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Heterodimer  ΔG (kcal/mol)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E6FB0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Product length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38B5B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Product Tm (</w:t>
            </w: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vertAlign w:val="superscript"/>
                <w:lang w:val="en-GB" w:eastAsia="en-GB"/>
                <w14:ligatures w14:val="none"/>
              </w:rPr>
              <w:t>o</w:t>
            </w: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C)</w:t>
            </w:r>
          </w:p>
        </w:tc>
      </w:tr>
      <w:tr w:rsidR="00BF1311" w:rsidRPr="00056E1F" w14:paraId="371E1083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553A2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2A5F75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actin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40F7FF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ACT1_F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01AD87D2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CTGAGCCTCATCACCAAC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7940294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59.5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D7C662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55.6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867E38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0.13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490611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-5.13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E9D89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280BC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157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257A33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78.6</w:t>
            </w:r>
          </w:p>
        </w:tc>
      </w:tr>
      <w:tr w:rsidR="00BF1311" w:rsidRPr="00056E1F" w14:paraId="2A6596A1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6C31A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CB9B91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BFFB1D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ACT1_R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B56DEFF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GCTGCACTCGTTATTGATAAC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5EB5BE9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59.4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7D5CAA0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42.9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6F390D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-1.31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2908F1F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-7.05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371A0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EE1FB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5445B0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721E8A24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6506BF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4AB58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chitin synthase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B22CAD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CS1_R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0CD83C9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GCCGATACACAAGTAAAG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0745876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55.2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167EB3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44.4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5AB72EF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-0.4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409183F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81349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-5.19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CCC2B3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141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FA4034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79</w:t>
            </w:r>
          </w:p>
        </w:tc>
      </w:tr>
      <w:tr w:rsidR="00BF1311" w:rsidRPr="00056E1F" w14:paraId="2A6EC35B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A66EA2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3EEF18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0B4961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CS1_F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AEFE113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CTCGTATACCTGAATCATC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F9A907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54.2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37A5C52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42.1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D8A514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0.47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E5CC2E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-6.08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AE9F2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1C05F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B1D9F2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4FEC806C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493D8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2CA66D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β-1,3-glucan synthase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59D7C222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BG1_F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453F7A94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GAAGATAGCAGGCAGAAC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F4E4CA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57.1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9DF175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E8FC77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NA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5CE4E08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-3.14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87486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-4.01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F186B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94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C8DDA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76.7</w:t>
            </w:r>
          </w:p>
        </w:tc>
      </w:tr>
      <w:tr w:rsidR="00BF1311" w:rsidRPr="00056E1F" w14:paraId="23ECA6F0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F079BE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F3EF1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2629065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BG1_R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EE563DE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GAGACAGAGAAGATGGATTATC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113505D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57.6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3A2D691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40.9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7B2641D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-0.39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5B9D4A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-3.05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2050B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C4E62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3BE3B1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719A9F50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8CCFBA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DF5E4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Mn/Fe superoxide dismutase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62FD7F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SOD1_F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547D6F1B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CTTCATGTCGCCAAGGAC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B1C3E1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60.1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3587E08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55.6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38BDC74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-0.78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393C58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-5.38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70D2C0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-6.21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F5FB31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214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65131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75.7</w:t>
            </w:r>
          </w:p>
        </w:tc>
      </w:tr>
      <w:tr w:rsidR="00BF1311" w:rsidRPr="00056E1F" w14:paraId="12AC1B0E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DEBC3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2E7897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2790400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SOD1_R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3F59BDE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GAGGTCGGAGGCAGTTG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069847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61.4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B0C9E6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64.7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3E24C97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-0.39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2451354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76430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5F65A02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E7B8D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7D8F0A34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96ABF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25038A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thioredoxin reductase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5A9A971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TR1_F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77A241B0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CTTATCTGACCAAGTACGG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6BEFDF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56.5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0821BE7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1952EA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-0.73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32C935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1C568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-6.37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314E0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119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08BC84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79.5</w:t>
            </w:r>
          </w:p>
        </w:tc>
      </w:tr>
      <w:tr w:rsidR="00BF1311" w:rsidRPr="00056E1F" w14:paraId="45D78B43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38778D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F344F1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4CADDA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TR1_R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75A52CC5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GTTCCAGAGAATGGTGATC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5CB3861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57.3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E2CECC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47.4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C85BF1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-2.05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200421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-5.02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EF49F2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89C45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3D905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33EFF040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06568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31E33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ATP synthase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BE77A8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ATP_F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A55091A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CATCCGAGGTTTCTTCCATAC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5B4B1CC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54.8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B9C2BE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47.6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14D116F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-0.73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4A2CB5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5F46F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-5.12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31FEF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94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1035E2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82.6</w:t>
            </w:r>
          </w:p>
        </w:tc>
      </w:tr>
      <w:tr w:rsidR="00BF1311" w:rsidRPr="00056E1F" w14:paraId="025411AD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6E0963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EFF3C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506808C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ATP_R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225EBA6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TCACCGACGCTCAAGAC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3CE16F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55.1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545415D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59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38D79D1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0.64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2B28B7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9C533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30D3F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40C86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3A524850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E36C48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1F69F5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cytochrome c oxidase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3E30BBD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COX_F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EA2E6CB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GAGAGGAACTTGGCATAGACAC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7A7CE2B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57.3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412991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7888D98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-0.52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350D204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-0.52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39B10C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-5.09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EDFF18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148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424B5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82.4</w:t>
            </w:r>
          </w:p>
        </w:tc>
      </w:tr>
      <w:tr w:rsidR="00BF1311" w:rsidRPr="00056E1F" w14:paraId="5BD94F7E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AD05F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C9E96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E0D1CF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COX_R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281D382D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TAGTCGAGGCACTGCAACT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400E746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57.5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31B5228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53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CF95993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-0.89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54EE246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-3.14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EF798F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BB47794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5C2A8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</w:tr>
      <w:tr w:rsidR="00BF1311" w:rsidRPr="00056E1F" w14:paraId="44F05460" w14:textId="77777777" w:rsidTr="00750150">
        <w:tc>
          <w:tcPr>
            <w:tcW w:w="421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CB80A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C140F8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calmodulin</w:t>
            </w:r>
          </w:p>
        </w:tc>
        <w:tc>
          <w:tcPr>
            <w:tcW w:w="794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8A4FEC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CAL_F</w:t>
            </w:r>
          </w:p>
        </w:tc>
        <w:tc>
          <w:tcPr>
            <w:tcW w:w="175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0CCF8D89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TAGGCGAGAAGTTGACC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17587C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51.5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4E7A4CD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52.9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25AA4ACE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0.62</w:t>
            </w:r>
          </w:p>
        </w:tc>
        <w:tc>
          <w:tcPr>
            <w:tcW w:w="850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11047DC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4592270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-3.61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A8B0DE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107</w:t>
            </w:r>
          </w:p>
        </w:tc>
        <w:tc>
          <w:tcPr>
            <w:tcW w:w="567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3A17AC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83</w:t>
            </w:r>
          </w:p>
        </w:tc>
      </w:tr>
      <w:tr w:rsidR="00BF1311" w:rsidRPr="00056E1F" w14:paraId="308FD153" w14:textId="77777777" w:rsidTr="00750150">
        <w:tc>
          <w:tcPr>
            <w:tcW w:w="421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2E1BB2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D647B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F8A5BA7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CAL_R</w:t>
            </w:r>
          </w:p>
        </w:tc>
        <w:tc>
          <w:tcPr>
            <w:tcW w:w="175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9EAC82B" w14:textId="77777777" w:rsidR="00BF1311" w:rsidRPr="00056E1F" w:rsidRDefault="00BF1311" w:rsidP="00750150">
            <w:pPr>
              <w:spacing w:line="48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056E1F">
              <w:rPr>
                <w:rFonts w:ascii="Times New Roman" w:hAnsi="Times New Roman" w:cs="Times New Roman"/>
                <w:sz w:val="10"/>
                <w:szCs w:val="10"/>
              </w:rPr>
              <w:t>CGACAGCATCATCTTCAC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F0E03CB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51.7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7B46B58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50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0F86FEB1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0"/>
                <w:szCs w:val="10"/>
                <w:lang w:val="en-GB" w:eastAsia="en-GB"/>
                <w14:ligatures w14:val="none"/>
              </w:rPr>
              <w:t>-0.23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48E5791C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2"/>
                <w:szCs w:val="12"/>
                <w:lang w:val="en-GB" w:eastAsia="en-GB"/>
                <w14:ligatures w14:val="none"/>
              </w:rPr>
            </w:pPr>
            <w:r w:rsidRPr="00056E1F">
              <w:rPr>
                <w:rFonts w:ascii="Times New Roman" w:hAnsi="Times New Roman" w:cs="Times New Roman"/>
                <w:kern w:val="0"/>
                <w:sz w:val="12"/>
                <w:szCs w:val="12"/>
                <w:lang w:val="en-GB" w:eastAsia="en-GB"/>
                <w14:ligatures w14:val="none"/>
              </w:rPr>
              <w:t>-3.61</w:t>
            </w:r>
          </w:p>
        </w:tc>
        <w:tc>
          <w:tcPr>
            <w:tcW w:w="79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63F27A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2"/>
                <w:szCs w:val="12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359FAD9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2"/>
                <w:szCs w:val="12"/>
                <w:lang w:val="en-GB" w:eastAsia="en-GB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F95072" w14:textId="77777777" w:rsidR="00BF1311" w:rsidRPr="00056E1F" w:rsidRDefault="00BF1311" w:rsidP="00750150">
            <w:pPr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12"/>
                <w:szCs w:val="12"/>
                <w:lang w:val="en-GB" w:eastAsia="en-GB"/>
                <w14:ligatures w14:val="none"/>
              </w:rPr>
            </w:pPr>
          </w:p>
        </w:tc>
      </w:tr>
    </w:tbl>
    <w:p w14:paraId="185E2191" w14:textId="77777777" w:rsidR="00BF1311" w:rsidRPr="00056E1F" w:rsidRDefault="00BF1311" w:rsidP="00BF1311">
      <w:pPr>
        <w:spacing w:line="480" w:lineRule="auto"/>
        <w:rPr>
          <w:rFonts w:ascii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</w:p>
    <w:p w14:paraId="6E3A64EE" w14:textId="77777777" w:rsidR="00BF1311" w:rsidRPr="00056E1F" w:rsidRDefault="00BF1311" w:rsidP="00BF1311">
      <w:pPr>
        <w:spacing w:after="0" w:line="480" w:lineRule="auto"/>
        <w:jc w:val="center"/>
        <w:rPr>
          <w:rFonts w:ascii="Times New Roman" w:hAnsi="Times New Roman" w:cs="Times New Roman"/>
          <w:kern w:val="0"/>
          <w:sz w:val="20"/>
          <w:szCs w:val="20"/>
          <w:lang w:val="en-GB" w:eastAsia="en-GB"/>
          <w14:ligatures w14:val="none"/>
        </w:rPr>
      </w:pPr>
      <w:r w:rsidRPr="00056E1F">
        <w:rPr>
          <w:rFonts w:ascii="Times New Roman" w:hAnsi="Times New Roman" w:cs="Times New Roman"/>
          <w:noProof/>
        </w:rPr>
        <w:drawing>
          <wp:inline distT="0" distB="0" distL="0" distR="0" wp14:anchorId="15CE2AD3" wp14:editId="214D8D63">
            <wp:extent cx="3804128" cy="2160000"/>
            <wp:effectExtent l="0" t="0" r="0" b="0"/>
            <wp:docPr id="1162700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2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E1F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14:paraId="513EF393" w14:textId="77777777" w:rsidR="00BF1311" w:rsidRPr="00056E1F" w:rsidRDefault="00BF1311" w:rsidP="00BF1311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6E1F">
        <w:rPr>
          <w:rFonts w:ascii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 xml:space="preserve">Supplementary Fig 1. Agarose gel electrophoresis of RT-qPCR amplicon </w:t>
      </w:r>
      <w:r w:rsidRPr="00056E1F">
        <w:rPr>
          <w:rFonts w:ascii="Times New Roman" w:hAnsi="Times New Roman" w:cs="Times New Roman"/>
          <w:b/>
          <w:bCs/>
          <w:sz w:val="20"/>
          <w:szCs w:val="20"/>
        </w:rPr>
        <w:t xml:space="preserve">from </w:t>
      </w:r>
      <w:r w:rsidRPr="00056E1F">
        <w:rPr>
          <w:rFonts w:ascii="Times New Roman" w:hAnsi="Times New Roman" w:cs="Times New Roman"/>
          <w:b/>
          <w:bCs/>
          <w:i/>
          <w:iCs/>
          <w:sz w:val="20"/>
          <w:szCs w:val="20"/>
        </w:rPr>
        <w:t>Rhizopogon roseolus</w:t>
      </w:r>
      <w:r w:rsidRPr="00056E1F">
        <w:rPr>
          <w:rFonts w:ascii="Times New Roman" w:hAnsi="Times New Roman" w:cs="Times New Roman"/>
          <w:b/>
          <w:bCs/>
          <w:sz w:val="20"/>
          <w:szCs w:val="20"/>
        </w:rPr>
        <w:t xml:space="preserve"> TUFC10010</w:t>
      </w:r>
      <w:r w:rsidRPr="00056E1F">
        <w:rPr>
          <w:rFonts w:ascii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>.</w:t>
      </w:r>
      <w:r w:rsidRPr="00056E1F">
        <w:rPr>
          <w:rFonts w:ascii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Primer pairs targeted actin (ACT1), chitin synthase (CS1), </w:t>
      </w:r>
      <w:r w:rsidRPr="00056E1F">
        <w:rPr>
          <w:rFonts w:ascii="Times New Roman" w:hAnsi="Times New Roman" w:cs="Times New Roman"/>
          <w:sz w:val="20"/>
          <w:szCs w:val="20"/>
        </w:rPr>
        <w:t xml:space="preserve">β-1,3-glucan synthase (BG1), Mn/Fe superoxide dismutase (SOD), thioredoxin reductase (TR1), ATP synthase F1 alpha subunit (ATP), cytochrome c </w:t>
      </w:r>
      <w:r w:rsidRPr="00056E1F">
        <w:rPr>
          <w:rFonts w:ascii="Times New Roman" w:hAnsi="Times New Roman" w:cs="Times New Roman"/>
          <w:sz w:val="20"/>
          <w:szCs w:val="20"/>
        </w:rPr>
        <w:lastRenderedPageBreak/>
        <w:t>oxidase (COX), and calmodulin (CAL). The observed amplicon sizes were consistent with the predicted size from OligoAnalyzer.</w:t>
      </w:r>
    </w:p>
    <w:p w14:paraId="771324A4" w14:textId="77777777" w:rsidR="00BF1311" w:rsidRPr="00056E1F" w:rsidRDefault="00BF1311" w:rsidP="00BF1311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71AA67" w14:textId="77777777" w:rsidR="00BF1311" w:rsidRPr="00056E1F" w:rsidRDefault="00BF1311" w:rsidP="00BF1311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6E1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35D34D" wp14:editId="26F7FDA0">
            <wp:extent cx="3369734" cy="2439379"/>
            <wp:effectExtent l="0" t="0" r="2540" b="0"/>
            <wp:docPr id="7098899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12" cy="24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310F5" w14:textId="77777777" w:rsidR="00BF1311" w:rsidRPr="00056E1F" w:rsidRDefault="00BF1311" w:rsidP="00BF1311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6E1F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 2. Melting-curve analysis of RT-qPCR amplicons from </w:t>
      </w:r>
      <w:r w:rsidRPr="00056E1F">
        <w:rPr>
          <w:rFonts w:ascii="Times New Roman" w:hAnsi="Times New Roman" w:cs="Times New Roman"/>
          <w:b/>
          <w:bCs/>
          <w:i/>
          <w:iCs/>
          <w:sz w:val="20"/>
          <w:szCs w:val="20"/>
        </w:rPr>
        <w:t>Rhizopogon roseolus</w:t>
      </w:r>
      <w:r w:rsidRPr="00056E1F">
        <w:rPr>
          <w:rFonts w:ascii="Times New Roman" w:hAnsi="Times New Roman" w:cs="Times New Roman"/>
          <w:b/>
          <w:bCs/>
          <w:sz w:val="20"/>
          <w:szCs w:val="20"/>
        </w:rPr>
        <w:t xml:space="preserve"> TUFC10010</w:t>
      </w:r>
      <w:r w:rsidRPr="00056E1F">
        <w:rPr>
          <w:rFonts w:ascii="Times New Roman" w:hAnsi="Times New Roman" w:cs="Times New Roman"/>
          <w:b/>
          <w:bCs/>
          <w:kern w:val="0"/>
          <w:sz w:val="20"/>
          <w:szCs w:val="20"/>
          <w:lang w:val="en-GB" w:eastAsia="en-GB"/>
          <w14:ligatures w14:val="none"/>
        </w:rPr>
        <w:t>.</w:t>
      </w:r>
      <w:r w:rsidRPr="00056E1F">
        <w:rPr>
          <w:rFonts w:ascii="Times New Roman" w:hAnsi="Times New Roman" w:cs="Times New Roman"/>
          <w:kern w:val="0"/>
          <w:sz w:val="20"/>
          <w:szCs w:val="20"/>
          <w:lang w:val="en-GB" w:eastAsia="en-GB"/>
          <w14:ligatures w14:val="none"/>
        </w:rPr>
        <w:t xml:space="preserve"> The primer pairs includes (A) ACT1 targeting actin, (B) CS1 targeting chitin synthase, (C) BG1 targeting </w:t>
      </w:r>
      <w:r w:rsidRPr="00056E1F">
        <w:rPr>
          <w:rFonts w:ascii="Times New Roman" w:hAnsi="Times New Roman" w:cs="Times New Roman"/>
          <w:sz w:val="20"/>
          <w:szCs w:val="20"/>
        </w:rPr>
        <w:t xml:space="preserve">β-1,3-glucan synthase (BG1), (D) SOD targeting Mn/Fe superoxide dismutase, (E) TR1 targeting thioredoxin reductase, (F) ATP targeting ATP synthase F1 alpha subunit, (G) COX targeting cytochrome c oxidase, and (H) CAL targeting calmodulin. The observed melting temperature were close to the values predicted by OligoAnalyzer. Each amplicon produced a single sharp melting peak which indicates the present of specific amplicon. </w:t>
      </w:r>
    </w:p>
    <w:p w14:paraId="691EF91C" w14:textId="77777777" w:rsidR="00E023F9" w:rsidRDefault="00E023F9"/>
    <w:sectPr w:rsidR="00E023F9" w:rsidSect="00BF1311">
      <w:footerReference w:type="default" r:id="rId6"/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7510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9B600" w14:textId="77777777" w:rsidR="00BF1311" w:rsidRDefault="00BF13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57CD6E" w14:textId="77777777" w:rsidR="00BF1311" w:rsidRDefault="00BF131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11"/>
    <w:rsid w:val="000C4033"/>
    <w:rsid w:val="000D688D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BF131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EF8A3"/>
  <w15:chartTrackingRefBased/>
  <w15:docId w15:val="{C83E7DEC-011D-4A4F-821A-ECEC6456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311"/>
    <w:rPr>
      <w:rFonts w:eastAsiaTheme="minorEastAsia"/>
      <w:lang w:val="en-ID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3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3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F1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F1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311"/>
    <w:pPr>
      <w:spacing w:before="160"/>
      <w:jc w:val="center"/>
    </w:pPr>
    <w:rPr>
      <w:rFonts w:eastAsiaTheme="minorHAnsi"/>
      <w:i/>
      <w:iCs/>
      <w:color w:val="404040" w:themeColor="text1" w:themeTint="BF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1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311"/>
    <w:pPr>
      <w:ind w:left="720"/>
      <w:contextualSpacing/>
    </w:pPr>
    <w:rPr>
      <w:rFonts w:eastAsiaTheme="minorHAnsi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BF13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3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3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F1311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F1311"/>
    <w:rPr>
      <w:rFonts w:ascii="Times New Roman" w:eastAsiaTheme="minorEastAsia" w:hAnsi="Times New Roman"/>
      <w:sz w:val="20"/>
      <w:lang w:val="en-ID" w:eastAsia="ja-JP"/>
    </w:rPr>
  </w:style>
  <w:style w:type="table" w:styleId="TableGrid">
    <w:name w:val="Table Grid"/>
    <w:basedOn w:val="TableNormal"/>
    <w:uiPriority w:val="39"/>
    <w:rsid w:val="00BF1311"/>
    <w:pPr>
      <w:spacing w:after="0" w:line="240" w:lineRule="auto"/>
    </w:pPr>
    <w:rPr>
      <w:rFonts w:eastAsiaTheme="minorEastAsia"/>
      <w:lang w:val="en-ID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F1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2026-11-03T14:38:00Z</dcterms:created>
  <dcterms:modified xsi:type="dcterms:W3CDTF">2026-11-03T14:38:00Z</dcterms:modified>
</cp:coreProperties>
</file>