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00"/>
        <w:gridCol w:w="665"/>
        <w:gridCol w:w="2231"/>
        <w:gridCol w:w="1238"/>
        <w:gridCol w:w="921"/>
        <w:gridCol w:w="974"/>
        <w:gridCol w:w="1503"/>
        <w:gridCol w:w="1208"/>
      </w:tblGrid>
      <w:tr w:rsidR="00AD3D84" w14:paraId="64AB9604" w14:textId="77777777" w:rsidTr="00DA2388">
        <w:trPr>
          <w:trHeight w:val="400"/>
        </w:trPr>
        <w:tc>
          <w:tcPr>
            <w:tcW w:w="67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8C0C1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bookmarkStart w:id="0" w:name="RANGE!B1:I7"/>
            <w:r>
              <w:rPr>
                <w:rFonts w:ascii="Times New Roman" w:eastAsia="Yu Gothic" w:hAnsi="Times New Roman" w:cs="Times New Roman"/>
                <w:color w:val="000000"/>
              </w:rPr>
              <w:t>Table 1. Details of seaweed species, collection and storage methods</w:t>
            </w:r>
            <w:bookmarkEnd w:id="0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79CE1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A4BD1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4FDE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3C14D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3D84" w14:paraId="4342C4C8" w14:textId="77777777" w:rsidTr="00DA2388">
        <w:trPr>
          <w:trHeight w:val="400"/>
        </w:trPr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A6F8A3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Seaweed species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D4F3F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Diet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5E90B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Locality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FA3DF0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Site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6EC16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N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C0846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E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1617B5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 xml:space="preserve">Date 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985005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Storage</w:t>
            </w:r>
          </w:p>
        </w:tc>
      </w:tr>
      <w:tr w:rsidR="00AD3D84" w14:paraId="3A85AFD5" w14:textId="77777777" w:rsidTr="00DA2388">
        <w:trPr>
          <w:trHeight w:val="4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3F4E2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Gloiopeltis furcata</w:t>
            </w:r>
            <w:r>
              <w:rPr>
                <w:rFonts w:ascii="Times New Roman" w:eastAsia="Yu Gothic" w:hAnsi="Times New Roman" w:cs="Times New Roman"/>
                <w:color w:val="000000"/>
              </w:rPr>
              <w:t xml:space="preserve"> var. 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68634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GF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7355C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Kesennuma, Miyagi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6D44E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Oya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B6B8E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38°81΄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A21C4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141°57΄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E4DB8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 xml:space="preserve">May 2017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86CE1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Frozen</w:t>
            </w:r>
          </w:p>
        </w:tc>
      </w:tr>
      <w:tr w:rsidR="00AD3D84" w14:paraId="10065D14" w14:textId="77777777" w:rsidTr="00DA2388">
        <w:trPr>
          <w:trHeight w:val="4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74BC8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coriformis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3037C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GD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97EFE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9B309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6352A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25E60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8C14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990D7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Air-dried</w:t>
            </w:r>
          </w:p>
        </w:tc>
      </w:tr>
      <w:tr w:rsidR="00AD3D84" w14:paraId="0C79D041" w14:textId="77777777" w:rsidTr="00DA2388">
        <w:trPr>
          <w:trHeight w:val="4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7AFE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Mazzaella japonica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3AFC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MF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D825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Hirono, Iwate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BF45B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Taneichi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A3D00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40°22΄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2D8E1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141°45΄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70C33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March 2017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BDFE9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Frozen</w:t>
            </w:r>
          </w:p>
        </w:tc>
      </w:tr>
      <w:tr w:rsidR="00AD3D84" w14:paraId="44880BF5" w14:textId="77777777" w:rsidTr="00DA2388">
        <w:trPr>
          <w:trHeight w:val="4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70297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Scytosiphon lomentaria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B1E71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SlF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BA8BE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57D1B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D46DC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156E" w14:textId="77777777" w:rsidR="00AD3D84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6D695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March 2017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2EB43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Frozen</w:t>
            </w:r>
          </w:p>
        </w:tc>
      </w:tr>
      <w:tr w:rsidR="00AD3D84" w14:paraId="543CC7C2" w14:textId="77777777" w:rsidTr="00DA2388">
        <w:trPr>
          <w:trHeight w:val="400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F8CB2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Saccharina japonica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56892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SjF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99610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Kesennuma, Miyagi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4EA24E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Hashikami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5508B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38°84΄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DFC5E7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141°60΄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80DDA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 xml:space="preserve">May 2017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8435B" w14:textId="77777777" w:rsidR="00AD3D84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>
              <w:rPr>
                <w:rFonts w:ascii="Times New Roman" w:eastAsia="Yu Gothic" w:hAnsi="Times New Roman" w:cs="Times New Roman"/>
                <w:color w:val="000000"/>
              </w:rPr>
              <w:t>Frozen</w:t>
            </w:r>
          </w:p>
        </w:tc>
      </w:tr>
    </w:tbl>
    <w:p w14:paraId="3AC8452E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3012B82C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59304E3E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2D368DB2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20E6B218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4D4B00AF" w14:textId="77777777" w:rsidR="00AD3D84" w:rsidRDefault="00AD3D84" w:rsidP="00AD3D84">
      <w:pPr>
        <w:snapToGrid w:val="0"/>
        <w:spacing w:line="480" w:lineRule="auto"/>
        <w:rPr>
          <w:color w:val="000000"/>
        </w:rPr>
        <w:sectPr w:rsidR="00AD3D84" w:rsidSect="00AD3D84">
          <w:pgSz w:w="16817" w:h="11906" w:orient="landscape"/>
          <w:pgMar w:top="1701" w:right="1701" w:bottom="1701" w:left="1985" w:header="720" w:footer="720" w:gutter="0"/>
          <w:lnNumType w:countBy="1" w:restart="continuous"/>
          <w:cols w:space="720"/>
          <w:docGrid w:type="lines" w:linePitch="360"/>
        </w:sectPr>
      </w:pPr>
    </w:p>
    <w:p w14:paraId="51661BBB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5542ACD3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79ECF6F6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tbl>
      <w:tblPr>
        <w:tblW w:w="7456" w:type="dxa"/>
        <w:tblInd w:w="99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2"/>
        <w:gridCol w:w="318"/>
        <w:gridCol w:w="1835"/>
        <w:gridCol w:w="1511"/>
        <w:gridCol w:w="1808"/>
        <w:gridCol w:w="1463"/>
        <w:gridCol w:w="204"/>
      </w:tblGrid>
      <w:tr w:rsidR="00AD3D84" w:rsidRPr="00681855" w14:paraId="18773046" w14:textId="77777777" w:rsidTr="00DA2388">
        <w:trPr>
          <w:gridAfter w:val="1"/>
          <w:wAfter w:w="36" w:type="dxa"/>
          <w:trHeight w:val="400"/>
        </w:trPr>
        <w:tc>
          <w:tcPr>
            <w:tcW w:w="74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B332E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Table 2. Proximate constituents (%) in each seaweed diet (m ± SE)</w:t>
            </w:r>
          </w:p>
        </w:tc>
      </w:tr>
      <w:tr w:rsidR="00AD3D84" w:rsidRPr="00681855" w14:paraId="40514E8D" w14:textId="77777777" w:rsidTr="00DA2388">
        <w:trPr>
          <w:gridAfter w:val="1"/>
          <w:wAfter w:w="36" w:type="dxa"/>
          <w:trHeight w:val="400"/>
        </w:trPr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3A8A0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Diet</w:t>
            </w:r>
          </w:p>
        </w:tc>
        <w:tc>
          <w:tcPr>
            <w:tcW w:w="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E8C8A1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n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65C5C5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Crude protein 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0E504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Crude lipid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3EAB1C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Carbohydrate 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7374C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Ash </w:t>
            </w:r>
          </w:p>
        </w:tc>
      </w:tr>
      <w:tr w:rsidR="00AD3D84" w:rsidRPr="00681855" w14:paraId="4ABF1077" w14:textId="77777777" w:rsidTr="00DA2388">
        <w:trPr>
          <w:gridAfter w:val="1"/>
          <w:wAfter w:w="36" w:type="dxa"/>
          <w:trHeight w:val="4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5F74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GF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D8BA8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36D72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16.2 ± 0.7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77D9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0.8 ± 0.1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739C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59.4 ± 1.0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EEDA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23.6 ± 0.3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</w:tr>
      <w:tr w:rsidR="00AD3D84" w:rsidRPr="00681855" w14:paraId="3C15BC27" w14:textId="77777777" w:rsidTr="00DA2388">
        <w:trPr>
          <w:gridAfter w:val="1"/>
          <w:wAfter w:w="36" w:type="dxa"/>
          <w:trHeight w:val="4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74F5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MF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E98AC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3C4C5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12.2 ± 1.3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7B95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0.8 ± 0.1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1B795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58.2 ± 1.5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C884D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28.8 ± 1.0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</w:tr>
      <w:tr w:rsidR="00AD3D84" w:rsidRPr="00681855" w14:paraId="71D5C868" w14:textId="77777777" w:rsidTr="00DA2388">
        <w:trPr>
          <w:gridAfter w:val="1"/>
          <w:wAfter w:w="36" w:type="dxa"/>
          <w:trHeight w:val="4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FF744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SlF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DB00A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73C4A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12.0 ± 1.5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08F63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2.1 ± 0.1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9C51F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42.6 ± 1.1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0F59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43.4 ± 0.5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AD3D84" w:rsidRPr="00681855" w14:paraId="2FEF6777" w14:textId="77777777" w:rsidTr="00DA2388">
        <w:trPr>
          <w:gridAfter w:val="1"/>
          <w:wAfter w:w="36" w:type="dxa"/>
          <w:trHeight w:val="400"/>
        </w:trPr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764062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SjF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90BA28" w14:textId="77777777" w:rsidR="00AD3D84" w:rsidRPr="00681855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42601A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5.9 ± 0.5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DC1E6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1.4 ± 0.2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ab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48984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48.2 ± 4.1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ab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0C7BA0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>44.5 ± 3.5</w:t>
            </w:r>
            <w:r w:rsidRPr="00681855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AD3D84" w:rsidRPr="00681855" w14:paraId="3EE9EDEF" w14:textId="77777777" w:rsidTr="00DA2388">
        <w:trPr>
          <w:gridAfter w:val="1"/>
          <w:wAfter w:w="36" w:type="dxa"/>
          <w:trHeight w:val="521"/>
        </w:trPr>
        <w:tc>
          <w:tcPr>
            <w:tcW w:w="7420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611EDE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Values for SjF are inferred from Inomata et al. (2013) for </w:t>
            </w:r>
            <w:r w:rsidRPr="00681855"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Saccharina japonica</w:t>
            </w: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 var. </w:t>
            </w:r>
            <w:r w:rsidRPr="00681855">
              <w:rPr>
                <w:rFonts w:ascii="Times New Roman" w:eastAsia="Yu Gothic" w:hAnsi="Times New Roman" w:cs="Times New Roman"/>
                <w:i/>
                <w:iCs/>
                <w:color w:val="000000"/>
              </w:rPr>
              <w:t>ochotensis</w:t>
            </w:r>
            <w:r w:rsidRPr="00681855">
              <w:rPr>
                <w:rFonts w:ascii="Times New Roman" w:eastAsia="Yu Gothic" w:hAnsi="Times New Roman" w:cs="Times New Roman"/>
                <w:color w:val="000000"/>
              </w:rPr>
              <w:t xml:space="preserve">. Lower-case letters denote significantly different values among diets. </w:t>
            </w:r>
          </w:p>
        </w:tc>
      </w:tr>
      <w:tr w:rsidR="00AD3D84" w:rsidRPr="00681855" w14:paraId="128DAD03" w14:textId="77777777" w:rsidTr="00DA2388">
        <w:trPr>
          <w:trHeight w:val="400"/>
        </w:trPr>
        <w:tc>
          <w:tcPr>
            <w:tcW w:w="7420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59C803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ADAEE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681855" w14:paraId="2DDE19F6" w14:textId="77777777" w:rsidTr="00DA2388">
        <w:trPr>
          <w:trHeight w:val="400"/>
        </w:trPr>
        <w:tc>
          <w:tcPr>
            <w:tcW w:w="7420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3309AE" w14:textId="77777777" w:rsidR="00AD3D84" w:rsidRPr="00681855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3DE4" w14:textId="77777777" w:rsidR="00AD3D84" w:rsidRPr="00681855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96CCCE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003BDDE5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13BC529E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3ABA2242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11C1224A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394D348B" w14:textId="77777777" w:rsidR="00AD3D84" w:rsidRDefault="00AD3D84" w:rsidP="00AD3D84">
      <w:pPr>
        <w:snapToGrid w:val="0"/>
        <w:spacing w:line="480" w:lineRule="auto"/>
        <w:rPr>
          <w:color w:val="000000"/>
        </w:rPr>
        <w:sectPr w:rsidR="00AD3D84" w:rsidSect="00AD3D84">
          <w:pgSz w:w="11906" w:h="16817"/>
          <w:pgMar w:top="1985" w:right="1701" w:bottom="1701" w:left="1701" w:header="720" w:footer="720" w:gutter="0"/>
          <w:lnNumType w:countBy="1" w:restart="continuous"/>
          <w:cols w:space="720"/>
          <w:docGrid w:type="lines" w:linePitch="360"/>
        </w:sectPr>
      </w:pPr>
    </w:p>
    <w:tbl>
      <w:tblPr>
        <w:tblW w:w="12019" w:type="dxa"/>
        <w:tblInd w:w="99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0"/>
        <w:gridCol w:w="4870"/>
        <w:gridCol w:w="2725"/>
        <w:gridCol w:w="418"/>
        <w:gridCol w:w="913"/>
        <w:gridCol w:w="1145"/>
        <w:gridCol w:w="218"/>
      </w:tblGrid>
      <w:tr w:rsidR="00AD3D84" w:rsidRPr="00630BC2" w14:paraId="3F4B5D7E" w14:textId="77777777" w:rsidTr="00DA2388">
        <w:trPr>
          <w:gridAfter w:val="1"/>
          <w:wAfter w:w="218" w:type="dxa"/>
          <w:trHeight w:val="260"/>
        </w:trPr>
        <w:tc>
          <w:tcPr>
            <w:tcW w:w="118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E59328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lastRenderedPageBreak/>
              <w:t xml:space="preserve">Table 3. One-way ANOVA results for various measurements among tanks, treatments and different seaweed feeds </w:t>
            </w:r>
          </w:p>
        </w:tc>
      </w:tr>
      <w:tr w:rsidR="00AD3D84" w:rsidRPr="00630BC2" w14:paraId="1AB67458" w14:textId="77777777" w:rsidTr="00DA2388">
        <w:trPr>
          <w:gridAfter w:val="1"/>
          <w:wAfter w:w="218" w:type="dxa"/>
          <w:trHeight w:val="260"/>
        </w:trPr>
        <w:tc>
          <w:tcPr>
            <w:tcW w:w="9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E7D3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Source of variance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25B98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df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AA1F8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4769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P</w:t>
            </w:r>
          </w:p>
        </w:tc>
      </w:tr>
      <w:tr w:rsidR="00AD3D84" w:rsidRPr="00630BC2" w14:paraId="5CDF8280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A269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Tank of each treatment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83C4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DA1E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Initial TD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8C52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3A45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0.3180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54AB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0.9957 </w:t>
            </w:r>
          </w:p>
        </w:tc>
      </w:tr>
      <w:tr w:rsidR="00AD3D84" w:rsidRPr="00630BC2" w14:paraId="1142F34F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E61A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55F39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2C47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Initial BW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8740E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920F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0.4328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2827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0.9757 </w:t>
            </w:r>
          </w:p>
        </w:tc>
      </w:tr>
      <w:tr w:rsidR="00AD3D84" w:rsidRPr="00630BC2" w14:paraId="6B9D05D8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CD16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Treatment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1CA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93FE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Initial TD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46A1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6B58C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0.5495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7088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0.7386 </w:t>
            </w:r>
          </w:p>
        </w:tc>
      </w:tr>
      <w:tr w:rsidR="00AD3D84" w:rsidRPr="00630BC2" w14:paraId="1AB8A7BE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13C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5B5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6F77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Initial BW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07F6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5415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1.1982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901D9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0.3121 </w:t>
            </w:r>
          </w:p>
        </w:tc>
      </w:tr>
      <w:tr w:rsidR="00AD3D84" w:rsidRPr="00630BC2" w14:paraId="65970344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7E98F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DC0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FF005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Final TD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7F21E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03DF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86.1256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5269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07CBDBE9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245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EFE6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D00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Final BW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6F2B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28B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91.4674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126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7DED1BA3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02AE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993D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8747E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Total wet diet intake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9EF2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760F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8.8127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EA784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0.0026</w:t>
            </w:r>
          </w:p>
        </w:tc>
      </w:tr>
      <w:tr w:rsidR="00AD3D84" w:rsidRPr="00630BC2" w14:paraId="0A3B8765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A2E4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D5F2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78E4C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Total dry diet intake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A9F2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4EB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9.4881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0C17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0.0020 </w:t>
            </w:r>
          </w:p>
        </w:tc>
      </w:tr>
      <w:tr w:rsidR="00AD3D84" w:rsidRPr="00630BC2" w14:paraId="45D12CA4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5DCE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27A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MF,SlF,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682DE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Dry / Wet intake ratio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75DE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97BC5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39.6748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E1825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63AE458C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6A5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D7DFE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7479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Increase rate of TD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A52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8847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63.4291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43F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6E33C2C1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EF34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71E4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1EBA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Increase rate of BW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944C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1209F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29.2573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5DC9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1C8A996C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3650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8257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GD, MF, 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16713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Diet conversion efficiency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C0384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FC0F5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24.9725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A675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45A2D48A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758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5F68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Initial, GF, GD, MF, SlF, SjF, Starvation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FE9F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Gonad index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EAC4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3DE9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49.6008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DC3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>&lt; 0.0001</w:t>
            </w:r>
          </w:p>
        </w:tc>
      </w:tr>
      <w:tr w:rsidR="00AD3D84" w:rsidRPr="00630BC2" w14:paraId="4DEF5A6D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0929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Seaweed diet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395C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MF,SlF,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4AEC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Crude protein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1114F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D7EC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16.9784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328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0.0003 </w:t>
            </w:r>
          </w:p>
        </w:tc>
      </w:tr>
      <w:tr w:rsidR="00AD3D84" w:rsidRPr="00630BC2" w14:paraId="046D83D9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CF71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011FC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MF,SlF,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EC849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Crude lipid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8D4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5F6D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6.0195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81A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0.0130 </w:t>
            </w:r>
          </w:p>
        </w:tc>
      </w:tr>
      <w:tr w:rsidR="00AD3D84" w:rsidRPr="00630BC2" w14:paraId="776BD685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BF92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3688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MF,SlF, SjF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1C7DD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Carbohydrate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D359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CABB5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6.2042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02CA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0.0119 </w:t>
            </w:r>
          </w:p>
        </w:tc>
      </w:tr>
      <w:tr w:rsidR="00AD3D84" w:rsidRPr="00630BC2" w14:paraId="348AA208" w14:textId="77777777" w:rsidTr="00DA2388">
        <w:trPr>
          <w:gridAfter w:val="1"/>
          <w:wAfter w:w="218" w:type="dxa"/>
          <w:trHeight w:val="260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11B608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Yu Gothic" w:eastAsia="Yu Gothic" w:hAnsi="Yu Gothic"/>
                <w:color w:val="000000"/>
                <w:sz w:val="22"/>
                <w:szCs w:val="22"/>
              </w:rPr>
            </w:pPr>
            <w:r w:rsidRPr="00630BC2">
              <w:rPr>
                <w:rFonts w:ascii="Yu Gothic" w:eastAsia="Yu Gothic" w:hAnsi="Yu Gothic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14BB6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GF, MF,SlF, SjF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427A3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Ash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7FF9B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58C71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15.1323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198830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jc w:val="right"/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b/>
                <w:bCs/>
                <w:color w:val="000000"/>
                <w:sz w:val="22"/>
                <w:szCs w:val="22"/>
              </w:rPr>
              <w:t xml:space="preserve">0.0005 </w:t>
            </w:r>
          </w:p>
        </w:tc>
      </w:tr>
      <w:tr w:rsidR="00AD3D84" w:rsidRPr="00630BC2" w14:paraId="7E427643" w14:textId="77777777" w:rsidTr="00DA2388">
        <w:trPr>
          <w:gridAfter w:val="1"/>
          <w:wAfter w:w="218" w:type="dxa"/>
          <w:trHeight w:val="521"/>
        </w:trPr>
        <w:tc>
          <w:tcPr>
            <w:tcW w:w="11801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76EBD7" w14:textId="77777777" w:rsidR="00AD3D84" w:rsidRPr="00630BC2" w:rsidRDefault="00AD3D84" w:rsidP="00DA2388">
            <w:pPr>
              <w:suppressAutoHyphens w:val="0"/>
              <w:adjustRightInd w:val="0"/>
              <w:snapToGrid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0BC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Gonad indices were analyzed among treatments, including initial gonad index. Bold numerals indicate statistical significances. An explanation of GF, MF, SlF and SjF is provided in Table 1.</w:t>
            </w:r>
          </w:p>
        </w:tc>
      </w:tr>
      <w:tr w:rsidR="00AD3D84" w:rsidRPr="00630BC2" w14:paraId="0F599E99" w14:textId="77777777" w:rsidTr="00DA2388">
        <w:trPr>
          <w:trHeight w:val="260"/>
        </w:trPr>
        <w:tc>
          <w:tcPr>
            <w:tcW w:w="11801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BFDC67" w14:textId="77777777" w:rsidR="00AD3D84" w:rsidRPr="00630BC2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74332" w14:textId="77777777" w:rsidR="00AD3D84" w:rsidRPr="00630BC2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7C26075B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59F51B9A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2B30D25E" w14:textId="77777777" w:rsidR="00AD3D84" w:rsidRDefault="00AD3D84" w:rsidP="00AD3D84">
      <w:pPr>
        <w:snapToGrid w:val="0"/>
        <w:spacing w:line="480" w:lineRule="auto"/>
        <w:rPr>
          <w:color w:val="000000"/>
        </w:rPr>
        <w:sectPr w:rsidR="00AD3D84" w:rsidSect="00AD3D84">
          <w:pgSz w:w="16817" w:h="11906" w:orient="landscape"/>
          <w:pgMar w:top="1701" w:right="1701" w:bottom="1701" w:left="1985" w:header="720" w:footer="720" w:gutter="0"/>
          <w:lnNumType w:countBy="1" w:restart="continuous"/>
          <w:cols w:space="720"/>
          <w:docGrid w:type="lines" w:linePitch="360"/>
        </w:sectPr>
      </w:pPr>
    </w:p>
    <w:p w14:paraId="0B031773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10A74C34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7D232DEB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tbl>
      <w:tblPr>
        <w:tblW w:w="5396" w:type="dxa"/>
        <w:tblInd w:w="99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2"/>
        <w:gridCol w:w="1691"/>
        <w:gridCol w:w="1629"/>
        <w:gridCol w:w="1500"/>
        <w:gridCol w:w="204"/>
      </w:tblGrid>
      <w:tr w:rsidR="00AD3D84" w:rsidRPr="007956AF" w14:paraId="34C0D43B" w14:textId="77777777" w:rsidTr="00DA2388">
        <w:trPr>
          <w:gridAfter w:val="1"/>
          <w:wAfter w:w="36" w:type="dxa"/>
          <w:trHeight w:val="400"/>
        </w:trPr>
        <w:tc>
          <w:tcPr>
            <w:tcW w:w="3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59811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bookmarkStart w:id="1" w:name="RANGE!D2:G9"/>
            <w:r w:rsidRPr="007956AF">
              <w:rPr>
                <w:rFonts w:ascii="Times New Roman" w:eastAsia="Yu Gothic" w:hAnsi="Times New Roman" w:cs="Times New Roman"/>
                <w:color w:val="000000"/>
              </w:rPr>
              <w:t>Table 4. Diet intake means.</w:t>
            </w:r>
            <w:bookmarkEnd w:id="1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79C37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7956AF" w14:paraId="05EE895D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9AA4C9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Diet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0AC8E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 xml:space="preserve">     Total feed intake (g/ind.)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3D88EE3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Dry/wet ratio</w:t>
            </w:r>
          </w:p>
        </w:tc>
      </w:tr>
      <w:tr w:rsidR="00AD3D84" w:rsidRPr="007956AF" w14:paraId="4BCA59ED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1861AB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7AF64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Wet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C07A19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Dry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190B11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7956AF" w14:paraId="7B83BBA0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8AF44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GF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89932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12.85 ± 0.44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9F6AA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3.58 ± 0.12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8E05B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0.28 ± 0.00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AD3D84" w:rsidRPr="007956AF" w14:paraId="0C38F3E2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1EEA7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GD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2428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16.50 ± 1.38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0E1CE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3.32 ± 0.18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37C6C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7956AF" w14:paraId="5FA94A72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0E4DD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MF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8F938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7.87 ± 1.19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CF82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1.86 ± 0.28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72DC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0.24 ± 0.00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</w:tr>
      <w:tr w:rsidR="00AD3D84" w:rsidRPr="007956AF" w14:paraId="33072016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E029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SlF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9828D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10.94 ± 0.22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ab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2263A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2.20 ± 0.04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15218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0.20 ± 0.00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c</w:t>
            </w:r>
          </w:p>
        </w:tc>
      </w:tr>
      <w:tr w:rsidR="00AD3D84" w:rsidRPr="007956AF" w14:paraId="6BEEB8F1" w14:textId="77777777" w:rsidTr="00DA2388">
        <w:trPr>
          <w:gridAfter w:val="1"/>
          <w:wAfter w:w="36" w:type="dxa"/>
          <w:trHeight w:val="40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6BCC4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SjF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47DB4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14.48 ± 0.41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71558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2.79 ± 0.08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ab</w:t>
            </w:r>
            <w:r w:rsidRPr="007956AF">
              <w:rPr>
                <w:rFonts w:ascii="Century" w:eastAsia="Yu Gothic" w:hAnsi="Century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A983A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0.19 ± 0.01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c</w:t>
            </w:r>
          </w:p>
        </w:tc>
      </w:tr>
      <w:tr w:rsidR="00AD3D84" w:rsidRPr="007956AF" w14:paraId="08739770" w14:textId="77777777" w:rsidTr="00DA2388">
        <w:trPr>
          <w:gridAfter w:val="1"/>
          <w:wAfter w:w="36" w:type="dxa"/>
          <w:trHeight w:val="521"/>
        </w:trPr>
        <w:tc>
          <w:tcPr>
            <w:tcW w:w="5360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39E784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Lower-case letters denote significantly different values among treatments. An explanation of GF, GD, MF, SlF and SjF is provided in Table 1.</w:t>
            </w:r>
          </w:p>
        </w:tc>
      </w:tr>
      <w:tr w:rsidR="00AD3D84" w:rsidRPr="007956AF" w14:paraId="2A13105C" w14:textId="77777777" w:rsidTr="00DA2388">
        <w:trPr>
          <w:trHeight w:val="400"/>
        </w:trPr>
        <w:tc>
          <w:tcPr>
            <w:tcW w:w="536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85470D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3B3BB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7956AF" w14:paraId="6D0721C8" w14:textId="77777777" w:rsidTr="00DA2388">
        <w:trPr>
          <w:trHeight w:val="400"/>
        </w:trPr>
        <w:tc>
          <w:tcPr>
            <w:tcW w:w="536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6763FA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33D64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A7EA9F" w14:textId="77777777" w:rsidR="00AD3D84" w:rsidRPr="007956AF" w:rsidRDefault="00AD3D84" w:rsidP="00AD3D84">
      <w:pPr>
        <w:snapToGrid w:val="0"/>
        <w:spacing w:line="480" w:lineRule="auto"/>
        <w:rPr>
          <w:color w:val="000000"/>
        </w:rPr>
      </w:pPr>
    </w:p>
    <w:p w14:paraId="55E09E11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251CD6E2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5E6C545F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7CEDAA28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44A5C514" w14:textId="77777777" w:rsidR="00AD3D84" w:rsidRDefault="00AD3D84" w:rsidP="00AD3D84">
      <w:pPr>
        <w:snapToGrid w:val="0"/>
        <w:spacing w:line="480" w:lineRule="auto"/>
        <w:rPr>
          <w:color w:val="000000"/>
        </w:rPr>
      </w:pPr>
    </w:p>
    <w:p w14:paraId="2686768B" w14:textId="77777777" w:rsidR="00AD3D84" w:rsidRDefault="00AD3D84" w:rsidP="00AD3D84">
      <w:pPr>
        <w:snapToGrid w:val="0"/>
        <w:spacing w:line="480" w:lineRule="auto"/>
        <w:rPr>
          <w:color w:val="000000"/>
        </w:rPr>
        <w:sectPr w:rsidR="00AD3D84" w:rsidSect="00AD3D84">
          <w:pgSz w:w="11906" w:h="16817"/>
          <w:pgMar w:top="1985" w:right="1701" w:bottom="1701" w:left="1701" w:header="720" w:footer="720" w:gutter="0"/>
          <w:lnNumType w:countBy="1" w:restart="continuous"/>
          <w:cols w:space="720"/>
          <w:docGrid w:type="lines" w:linePitch="360"/>
        </w:sectPr>
      </w:pPr>
    </w:p>
    <w:p w14:paraId="0F7E8A04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048174ED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p w14:paraId="756F67C9" w14:textId="77777777" w:rsidR="00AD3D84" w:rsidRDefault="00AD3D84" w:rsidP="00AD3D84">
      <w:pPr>
        <w:snapToGrid w:val="0"/>
        <w:spacing w:line="480" w:lineRule="auto"/>
        <w:rPr>
          <w:noProof/>
          <w:color w:val="000000"/>
        </w:rPr>
      </w:pPr>
    </w:p>
    <w:tbl>
      <w:tblPr>
        <w:tblW w:w="7126" w:type="dxa"/>
        <w:tblInd w:w="99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5"/>
        <w:gridCol w:w="1225"/>
        <w:gridCol w:w="1374"/>
        <w:gridCol w:w="1569"/>
        <w:gridCol w:w="1569"/>
        <w:gridCol w:w="204"/>
      </w:tblGrid>
      <w:tr w:rsidR="00AD3D84" w:rsidRPr="007956AF" w14:paraId="2961668C" w14:textId="77777777" w:rsidTr="00DA2388">
        <w:trPr>
          <w:gridAfter w:val="1"/>
          <w:wAfter w:w="204" w:type="dxa"/>
          <w:trHeight w:val="521"/>
        </w:trPr>
        <w:tc>
          <w:tcPr>
            <w:tcW w:w="6922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D72FE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Table 5. Mean (±SE) test diameter (TD) and body weight (BW) on the first and last day of the experiment</w:t>
            </w:r>
          </w:p>
        </w:tc>
      </w:tr>
      <w:tr w:rsidR="00AD3D84" w:rsidRPr="007956AF" w14:paraId="0A069A0D" w14:textId="77777777" w:rsidTr="00DA2388">
        <w:trPr>
          <w:trHeight w:val="400"/>
        </w:trPr>
        <w:tc>
          <w:tcPr>
            <w:tcW w:w="6922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A7CE65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5C1BE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7956AF" w14:paraId="4AD4A3AB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09A4C" w14:textId="77777777" w:rsidR="00AD3D84" w:rsidRPr="007956AF" w:rsidRDefault="00AD3D84" w:rsidP="00DA2388">
            <w:pPr>
              <w:suppressAutoHyphens w:val="0"/>
              <w:rPr>
                <w:rFonts w:ascii="Yu Gothic" w:eastAsia="Yu Gothic" w:hAnsi="Yu Gothic"/>
                <w:color w:val="000000"/>
              </w:rPr>
            </w:pPr>
            <w:r w:rsidRPr="007956AF">
              <w:rPr>
                <w:rFonts w:ascii="Yu Gothic" w:eastAsia="Yu Gothic" w:hAnsi="Yu Gothic" w:hint="eastAsia"/>
                <w:color w:val="000000"/>
              </w:rPr>
              <w:t xml:space="preserve">　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C2A94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TD (mm)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A48DB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BW (g)</w:t>
            </w:r>
          </w:p>
        </w:tc>
        <w:tc>
          <w:tcPr>
            <w:tcW w:w="204" w:type="dxa"/>
            <w:vAlign w:val="center"/>
            <w:hideMark/>
          </w:tcPr>
          <w:p w14:paraId="2309D247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1AE1BAA6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7A199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Treatment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F598E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Initial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B506F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Final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09A6D6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 xml:space="preserve">Initial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24AF6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Final</w:t>
            </w:r>
          </w:p>
        </w:tc>
        <w:tc>
          <w:tcPr>
            <w:tcW w:w="204" w:type="dxa"/>
            <w:vAlign w:val="center"/>
            <w:hideMark/>
          </w:tcPr>
          <w:p w14:paraId="6512BCCC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28EC92A6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2324B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GF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045BC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17.5 ± 0.2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4FF2A6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23.0 ± 0.3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1C8A5F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 ± 0.1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51D99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5.2 ± 0.2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04" w:type="dxa"/>
            <w:vAlign w:val="center"/>
            <w:hideMark/>
          </w:tcPr>
          <w:p w14:paraId="357D748A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0139CFD4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2ACD8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GD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D9955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17.5 ± 0.2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A03AEE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22.6 ± 0.3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018943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 ± 0.1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FBB026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5.1 ± 0.2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04" w:type="dxa"/>
            <w:vAlign w:val="center"/>
            <w:hideMark/>
          </w:tcPr>
          <w:p w14:paraId="39A16F5B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42391B6D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9C5C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MF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92C92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17.8 ± 0.2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FFB665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19.1 ± 0.2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04F840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3.5 ± 0.1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B4903E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 ± 0.1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204" w:type="dxa"/>
            <w:vAlign w:val="center"/>
            <w:hideMark/>
          </w:tcPr>
          <w:p w14:paraId="4D0E8CB7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3B9AE6F3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E015C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SlF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FB52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17.5 ± 0.2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44248C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18.1 ± 0.3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bc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3AEBB1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 ± 0.1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70E787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2.7 ± 0.1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204" w:type="dxa"/>
            <w:vAlign w:val="center"/>
            <w:hideMark/>
          </w:tcPr>
          <w:p w14:paraId="006EF433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1BD455C9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AC861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SjF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5F6DA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17.5 ± 0.2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DBB2DB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18.6 ± 0.2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95519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 ± 0.1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F27C3E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2.8 ± 0.1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204" w:type="dxa"/>
            <w:vAlign w:val="center"/>
            <w:hideMark/>
          </w:tcPr>
          <w:p w14:paraId="7F954065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7CA9BFCB" w14:textId="77777777" w:rsidTr="00DA2388">
        <w:trPr>
          <w:trHeight w:val="400"/>
        </w:trPr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BB37F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Unfed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1E0CF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17.3 ± 0.2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2A3E97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17.2 ± 0.2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AFF516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3.3 ± 0.1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59F261" w14:textId="77777777" w:rsidR="00AD3D84" w:rsidRPr="007956AF" w:rsidRDefault="00AD3D84" w:rsidP="00DA2388">
            <w:pPr>
              <w:suppressAutoHyphens w:val="0"/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2.2 ± 0.1</w:t>
            </w:r>
            <w:r w:rsidRPr="007956AF">
              <w:rPr>
                <w:rFonts w:ascii="Times New Roman" w:eastAsia="Yu Gothic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204" w:type="dxa"/>
            <w:vAlign w:val="center"/>
            <w:hideMark/>
          </w:tcPr>
          <w:p w14:paraId="2DB46595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061BC1D7" w14:textId="77777777" w:rsidTr="00DA2388">
        <w:trPr>
          <w:trHeight w:val="400"/>
        </w:trPr>
        <w:tc>
          <w:tcPr>
            <w:tcW w:w="6922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2FD791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  <w:r w:rsidRPr="007956AF">
              <w:rPr>
                <w:rFonts w:ascii="Times New Roman" w:eastAsia="Yu Gothic" w:hAnsi="Times New Roman" w:cs="Times New Roman"/>
                <w:color w:val="000000"/>
              </w:rPr>
              <w:t>Lower-case letters denote significantly different values among treatments. An explanation of GF, GD, MF, SlF and SjF is provided in Table 1.</w:t>
            </w:r>
          </w:p>
        </w:tc>
        <w:tc>
          <w:tcPr>
            <w:tcW w:w="204" w:type="dxa"/>
            <w:vAlign w:val="center"/>
            <w:hideMark/>
          </w:tcPr>
          <w:p w14:paraId="216DA33B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3D84" w:rsidRPr="007956AF" w14:paraId="5FF4BCF2" w14:textId="77777777" w:rsidTr="00DA2388">
        <w:trPr>
          <w:trHeight w:val="400"/>
        </w:trPr>
        <w:tc>
          <w:tcPr>
            <w:tcW w:w="692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E7F971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67EC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AD3D84" w:rsidRPr="007956AF" w14:paraId="2F54F1BD" w14:textId="77777777" w:rsidTr="00DA2388">
        <w:trPr>
          <w:trHeight w:val="400"/>
        </w:trPr>
        <w:tc>
          <w:tcPr>
            <w:tcW w:w="6922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0185A0" w14:textId="77777777" w:rsidR="00AD3D84" w:rsidRPr="007956AF" w:rsidRDefault="00AD3D84" w:rsidP="00DA2388">
            <w:pPr>
              <w:suppressAutoHyphens w:val="0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032AE" w14:textId="77777777" w:rsidR="00AD3D84" w:rsidRPr="007956AF" w:rsidRDefault="00AD3D84" w:rsidP="00DA2388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CA9FCC" w14:textId="77777777" w:rsidR="00AD3D84" w:rsidRPr="007956AF" w:rsidRDefault="00AD3D84" w:rsidP="00AD3D84">
      <w:pPr>
        <w:tabs>
          <w:tab w:val="left" w:pos="5540"/>
        </w:tabs>
        <w:snapToGrid w:val="0"/>
        <w:spacing w:line="480" w:lineRule="auto"/>
        <w:rPr>
          <w:rFonts w:ascii="Times New Roman" w:eastAsia="Yu Gothic" w:hAnsi="Times New Roman" w:cs="Times New Roman"/>
          <w:color w:val="000000"/>
        </w:rPr>
      </w:pPr>
    </w:p>
    <w:p w14:paraId="40614188" w14:textId="77777777" w:rsidR="00AD3D84" w:rsidRDefault="00AD3D84" w:rsidP="00AD3D84">
      <w:pPr>
        <w:tabs>
          <w:tab w:val="left" w:pos="5540"/>
        </w:tabs>
        <w:snapToGrid w:val="0"/>
        <w:spacing w:line="480" w:lineRule="auto"/>
        <w:rPr>
          <w:color w:val="000000"/>
        </w:rPr>
      </w:pPr>
    </w:p>
    <w:p w14:paraId="6E1BD1E0" w14:textId="77777777" w:rsidR="00AD3D84" w:rsidRDefault="00AD3D84" w:rsidP="00AD3D84">
      <w:pPr>
        <w:tabs>
          <w:tab w:val="left" w:pos="5540"/>
        </w:tabs>
        <w:snapToGrid w:val="0"/>
        <w:spacing w:line="480" w:lineRule="auto"/>
        <w:rPr>
          <w:color w:val="000000"/>
        </w:rPr>
      </w:pPr>
    </w:p>
    <w:p w14:paraId="3C4F658D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84"/>
    <w:rsid w:val="000C4033"/>
    <w:rsid w:val="00173ED8"/>
    <w:rsid w:val="0024718E"/>
    <w:rsid w:val="002F50B1"/>
    <w:rsid w:val="00305492"/>
    <w:rsid w:val="004B42CB"/>
    <w:rsid w:val="005F2B46"/>
    <w:rsid w:val="006E1731"/>
    <w:rsid w:val="00866D74"/>
    <w:rsid w:val="00882A73"/>
    <w:rsid w:val="00906905"/>
    <w:rsid w:val="0095305D"/>
    <w:rsid w:val="00AD3D84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38CFF"/>
  <w15:chartTrackingRefBased/>
  <w15:docId w15:val="{8DF2AC52-A045-45DF-8718-0C61393F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D84"/>
    <w:pPr>
      <w:suppressAutoHyphens/>
      <w:spacing w:after="0" w:line="240" w:lineRule="auto"/>
    </w:pPr>
    <w:rPr>
      <w:rFonts w:ascii="MS PGothic" w:eastAsia="MS PGothic" w:hAnsi="MS PGothic" w:cs="MS PGothic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D8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D8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D8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D8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D8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D8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D8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D8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D8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D8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D8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D8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3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D8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3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D84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05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2</cp:revision>
  <dcterms:created xsi:type="dcterms:W3CDTF">2026-11-03T10:17:00Z</dcterms:created>
  <dcterms:modified xsi:type="dcterms:W3CDTF">2026-11-03T10:18:00Z</dcterms:modified>
</cp:coreProperties>
</file>