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FF47E" w14:textId="77777777" w:rsidR="0006180E" w:rsidRPr="0006180E" w:rsidRDefault="0006180E" w:rsidP="0006180E">
      <w:pPr>
        <w:rPr>
          <w:b/>
          <w:bCs/>
          <w:lang w:val="en-US"/>
        </w:rPr>
      </w:pPr>
      <w:r w:rsidRPr="0006180E">
        <w:rPr>
          <w:bCs/>
          <w:lang w:val="en-US"/>
        </w:rPr>
        <w:t>Appendix A — the eight INMET heat-event windows</w:t>
      </w:r>
    </w:p>
    <w:p w14:paraId="605376C3" w14:textId="77777777" w:rsidR="0006180E" w:rsidRPr="0006180E" w:rsidRDefault="0006180E" w:rsidP="0006180E">
      <w:pPr>
        <w:rPr>
          <w:lang w:val="en-US"/>
        </w:rPr>
      </w:pPr>
      <w:r w:rsidRPr="0006180E">
        <w:rPr>
          <w:lang w:val="en-US"/>
        </w:rPr>
        <w:t>Windows reconstructed from the institute's technical notes. Where the note declares an interval, the interval is used; where it only names a record day, a symmetric window of ±2 days around it is applied, a convention set in writing before the analyses. The 0–3-day lag extends each window to the right.</w:t>
      </w:r>
    </w:p>
    <w:tbl>
      <w:tblPr>
        <w:tblStyle w:val="LightGrid-Accent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34"/>
        <w:gridCol w:w="3468"/>
        <w:gridCol w:w="3468"/>
      </w:tblGrid>
      <w:tr w:rsidR="0006180E" w:rsidRPr="0006180E" w14:paraId="4A273DA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4" w:type="dxa"/>
            <w:hideMark/>
          </w:tcPr>
          <w:p w14:paraId="7D0013BE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Event</w:t>
            </w:r>
          </w:p>
        </w:tc>
        <w:tc>
          <w:tcPr>
            <w:tcW w:w="3468" w:type="dxa"/>
            <w:hideMark/>
          </w:tcPr>
          <w:p w14:paraId="0702585D" w14:textId="77777777" w:rsidR="0006180E" w:rsidRPr="0006180E" w:rsidRDefault="0006180E" w:rsidP="0006180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Origin of the window</w:t>
            </w:r>
          </w:p>
        </w:tc>
        <w:tc>
          <w:tcPr>
            <w:tcW w:w="3468" w:type="dxa"/>
            <w:hideMark/>
          </w:tcPr>
          <w:p w14:paraId="0004907A" w14:textId="77777777" w:rsidR="0006180E" w:rsidRPr="0006180E" w:rsidRDefault="0006180E" w:rsidP="0006180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FUs (declared days)</w:t>
            </w:r>
          </w:p>
        </w:tc>
      </w:tr>
      <w:tr w:rsidR="0006180E" w:rsidRPr="0006180E" w14:paraId="458BC94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4" w:type="dxa"/>
            <w:hideMark/>
          </w:tcPr>
          <w:p w14:paraId="5E745B39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Jan/2024</w:t>
            </w:r>
          </w:p>
        </w:tc>
        <w:tc>
          <w:tcPr>
            <w:tcW w:w="3468" w:type="dxa"/>
            <w:hideMark/>
          </w:tcPr>
          <w:p w14:paraId="30DC8C93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named day (5) + convention</w:t>
            </w:r>
          </w:p>
        </w:tc>
        <w:tc>
          <w:tcPr>
            <w:tcW w:w="3468" w:type="dxa"/>
            <w:hideMark/>
          </w:tcPr>
          <w:p w14:paraId="1809A857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AL, CE, MS, SC (3–8)</w:t>
            </w:r>
          </w:p>
        </w:tc>
      </w:tr>
      <w:tr w:rsidR="0006180E" w:rsidRPr="0006180E" w14:paraId="3C0AC48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4" w:type="dxa"/>
            <w:hideMark/>
          </w:tcPr>
          <w:p w14:paraId="1EB58110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Feb/2024</w:t>
            </w:r>
          </w:p>
        </w:tc>
        <w:tc>
          <w:tcPr>
            <w:tcW w:w="3468" w:type="dxa"/>
            <w:hideMark/>
          </w:tcPr>
          <w:p w14:paraId="3424F53E" w14:textId="77777777" w:rsidR="0006180E" w:rsidRPr="0006180E" w:rsidRDefault="0006180E" w:rsidP="0006180E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declared</w:t>
            </w:r>
          </w:p>
        </w:tc>
        <w:tc>
          <w:tcPr>
            <w:tcW w:w="3468" w:type="dxa"/>
            <w:hideMark/>
          </w:tcPr>
          <w:p w14:paraId="08E1085E" w14:textId="77777777" w:rsidR="0006180E" w:rsidRPr="0006180E" w:rsidRDefault="0006180E" w:rsidP="0006180E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PR, RR, RS (7–12)</w:t>
            </w:r>
          </w:p>
        </w:tc>
      </w:tr>
      <w:tr w:rsidR="0006180E" w:rsidRPr="0006180E" w14:paraId="7CDAB34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4" w:type="dxa"/>
            <w:hideMark/>
          </w:tcPr>
          <w:p w14:paraId="04217836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Mar/2024</w:t>
            </w:r>
          </w:p>
        </w:tc>
        <w:tc>
          <w:tcPr>
            <w:tcW w:w="3468" w:type="dxa"/>
            <w:hideMark/>
          </w:tcPr>
          <w:p w14:paraId="130D5FF3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declared</w:t>
            </w:r>
          </w:p>
        </w:tc>
        <w:tc>
          <w:tcPr>
            <w:tcW w:w="3468" w:type="dxa"/>
            <w:hideMark/>
          </w:tcPr>
          <w:p w14:paraId="0326A6D4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CE, PR, RR (7–18)</w:t>
            </w:r>
          </w:p>
        </w:tc>
      </w:tr>
      <w:tr w:rsidR="0006180E" w:rsidRPr="0006180E" w14:paraId="7F6FF54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4" w:type="dxa"/>
            <w:hideMark/>
          </w:tcPr>
          <w:p w14:paraId="6D1DC28D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Apr/2024</w:t>
            </w:r>
          </w:p>
        </w:tc>
        <w:tc>
          <w:tcPr>
            <w:tcW w:w="3468" w:type="dxa"/>
            <w:hideMark/>
          </w:tcPr>
          <w:p w14:paraId="29BD9EE0" w14:textId="77777777" w:rsidR="0006180E" w:rsidRPr="0006180E" w:rsidRDefault="0006180E" w:rsidP="0006180E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declared</w:t>
            </w:r>
          </w:p>
        </w:tc>
        <w:tc>
          <w:tcPr>
            <w:tcW w:w="3468" w:type="dxa"/>
            <w:hideMark/>
          </w:tcPr>
          <w:p w14:paraId="6A84B065" w14:textId="77777777" w:rsidR="0006180E" w:rsidRPr="0006180E" w:rsidRDefault="0006180E" w:rsidP="0006180E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AL, PR, RJ, RR (27–30)</w:t>
            </w:r>
          </w:p>
        </w:tc>
      </w:tr>
      <w:tr w:rsidR="0006180E" w:rsidRPr="0006180E" w14:paraId="3DA7F9C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4" w:type="dxa"/>
            <w:hideMark/>
          </w:tcPr>
          <w:p w14:paraId="05223FF3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May/2024</w:t>
            </w:r>
          </w:p>
        </w:tc>
        <w:tc>
          <w:tcPr>
            <w:tcW w:w="3468" w:type="dxa"/>
            <w:hideMark/>
          </w:tcPr>
          <w:p w14:paraId="0DFC10F1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declared</w:t>
            </w:r>
          </w:p>
        </w:tc>
        <w:tc>
          <w:tcPr>
            <w:tcW w:w="3468" w:type="dxa"/>
            <w:hideMark/>
          </w:tcPr>
          <w:p w14:paraId="1A22A1DA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PI, RJ, RN, RR (1–14)</w:t>
            </w:r>
          </w:p>
        </w:tc>
      </w:tr>
      <w:tr w:rsidR="0006180E" w:rsidRPr="0006180E" w14:paraId="53D5EC5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4" w:type="dxa"/>
            <w:hideMark/>
          </w:tcPr>
          <w:p w14:paraId="7026B32A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Jan/2025</w:t>
            </w:r>
          </w:p>
        </w:tc>
        <w:tc>
          <w:tcPr>
            <w:tcW w:w="3468" w:type="dxa"/>
            <w:hideMark/>
          </w:tcPr>
          <w:p w14:paraId="17B44AF8" w14:textId="77777777" w:rsidR="0006180E" w:rsidRPr="0006180E" w:rsidRDefault="0006180E" w:rsidP="0006180E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named days + convention</w:t>
            </w:r>
          </w:p>
        </w:tc>
        <w:tc>
          <w:tcPr>
            <w:tcW w:w="3468" w:type="dxa"/>
            <w:hideMark/>
          </w:tcPr>
          <w:p w14:paraId="7AACD78B" w14:textId="77777777" w:rsidR="0006180E" w:rsidRPr="0006180E" w:rsidRDefault="0006180E" w:rsidP="0006180E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PI (1–5), AL (3–7), MS (8–12 and 15–19), RS (21–25)</w:t>
            </w:r>
          </w:p>
        </w:tc>
      </w:tr>
      <w:tr w:rsidR="0006180E" w:rsidRPr="0006180E" w14:paraId="19A0C9A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4" w:type="dxa"/>
            <w:hideMark/>
          </w:tcPr>
          <w:p w14:paraId="50D81DAB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Feb/2025</w:t>
            </w:r>
          </w:p>
        </w:tc>
        <w:tc>
          <w:tcPr>
            <w:tcW w:w="3468" w:type="dxa"/>
            <w:hideMark/>
          </w:tcPr>
          <w:p w14:paraId="0DF70A15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declared (RS) + named day (RJ)</w:t>
            </w:r>
          </w:p>
        </w:tc>
        <w:tc>
          <w:tcPr>
            <w:tcW w:w="3468" w:type="dxa"/>
            <w:hideMark/>
          </w:tcPr>
          <w:p w14:paraId="594A7CC0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RS (2–12), RJ (15–19)</w:t>
            </w:r>
          </w:p>
        </w:tc>
      </w:tr>
      <w:tr w:rsidR="0006180E" w:rsidRPr="0006180E" w14:paraId="79DB80F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4" w:type="dxa"/>
            <w:hideMark/>
          </w:tcPr>
          <w:p w14:paraId="48643DAB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Mar/2025</w:t>
            </w:r>
          </w:p>
        </w:tc>
        <w:tc>
          <w:tcPr>
            <w:tcW w:w="3468" w:type="dxa"/>
            <w:hideMark/>
          </w:tcPr>
          <w:p w14:paraId="489E9F97" w14:textId="77777777" w:rsidR="0006180E" w:rsidRPr="0006180E" w:rsidRDefault="0006180E" w:rsidP="0006180E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declared (RS) + named days (MS, MG)</w:t>
            </w:r>
          </w:p>
        </w:tc>
        <w:tc>
          <w:tcPr>
            <w:tcW w:w="3468" w:type="dxa"/>
            <w:hideMark/>
          </w:tcPr>
          <w:p w14:paraId="085D2EDD" w14:textId="77777777" w:rsidR="0006180E" w:rsidRPr="0006180E" w:rsidRDefault="0006180E" w:rsidP="0006180E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RS (1–8), MS (16–20), MG (17–21)</w:t>
            </w:r>
          </w:p>
        </w:tc>
      </w:tr>
    </w:tbl>
    <w:p w14:paraId="74EE8147" w14:textId="77777777" w:rsidR="0006180E" w:rsidRPr="0006180E" w:rsidRDefault="0006180E" w:rsidP="0006180E">
      <w:pPr>
        <w:rPr>
          <w:lang w:val="en-US"/>
        </w:rPr>
      </w:pPr>
    </w:p>
    <w:p w14:paraId="7CE27800" w14:textId="77777777" w:rsidR="0006180E" w:rsidRPr="0006180E" w:rsidRDefault="0006180E" w:rsidP="0006180E">
      <w:pPr>
        <w:rPr>
          <w:lang w:val="en-US"/>
        </w:rPr>
      </w:pPr>
      <w:r w:rsidRPr="0006180E">
        <w:rPr>
          <w:lang w:val="en-US"/>
        </w:rPr>
        <w:t xml:space="preserve">Eight events, </w:t>
      </w:r>
      <w:r w:rsidRPr="0006180E">
        <w:rPr>
          <w:b/>
          <w:lang w:val="en-US"/>
        </w:rPr>
        <w:t>27 unit–event combinations</w:t>
      </w:r>
      <w:r w:rsidRPr="0006180E">
        <w:rPr>
          <w:lang w:val="en-US"/>
        </w:rPr>
        <w:t>, corresponding to the 27 unit-months cited in section 3.4.</w:t>
      </w:r>
    </w:p>
    <w:p w14:paraId="172297E8" w14:textId="77777777" w:rsidR="0006180E" w:rsidRPr="0006180E" w:rsidRDefault="0006180E" w:rsidP="0006180E">
      <w:pPr>
        <w:rPr>
          <w:b/>
          <w:bCs/>
          <w:lang w:val="en-US"/>
        </w:rPr>
      </w:pPr>
      <w:r w:rsidRPr="0006180E">
        <w:rPr>
          <w:bCs/>
          <w:lang w:val="en-US"/>
        </w:rPr>
        <w:t>Appendix B — empirical verification of the time zone of the INMET files</w:t>
      </w:r>
    </w:p>
    <w:p w14:paraId="252A5528" w14:textId="77777777" w:rsidR="0006180E" w:rsidRPr="0006180E" w:rsidRDefault="0006180E" w:rsidP="0006180E">
      <w:pPr>
        <w:rPr>
          <w:lang w:val="en-US"/>
        </w:rPr>
      </w:pPr>
      <w:r w:rsidRPr="0006180E">
        <w:rPr>
          <w:b/>
          <w:lang w:val="en-US"/>
        </w:rPr>
        <w:t>Objective.</w:t>
      </w:r>
      <w:r w:rsidRPr="0006180E">
        <w:rPr>
          <w:lang w:val="en-US"/>
        </w:rPr>
        <w:t xml:space="preserve"> To verify whether the time field of the hourly files, labelled HORA (UTC), actually represents universal time throughout the series, or whether in some period it embeds local civil time — which would matter because daylight saving time was in force in the Centre-South of the country until 2019.</w:t>
      </w:r>
    </w:p>
    <w:p w14:paraId="6411AA02" w14:textId="77777777" w:rsidR="0006180E" w:rsidRPr="0006180E" w:rsidRDefault="0006180E" w:rsidP="0006180E">
      <w:pPr>
        <w:rPr>
          <w:lang w:val="en-US"/>
        </w:rPr>
      </w:pPr>
      <w:r w:rsidRPr="0006180E">
        <w:rPr>
          <w:b/>
          <w:lang w:val="en-US"/>
        </w:rPr>
        <w:t>Design.</w:t>
      </w:r>
      <w:r w:rsidRPr="0006180E">
        <w:rPr>
          <w:lang w:val="en-US"/>
        </w:rPr>
        <w:t xml:space="preserve"> If the records were in civil time, a state that observed daylight saving time would show, in the summers before 2019, a daily temperature peak about one hour later than in the summers after it was abolished; a state that never observed it would show no difference.</w:t>
      </w:r>
    </w:p>
    <w:p w14:paraId="14B3FDB3" w14:textId="77777777" w:rsidR="0006180E" w:rsidRPr="0006180E" w:rsidRDefault="0006180E" w:rsidP="0006180E">
      <w:pPr>
        <w:rPr>
          <w:lang w:val="en-US"/>
        </w:rPr>
      </w:pPr>
      <w:r w:rsidRPr="0006180E">
        <w:rPr>
          <w:b/>
          <w:lang w:val="en-US"/>
        </w:rPr>
        <w:t>Stations.</w:t>
      </w:r>
      <w:r w:rsidRPr="0006180E">
        <w:rPr>
          <w:lang w:val="en-US"/>
        </w:rPr>
        <w:t xml:space="preserve"> A701 (São Paulo — Mirante) and A801 (Porto Alegre), in states that observed daylight saving time, and A305 (Fortaleza), in a state that never did.</w:t>
      </w:r>
    </w:p>
    <w:p w14:paraId="58186FE0" w14:textId="77777777" w:rsidR="0006180E" w:rsidRPr="0006180E" w:rsidRDefault="0006180E" w:rsidP="0006180E">
      <w:pPr>
        <w:rPr>
          <w:lang w:val="en-US"/>
        </w:rPr>
      </w:pPr>
      <w:r w:rsidRPr="0006180E">
        <w:rPr>
          <w:b/>
          <w:lang w:val="en-US"/>
        </w:rPr>
        <w:t>Definition.</w:t>
      </w:r>
      <w:r w:rsidRPr="0006180E">
        <w:rPr>
          <w:lang w:val="en-US"/>
        </w:rPr>
        <w:t xml:space="preserve"> For each day with at least 20 valid hourly readings, we took the hour of the highest reading of the variable "maximum temperature in the previous hour", converted </w:t>
      </w:r>
      <w:r w:rsidRPr="0006180E">
        <w:rPr>
          <w:lang w:val="en-US"/>
        </w:rPr>
        <w:lastRenderedPageBreak/>
        <w:t xml:space="preserve">to standard local time (UTC−3). In case of ties between hours, the first occurrence was used. The summers (December to February) of 2015–2018 are compared with those of 2021–2024; the statistic reported is the </w:t>
      </w:r>
      <w:r w:rsidRPr="0006180E">
        <w:rPr>
          <w:b/>
          <w:lang w:val="en-US"/>
        </w:rPr>
        <w:t>difference between the means</w:t>
      </w:r>
      <w:r w:rsidRPr="0006180E">
        <w:rPr>
          <w:lang w:val="en-US"/>
        </w:rPr>
        <w:t xml:space="preserve"> of the peak hour in the two periods.</w:t>
      </w:r>
    </w:p>
    <w:p w14:paraId="3C88D8E4" w14:textId="77777777" w:rsidR="0006180E" w:rsidRPr="0006180E" w:rsidRDefault="0006180E" w:rsidP="0006180E">
      <w:pPr>
        <w:rPr>
          <w:lang w:val="en-US"/>
        </w:rPr>
      </w:pPr>
      <w:r w:rsidRPr="0006180E">
        <w:rPr>
          <w:b/>
          <w:lang w:val="en-US"/>
        </w:rPr>
        <w:t>Result.</w:t>
      </w:r>
    </w:p>
    <w:tbl>
      <w:tblPr>
        <w:tblStyle w:val="LightGrid-Accent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7"/>
        <w:gridCol w:w="1735"/>
        <w:gridCol w:w="1735"/>
        <w:gridCol w:w="1740"/>
        <w:gridCol w:w="1344"/>
      </w:tblGrid>
      <w:tr w:rsidR="0006180E" w:rsidRPr="0006180E" w14:paraId="7F28829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hideMark/>
          </w:tcPr>
          <w:p w14:paraId="68F5679C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Station</w:t>
            </w:r>
          </w:p>
        </w:tc>
        <w:tc>
          <w:tcPr>
            <w:tcW w:w="1735" w:type="dxa"/>
            <w:hideMark/>
          </w:tcPr>
          <w:p w14:paraId="2994C223" w14:textId="77777777" w:rsidR="0006180E" w:rsidRPr="0006180E" w:rsidRDefault="0006180E" w:rsidP="0006180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Summer 2015–18</w:t>
            </w:r>
          </w:p>
        </w:tc>
        <w:tc>
          <w:tcPr>
            <w:tcW w:w="1735" w:type="dxa"/>
            <w:hideMark/>
          </w:tcPr>
          <w:p w14:paraId="4AE872DC" w14:textId="77777777" w:rsidR="0006180E" w:rsidRPr="0006180E" w:rsidRDefault="0006180E" w:rsidP="0006180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Summer 2021–24</w:t>
            </w:r>
          </w:p>
        </w:tc>
        <w:tc>
          <w:tcPr>
            <w:tcW w:w="1740" w:type="dxa"/>
            <w:hideMark/>
          </w:tcPr>
          <w:p w14:paraId="528B39F6" w14:textId="77777777" w:rsidR="0006180E" w:rsidRPr="0006180E" w:rsidRDefault="0006180E" w:rsidP="0006180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Days (2015–18 / 2021–24)</w:t>
            </w:r>
          </w:p>
        </w:tc>
        <w:tc>
          <w:tcPr>
            <w:tcW w:w="1344" w:type="dxa"/>
            <w:hideMark/>
          </w:tcPr>
          <w:p w14:paraId="423B7C9E" w14:textId="77777777" w:rsidR="0006180E" w:rsidRPr="0006180E" w:rsidRDefault="0006180E" w:rsidP="0006180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Difference</w:t>
            </w:r>
          </w:p>
        </w:tc>
      </w:tr>
      <w:tr w:rsidR="0006180E" w:rsidRPr="0006180E" w14:paraId="6D1D56E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hideMark/>
          </w:tcPr>
          <w:p w14:paraId="5027398B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São Paulo (A701)</w:t>
            </w:r>
          </w:p>
        </w:tc>
        <w:tc>
          <w:tcPr>
            <w:tcW w:w="1735" w:type="dxa"/>
            <w:hideMark/>
          </w:tcPr>
          <w:p w14:paraId="0BD75D0B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14.65 h</w:t>
            </w:r>
          </w:p>
        </w:tc>
        <w:tc>
          <w:tcPr>
            <w:tcW w:w="1735" w:type="dxa"/>
            <w:hideMark/>
          </w:tcPr>
          <w:p w14:paraId="601936C7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14.27 h</w:t>
            </w:r>
          </w:p>
        </w:tc>
        <w:tc>
          <w:tcPr>
            <w:tcW w:w="1740" w:type="dxa"/>
            <w:hideMark/>
          </w:tcPr>
          <w:p w14:paraId="42574A95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358 / 361</w:t>
            </w:r>
          </w:p>
        </w:tc>
        <w:tc>
          <w:tcPr>
            <w:tcW w:w="1344" w:type="dxa"/>
            <w:hideMark/>
          </w:tcPr>
          <w:p w14:paraId="29D50B40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+0.38 h</w:t>
            </w:r>
          </w:p>
        </w:tc>
      </w:tr>
      <w:tr w:rsidR="0006180E" w:rsidRPr="0006180E" w14:paraId="50BE255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hideMark/>
          </w:tcPr>
          <w:p w14:paraId="199C1F7C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Porto Alegre (A801)</w:t>
            </w:r>
          </w:p>
        </w:tc>
        <w:tc>
          <w:tcPr>
            <w:tcW w:w="1735" w:type="dxa"/>
            <w:hideMark/>
          </w:tcPr>
          <w:p w14:paraId="15708ED3" w14:textId="77777777" w:rsidR="0006180E" w:rsidRPr="0006180E" w:rsidRDefault="0006180E" w:rsidP="0006180E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14.67 h</w:t>
            </w:r>
          </w:p>
        </w:tc>
        <w:tc>
          <w:tcPr>
            <w:tcW w:w="1735" w:type="dxa"/>
            <w:hideMark/>
          </w:tcPr>
          <w:p w14:paraId="1A23DFAA" w14:textId="77777777" w:rsidR="0006180E" w:rsidRPr="0006180E" w:rsidRDefault="0006180E" w:rsidP="0006180E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14.84 h</w:t>
            </w:r>
          </w:p>
        </w:tc>
        <w:tc>
          <w:tcPr>
            <w:tcW w:w="1740" w:type="dxa"/>
            <w:hideMark/>
          </w:tcPr>
          <w:p w14:paraId="6D483A46" w14:textId="77777777" w:rsidR="0006180E" w:rsidRPr="0006180E" w:rsidRDefault="0006180E" w:rsidP="0006180E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356 / 357</w:t>
            </w:r>
          </w:p>
        </w:tc>
        <w:tc>
          <w:tcPr>
            <w:tcW w:w="1344" w:type="dxa"/>
            <w:hideMark/>
          </w:tcPr>
          <w:p w14:paraId="06F06E25" w14:textId="77777777" w:rsidR="0006180E" w:rsidRPr="0006180E" w:rsidRDefault="0006180E" w:rsidP="0006180E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−0.17 h</w:t>
            </w:r>
          </w:p>
        </w:tc>
      </w:tr>
      <w:tr w:rsidR="0006180E" w:rsidRPr="0006180E" w14:paraId="5AA2E2F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hideMark/>
          </w:tcPr>
          <w:p w14:paraId="29AB07F2" w14:textId="77777777" w:rsidR="0006180E" w:rsidRPr="0006180E" w:rsidRDefault="0006180E" w:rsidP="0006180E">
            <w:pPr>
              <w:spacing w:after="160" w:line="278" w:lineRule="auto"/>
              <w:rPr>
                <w:lang w:val="en-US"/>
              </w:rPr>
            </w:pPr>
            <w:r w:rsidRPr="0006180E">
              <w:rPr>
                <w:lang w:val="en-US"/>
              </w:rPr>
              <w:t>Fortaleza (A305)</w:t>
            </w:r>
          </w:p>
        </w:tc>
        <w:tc>
          <w:tcPr>
            <w:tcW w:w="1735" w:type="dxa"/>
            <w:hideMark/>
          </w:tcPr>
          <w:p w14:paraId="215C8F21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13.24 h</w:t>
            </w:r>
          </w:p>
        </w:tc>
        <w:tc>
          <w:tcPr>
            <w:tcW w:w="1735" w:type="dxa"/>
            <w:hideMark/>
          </w:tcPr>
          <w:p w14:paraId="76EBB203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13.08 h</w:t>
            </w:r>
          </w:p>
        </w:tc>
        <w:tc>
          <w:tcPr>
            <w:tcW w:w="1740" w:type="dxa"/>
            <w:hideMark/>
          </w:tcPr>
          <w:p w14:paraId="4B1912CD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317 / 330</w:t>
            </w:r>
          </w:p>
        </w:tc>
        <w:tc>
          <w:tcPr>
            <w:tcW w:w="1344" w:type="dxa"/>
            <w:hideMark/>
          </w:tcPr>
          <w:p w14:paraId="1BF32A1A" w14:textId="77777777" w:rsidR="0006180E" w:rsidRPr="0006180E" w:rsidRDefault="0006180E" w:rsidP="0006180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6180E">
              <w:rPr>
                <w:lang w:val="en-US"/>
              </w:rPr>
              <w:t>+0.15 h</w:t>
            </w:r>
          </w:p>
        </w:tc>
      </w:tr>
    </w:tbl>
    <w:p w14:paraId="35E8F392" w14:textId="77777777" w:rsidR="0006180E" w:rsidRPr="0006180E" w:rsidRDefault="0006180E" w:rsidP="0006180E">
      <w:pPr>
        <w:rPr>
          <w:lang w:val="en-US"/>
        </w:rPr>
      </w:pPr>
    </w:p>
    <w:p w14:paraId="44D4EE79" w14:textId="77777777" w:rsidR="0006180E" w:rsidRPr="0006180E" w:rsidRDefault="0006180E" w:rsidP="0006180E">
      <w:pPr>
        <w:rPr>
          <w:lang w:val="en-US"/>
        </w:rPr>
      </w:pPr>
      <w:r w:rsidRPr="0006180E">
        <w:rPr>
          <w:lang w:val="en-US"/>
        </w:rPr>
        <w:t>No difference approaches one hour, and the two stations in states with daylight saving time have opposite signs — a pattern of noise, not of systematic shift. The result is compatible with interpreting the field as UTC throughout the series. The winters (June to August) were checked as a reference and do not differ between periods.</w:t>
      </w:r>
    </w:p>
    <w:p w14:paraId="37CD67E8" w14:textId="77777777" w:rsidR="0006180E" w:rsidRPr="0006180E" w:rsidRDefault="0006180E" w:rsidP="0006180E">
      <w:pPr>
        <w:rPr>
          <w:lang w:val="en-US"/>
        </w:rPr>
      </w:pPr>
      <w:r w:rsidRPr="0006180E">
        <w:rPr>
          <w:i/>
          <w:lang w:val="en-US"/>
        </w:rPr>
        <w:t>Processing note:</w:t>
      </w:r>
      <w:r w:rsidRPr="0006180E">
        <w:rPr>
          <w:lang w:val="en-US"/>
        </w:rPr>
        <w:t xml:space="preserve"> the date format varies between releases of the files (2015-01-01, 2022/01/01, 01/01/2015); the production extractor handles all three formats.</w:t>
      </w:r>
    </w:p>
    <w:p w14:paraId="7C77F0C3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80E"/>
    <w:rsid w:val="0006180E"/>
    <w:rsid w:val="00767E38"/>
    <w:rsid w:val="00866F7D"/>
    <w:rsid w:val="009F2ED0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291D8"/>
  <w15:chartTrackingRefBased/>
  <w15:docId w15:val="{A54261F0-CD8B-4C4E-BDD2-CDBCE6E9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8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8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8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8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8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8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8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8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8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8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8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8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8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8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8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80E"/>
    <w:rPr>
      <w:b/>
      <w:bCs/>
      <w:smallCaps/>
      <w:color w:val="0F4761" w:themeColor="accent1" w:themeShade="BF"/>
      <w:spacing w:val="5"/>
    </w:rPr>
  </w:style>
  <w:style w:type="table" w:styleId="LightGrid-Accent1">
    <w:name w:val="Light Grid Accent 1"/>
    <w:basedOn w:val="TableNormal"/>
    <w:uiPriority w:val="62"/>
    <w:semiHidden/>
    <w:unhideWhenUsed/>
    <w:rsid w:val="0006180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2026-10-20T13:05:00Z</dcterms:created>
  <dcterms:modified xsi:type="dcterms:W3CDTF">2026-10-20T13:06:00Z</dcterms:modified>
</cp:coreProperties>
</file>