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15F8B" w14:textId="77777777" w:rsidR="008846D8" w:rsidRPr="008846D8" w:rsidRDefault="008846D8" w:rsidP="008846D8">
      <w:pPr>
        <w:rPr>
          <w:b/>
          <w:bCs/>
          <w:lang w:val="en-US"/>
        </w:rPr>
      </w:pPr>
      <w:r w:rsidRPr="008846D8">
        <w:rPr>
          <w:bCs/>
          <w:lang w:val="en-US"/>
        </w:rPr>
        <w:t>Supplementary material</w:t>
      </w:r>
    </w:p>
    <w:p w14:paraId="2D2B26D9" w14:textId="77777777" w:rsidR="008846D8" w:rsidRPr="008846D8" w:rsidRDefault="008846D8" w:rsidP="008846D8">
      <w:pPr>
        <w:rPr>
          <w:lang w:val="en-US"/>
        </w:rPr>
      </w:pPr>
      <w:r w:rsidRPr="008846D8">
        <w:rPr>
          <w:b/>
          <w:lang w:val="en-US"/>
        </w:rPr>
        <w:t>Figure.</w:t>
      </w:r>
      <w:r w:rsidRPr="008846D8">
        <w:rPr>
          <w:lang w:val="en-US"/>
        </w:rPr>
        <w:t xml:space="preserve"> Figure 1 is produced by </w:t>
      </w:r>
      <w:proofErr w:type="spellStart"/>
      <w:r w:rsidRPr="008846D8">
        <w:rPr>
          <w:lang w:val="en-US"/>
        </w:rPr>
        <w:t>fig_</w:t>
      </w:r>
      <w:proofErr w:type="gramStart"/>
      <w:r w:rsidRPr="008846D8">
        <w:rPr>
          <w:lang w:val="en-US"/>
        </w:rPr>
        <w:t>lag.R</w:t>
      </w:r>
      <w:proofErr w:type="spellEnd"/>
      <w:proofErr w:type="gramEnd"/>
      <w:r w:rsidRPr="008846D8">
        <w:rPr>
          <w:lang w:val="en-US"/>
        </w:rPr>
        <w:t xml:space="preserve"> from the object saved by </w:t>
      </w:r>
      <w:proofErr w:type="spellStart"/>
      <w:r w:rsidRPr="008846D8">
        <w:rPr>
          <w:lang w:val="en-US"/>
        </w:rPr>
        <w:t>dlnm_</w:t>
      </w:r>
      <w:proofErr w:type="gramStart"/>
      <w:r w:rsidRPr="008846D8">
        <w:rPr>
          <w:lang w:val="en-US"/>
        </w:rPr>
        <w:t>final.R</w:t>
      </w:r>
      <w:proofErr w:type="spellEnd"/>
      <w:proofErr w:type="gramEnd"/>
      <w:r w:rsidRPr="008846D8">
        <w:rPr>
          <w:lang w:val="en-US"/>
        </w:rPr>
        <w:t>; setting the environment variable FIG_LANG=</w:t>
      </w:r>
      <w:proofErr w:type="spellStart"/>
      <w:r w:rsidRPr="008846D8">
        <w:rPr>
          <w:lang w:val="en-US"/>
        </w:rPr>
        <w:t>en</w:t>
      </w:r>
      <w:proofErr w:type="spellEnd"/>
      <w:r w:rsidRPr="008846D8">
        <w:rPr>
          <w:lang w:val="en-US"/>
        </w:rPr>
        <w:t xml:space="preserve"> produces the version with English labels.</w:t>
      </w:r>
    </w:p>
    <w:p w14:paraId="6B7E1404" w14:textId="77777777" w:rsidR="008846D8" w:rsidRPr="008846D8" w:rsidRDefault="008846D8" w:rsidP="008846D8">
      <w:pPr>
        <w:rPr>
          <w:lang w:val="en-US"/>
        </w:rPr>
      </w:pPr>
      <w:r w:rsidRPr="008846D8">
        <w:rPr>
          <w:b/>
          <w:lang w:val="en-US"/>
        </w:rPr>
        <w:t>Validation.</w:t>
      </w:r>
      <w:r w:rsidRPr="008846D8">
        <w:rPr>
          <w:lang w:val="en-US"/>
        </w:rPr>
        <w:t xml:space="preserve"> </w:t>
      </w:r>
      <w:proofErr w:type="spellStart"/>
      <w:r w:rsidRPr="008846D8">
        <w:rPr>
          <w:lang w:val="en-US"/>
        </w:rPr>
        <w:t>dlnm_</w:t>
      </w:r>
      <w:proofErr w:type="gramStart"/>
      <w:r w:rsidRPr="008846D8">
        <w:rPr>
          <w:lang w:val="en-US"/>
        </w:rPr>
        <w:t>validacao.R</w:t>
      </w:r>
      <w:proofErr w:type="spellEnd"/>
      <w:proofErr w:type="gramEnd"/>
      <w:r w:rsidRPr="008846D8">
        <w:rPr>
          <w:lang w:val="en-US"/>
        </w:rPr>
        <w:t xml:space="preserve"> documents the comparison of our own cross-basis with the </w:t>
      </w:r>
      <w:proofErr w:type="spellStart"/>
      <w:r w:rsidRPr="008846D8">
        <w:rPr>
          <w:lang w:val="en-US"/>
        </w:rPr>
        <w:t>dlnm</w:t>
      </w:r>
      <w:proofErr w:type="spellEnd"/>
      <w:r w:rsidRPr="008846D8">
        <w:rPr>
          <w:lang w:val="en-US"/>
        </w:rPr>
        <w:t xml:space="preserve"> package, version 2.4.10.</w:t>
      </w:r>
    </w:p>
    <w:p w14:paraId="5ED2DEB4" w14:textId="77777777" w:rsidR="008846D8" w:rsidRPr="008846D8" w:rsidRDefault="008846D8" w:rsidP="008846D8">
      <w:pPr>
        <w:rPr>
          <w:lang w:val="en-US"/>
        </w:rPr>
      </w:pPr>
      <w:r w:rsidRPr="008846D8">
        <w:rPr>
          <w:b/>
          <w:lang w:val="en-US"/>
        </w:rPr>
        <w:t>Data and code.</w:t>
      </w:r>
      <w:r w:rsidRPr="008846D8">
        <w:rPr>
          <w:lang w:val="en-US"/>
        </w:rPr>
        <w:t xml:space="preserve"> </w:t>
      </w:r>
      <w:proofErr w:type="spellStart"/>
      <w:r w:rsidRPr="008846D8">
        <w:rPr>
          <w:lang w:val="en-US"/>
        </w:rPr>
        <w:t>Zenodo</w:t>
      </w:r>
      <w:proofErr w:type="spellEnd"/>
      <w:r w:rsidRPr="008846D8">
        <w:rPr>
          <w:lang w:val="en-US"/>
        </w:rPr>
        <w:t xml:space="preserve"> deposit (doi:10.5281/zenodo.23421154), containing the daily panels serie_uf_dlnm2.csv, serie_uf_qc.csv, serie_uf_bruto.csv and painel_mun_dm2_res.csv, the INMET temperature series and the scripts </w:t>
      </w:r>
      <w:proofErr w:type="spellStart"/>
      <w:r w:rsidRPr="008846D8">
        <w:rPr>
          <w:lang w:val="en-US"/>
        </w:rPr>
        <w:t>dlnm_final.R</w:t>
      </w:r>
      <w:proofErr w:type="spellEnd"/>
      <w:r w:rsidRPr="008846D8">
        <w:rPr>
          <w:lang w:val="en-US"/>
        </w:rPr>
        <w:t xml:space="preserve"> (Tables 2, 3, 5, 6 and 12), </w:t>
      </w:r>
      <w:proofErr w:type="spellStart"/>
      <w:r w:rsidRPr="008846D8">
        <w:rPr>
          <w:lang w:val="en-US"/>
        </w:rPr>
        <w:t>dlnm_covar.R</w:t>
      </w:r>
      <w:proofErr w:type="spellEnd"/>
      <w:r w:rsidRPr="008846D8">
        <w:rPr>
          <w:lang w:val="en-US"/>
        </w:rPr>
        <w:t xml:space="preserve"> and </w:t>
      </w:r>
      <w:proofErr w:type="spellStart"/>
      <w:r w:rsidRPr="008846D8">
        <w:rPr>
          <w:lang w:val="en-US"/>
        </w:rPr>
        <w:t>dlnm_contraste.R</w:t>
      </w:r>
      <w:proofErr w:type="spellEnd"/>
      <w:r w:rsidRPr="008846D8">
        <w:rPr>
          <w:lang w:val="en-US"/>
        </w:rPr>
        <w:t xml:space="preserve"> (Tables 4 and 11), dlnm_revisao2b.R (Tables 8 and 9), dlnm_sens2.R (Table 10), dlnm_lags_reml2.R (lag curve and 18–21 window), </w:t>
      </w:r>
      <w:proofErr w:type="spellStart"/>
      <w:r w:rsidRPr="008846D8">
        <w:rPr>
          <w:lang w:val="en-US"/>
        </w:rPr>
        <w:t>fig_lag.R</w:t>
      </w:r>
      <w:proofErr w:type="spellEnd"/>
      <w:r w:rsidRPr="008846D8">
        <w:rPr>
          <w:lang w:val="en-US"/>
        </w:rPr>
        <w:t xml:space="preserve"> (Figure 1), cc_idade_geral.py (Table 7, municipal scale and the individual lags in section 3.6), placebo_cc.py (placebo test, section 3.6) and inmet/verifica_fuso.py (Appendix B).</w:t>
      </w:r>
    </w:p>
    <w:p w14:paraId="5AB685F7" w14:textId="77777777" w:rsidR="008846D8" w:rsidRPr="008846D8" w:rsidRDefault="008846D8" w:rsidP="008846D8">
      <w:pPr>
        <w:rPr>
          <w:lang w:val="en-US"/>
        </w:rPr>
      </w:pPr>
      <w:r w:rsidRPr="008846D8">
        <w:rPr>
          <w:b/>
          <w:lang w:val="en-US"/>
        </w:rPr>
        <w:t>Table S1.</w:t>
      </w:r>
      <w:r w:rsidRPr="008846D8">
        <w:rPr>
          <w:lang w:val="en-US"/>
        </w:rPr>
        <w:t xml:space="preserve"> Flow of deaths and denominators of each analysis.</w:t>
      </w:r>
    </w:p>
    <w:tbl>
      <w:tblPr>
        <w:tblStyle w:val="LightGrid-Accent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624"/>
        <w:gridCol w:w="2448"/>
      </w:tblGrid>
      <w:tr w:rsidR="008846D8" w:rsidRPr="008846D8" w14:paraId="0AC1F43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4" w:type="dxa"/>
            <w:hideMark/>
          </w:tcPr>
          <w:p w14:paraId="273E481F" w14:textId="77777777" w:rsidR="008846D8" w:rsidRPr="008846D8" w:rsidRDefault="008846D8" w:rsidP="008846D8">
            <w:pPr>
              <w:spacing w:after="160" w:line="278" w:lineRule="auto"/>
              <w:rPr>
                <w:lang w:val="en-US"/>
              </w:rPr>
            </w:pPr>
            <w:r w:rsidRPr="008846D8">
              <w:rPr>
                <w:lang w:val="en-US"/>
              </w:rPr>
              <w:t>Step</w:t>
            </w:r>
          </w:p>
        </w:tc>
        <w:tc>
          <w:tcPr>
            <w:tcW w:w="2448" w:type="dxa"/>
            <w:hideMark/>
          </w:tcPr>
          <w:p w14:paraId="1B619C9D" w14:textId="77777777" w:rsidR="008846D8" w:rsidRPr="008846D8" w:rsidRDefault="008846D8" w:rsidP="008846D8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846D8">
              <w:rPr>
                <w:lang w:val="en-US"/>
              </w:rPr>
              <w:t>Deaths</w:t>
            </w:r>
          </w:p>
        </w:tc>
      </w:tr>
      <w:tr w:rsidR="008846D8" w:rsidRPr="008846D8" w14:paraId="0593694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4" w:type="dxa"/>
            <w:hideMark/>
          </w:tcPr>
          <w:p w14:paraId="4DC30998" w14:textId="77777777" w:rsidR="008846D8" w:rsidRPr="008846D8" w:rsidRDefault="008846D8" w:rsidP="008846D8">
            <w:pPr>
              <w:spacing w:after="160" w:line="278" w:lineRule="auto"/>
              <w:rPr>
                <w:lang w:val="en-US"/>
              </w:rPr>
            </w:pPr>
            <w:r w:rsidRPr="008846D8">
              <w:rPr>
                <w:lang w:val="en-US"/>
              </w:rPr>
              <w:t>All deaths, 14 federative units, 2014–2024</w:t>
            </w:r>
          </w:p>
        </w:tc>
        <w:tc>
          <w:tcPr>
            <w:tcW w:w="2448" w:type="dxa"/>
            <w:hideMark/>
          </w:tcPr>
          <w:p w14:paraId="4E53F2B8" w14:textId="77777777" w:rsidR="008846D8" w:rsidRPr="008846D8" w:rsidRDefault="008846D8" w:rsidP="008846D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846D8">
              <w:rPr>
                <w:lang w:val="en-US"/>
              </w:rPr>
              <w:t>12,246,946</w:t>
            </w:r>
          </w:p>
        </w:tc>
      </w:tr>
      <w:tr w:rsidR="008846D8" w:rsidRPr="008846D8" w14:paraId="65F1574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4" w:type="dxa"/>
            <w:hideMark/>
          </w:tcPr>
          <w:p w14:paraId="033A292D" w14:textId="77777777" w:rsidR="008846D8" w:rsidRPr="008846D8" w:rsidRDefault="008846D8" w:rsidP="008846D8">
            <w:pPr>
              <w:spacing w:after="160" w:line="278" w:lineRule="auto"/>
              <w:rPr>
                <w:lang w:val="en-US"/>
              </w:rPr>
            </w:pPr>
            <w:r w:rsidRPr="008846D8">
              <w:rPr>
                <w:lang w:val="en-US"/>
              </w:rPr>
              <w:t>Excluded: external causes (chapter XX, V01–Y98)</w:t>
            </w:r>
          </w:p>
        </w:tc>
        <w:tc>
          <w:tcPr>
            <w:tcW w:w="2448" w:type="dxa"/>
            <w:hideMark/>
          </w:tcPr>
          <w:p w14:paraId="694A6429" w14:textId="77777777" w:rsidR="008846D8" w:rsidRPr="008846D8" w:rsidRDefault="008846D8" w:rsidP="008846D8">
            <w:pPr>
              <w:spacing w:after="160" w:line="27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846D8">
              <w:rPr>
                <w:lang w:val="en-US"/>
              </w:rPr>
              <w:t>1,198,073</w:t>
            </w:r>
          </w:p>
        </w:tc>
      </w:tr>
      <w:tr w:rsidR="008846D8" w:rsidRPr="008846D8" w14:paraId="651AD22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4" w:type="dxa"/>
            <w:hideMark/>
          </w:tcPr>
          <w:p w14:paraId="76AF3714" w14:textId="77777777" w:rsidR="008846D8" w:rsidRPr="008846D8" w:rsidRDefault="008846D8" w:rsidP="008846D8">
            <w:pPr>
              <w:spacing w:after="160" w:line="278" w:lineRule="auto"/>
              <w:rPr>
                <w:lang w:val="en-US"/>
              </w:rPr>
            </w:pPr>
            <w:r w:rsidRPr="008846D8">
              <w:rPr>
                <w:lang w:val="en-US"/>
              </w:rPr>
              <w:t>Deaths from natural causes (A00–R99)</w:t>
            </w:r>
          </w:p>
        </w:tc>
        <w:tc>
          <w:tcPr>
            <w:tcW w:w="2448" w:type="dxa"/>
            <w:hideMark/>
          </w:tcPr>
          <w:p w14:paraId="3AE1021C" w14:textId="77777777" w:rsidR="008846D8" w:rsidRPr="008846D8" w:rsidRDefault="008846D8" w:rsidP="008846D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846D8">
              <w:rPr>
                <w:lang w:val="en-US"/>
              </w:rPr>
              <w:t>11,048,873</w:t>
            </w:r>
          </w:p>
        </w:tc>
      </w:tr>
      <w:tr w:rsidR="008846D8" w:rsidRPr="008846D8" w14:paraId="2929328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4" w:type="dxa"/>
            <w:hideMark/>
          </w:tcPr>
          <w:p w14:paraId="50FCDDCF" w14:textId="77777777" w:rsidR="008846D8" w:rsidRPr="008846D8" w:rsidRDefault="008846D8" w:rsidP="008846D8">
            <w:pPr>
              <w:spacing w:after="160" w:line="278" w:lineRule="auto"/>
              <w:rPr>
                <w:lang w:val="en-US"/>
              </w:rPr>
            </w:pPr>
            <w:r w:rsidRPr="008846D8">
              <w:rPr>
                <w:lang w:val="en-US"/>
              </w:rPr>
              <w:t>Excluded: missing or invalid age</w:t>
            </w:r>
          </w:p>
        </w:tc>
        <w:tc>
          <w:tcPr>
            <w:tcW w:w="2448" w:type="dxa"/>
            <w:hideMark/>
          </w:tcPr>
          <w:p w14:paraId="0FD63E85" w14:textId="77777777" w:rsidR="008846D8" w:rsidRPr="008846D8" w:rsidRDefault="008846D8" w:rsidP="008846D8">
            <w:pPr>
              <w:spacing w:after="160" w:line="27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846D8">
              <w:rPr>
                <w:lang w:val="en-US"/>
              </w:rPr>
              <w:t>10,217</w:t>
            </w:r>
          </w:p>
        </w:tc>
      </w:tr>
      <w:tr w:rsidR="008846D8" w:rsidRPr="008846D8" w14:paraId="7303678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4" w:type="dxa"/>
            <w:hideMark/>
          </w:tcPr>
          <w:p w14:paraId="2C8375ED" w14:textId="77777777" w:rsidR="008846D8" w:rsidRPr="008846D8" w:rsidRDefault="008846D8" w:rsidP="008846D8">
            <w:pPr>
              <w:spacing w:after="160" w:line="278" w:lineRule="auto"/>
              <w:rPr>
                <w:lang w:val="en-US"/>
              </w:rPr>
            </w:pPr>
            <w:r w:rsidRPr="008846D8">
              <w:rPr>
                <w:lang w:val="en-US"/>
              </w:rPr>
              <w:t>Main analysis (DLNM): natural causes with valid age</w:t>
            </w:r>
          </w:p>
        </w:tc>
        <w:tc>
          <w:tcPr>
            <w:tcW w:w="2448" w:type="dxa"/>
            <w:hideMark/>
          </w:tcPr>
          <w:p w14:paraId="4A4FD0A0" w14:textId="77777777" w:rsidR="008846D8" w:rsidRPr="008846D8" w:rsidRDefault="008846D8" w:rsidP="008846D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846D8">
              <w:rPr>
                <w:b/>
                <w:lang w:val="en-US"/>
              </w:rPr>
              <w:t>11,038,656</w:t>
            </w:r>
          </w:p>
        </w:tc>
      </w:tr>
      <w:tr w:rsidR="008846D8" w:rsidRPr="008846D8" w14:paraId="5240F0E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4" w:type="dxa"/>
            <w:hideMark/>
          </w:tcPr>
          <w:p w14:paraId="64A8C631" w14:textId="77777777" w:rsidR="008846D8" w:rsidRPr="008846D8" w:rsidRDefault="008846D8" w:rsidP="008846D8">
            <w:pPr>
              <w:spacing w:after="160" w:line="278" w:lineRule="auto"/>
              <w:rPr>
                <w:lang w:val="en-US"/>
              </w:rPr>
            </w:pPr>
            <w:r w:rsidRPr="008846D8">
              <w:rPr>
                <w:lang w:val="en-US"/>
              </w:rPr>
              <w:t>Case-crossover — base: 17 federative units, all months, 2014–2025, natural causes</w:t>
            </w:r>
          </w:p>
        </w:tc>
        <w:tc>
          <w:tcPr>
            <w:tcW w:w="2448" w:type="dxa"/>
            <w:hideMark/>
          </w:tcPr>
          <w:p w14:paraId="39C83FB6" w14:textId="77777777" w:rsidR="008846D8" w:rsidRPr="008846D8" w:rsidRDefault="008846D8" w:rsidP="008846D8">
            <w:pPr>
              <w:spacing w:after="160" w:line="27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846D8">
              <w:rPr>
                <w:lang w:val="en-US"/>
              </w:rPr>
              <w:t>11,579,909</w:t>
            </w:r>
          </w:p>
        </w:tc>
      </w:tr>
      <w:tr w:rsidR="008846D8" w:rsidRPr="008846D8" w14:paraId="0CD9318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4" w:type="dxa"/>
            <w:hideMark/>
          </w:tcPr>
          <w:p w14:paraId="206681D8" w14:textId="77777777" w:rsidR="008846D8" w:rsidRPr="008846D8" w:rsidRDefault="008846D8" w:rsidP="008846D8">
            <w:pPr>
              <w:spacing w:after="160" w:line="278" w:lineRule="auto"/>
              <w:rPr>
                <w:lang w:val="en-US"/>
              </w:rPr>
            </w:pPr>
            <w:r w:rsidRPr="008846D8">
              <w:rPr>
                <w:lang w:val="en-US"/>
              </w:rPr>
              <w:t>Case-crossover — deaths in contributing strata (Table 7)</w:t>
            </w:r>
          </w:p>
        </w:tc>
        <w:tc>
          <w:tcPr>
            <w:tcW w:w="2448" w:type="dxa"/>
            <w:hideMark/>
          </w:tcPr>
          <w:p w14:paraId="17901097" w14:textId="77777777" w:rsidR="008846D8" w:rsidRPr="008846D8" w:rsidRDefault="008846D8" w:rsidP="008846D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846D8">
              <w:rPr>
                <w:b/>
                <w:lang w:val="en-US"/>
              </w:rPr>
              <w:t>10,160,394</w:t>
            </w:r>
          </w:p>
        </w:tc>
      </w:tr>
      <w:tr w:rsidR="008846D8" w:rsidRPr="008846D8" w14:paraId="6D537CF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4" w:type="dxa"/>
            <w:hideMark/>
          </w:tcPr>
          <w:p w14:paraId="034D8BCB" w14:textId="77777777" w:rsidR="008846D8" w:rsidRPr="008846D8" w:rsidRDefault="008846D8" w:rsidP="008846D8">
            <w:pPr>
              <w:spacing w:after="160" w:line="278" w:lineRule="auto"/>
              <w:rPr>
                <w:lang w:val="en-US"/>
              </w:rPr>
            </w:pPr>
            <w:r w:rsidRPr="008846D8">
              <w:rPr>
                <w:lang w:val="en-US"/>
              </w:rPr>
              <w:t>Case-crossover — municipal scale, 100 km radius</w:t>
            </w:r>
          </w:p>
        </w:tc>
        <w:tc>
          <w:tcPr>
            <w:tcW w:w="2448" w:type="dxa"/>
            <w:hideMark/>
          </w:tcPr>
          <w:p w14:paraId="50F8A15E" w14:textId="77777777" w:rsidR="008846D8" w:rsidRPr="008846D8" w:rsidRDefault="008846D8" w:rsidP="008846D8">
            <w:pPr>
              <w:spacing w:after="160" w:line="278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8846D8">
              <w:rPr>
                <w:b/>
                <w:lang w:val="en-US"/>
              </w:rPr>
              <w:t>10,247,387</w:t>
            </w:r>
          </w:p>
        </w:tc>
      </w:tr>
      <w:tr w:rsidR="008846D8" w:rsidRPr="008846D8" w14:paraId="53707BE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24" w:type="dxa"/>
            <w:hideMark/>
          </w:tcPr>
          <w:p w14:paraId="36ED530A" w14:textId="77777777" w:rsidR="008846D8" w:rsidRPr="008846D8" w:rsidRDefault="008846D8" w:rsidP="008846D8">
            <w:pPr>
              <w:spacing w:after="160" w:line="278" w:lineRule="auto"/>
              <w:rPr>
                <w:lang w:val="en-US"/>
              </w:rPr>
            </w:pPr>
            <w:r w:rsidRPr="008846D8">
              <w:rPr>
                <w:lang w:val="en-US"/>
              </w:rPr>
              <w:t>Case-crossover — INMET event windows (27 unit-months)</w:t>
            </w:r>
          </w:p>
        </w:tc>
        <w:tc>
          <w:tcPr>
            <w:tcW w:w="2448" w:type="dxa"/>
            <w:hideMark/>
          </w:tcPr>
          <w:p w14:paraId="49977BAD" w14:textId="77777777" w:rsidR="008846D8" w:rsidRPr="008846D8" w:rsidRDefault="008846D8" w:rsidP="008846D8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8846D8">
              <w:rPr>
                <w:b/>
                <w:lang w:val="en-US"/>
              </w:rPr>
              <w:t>110,013</w:t>
            </w:r>
          </w:p>
        </w:tc>
      </w:tr>
    </w:tbl>
    <w:p w14:paraId="1D4E47E1" w14:textId="77777777" w:rsidR="008846D8" w:rsidRPr="008846D8" w:rsidRDefault="008846D8" w:rsidP="008846D8">
      <w:pPr>
        <w:rPr>
          <w:lang w:val="en-US"/>
        </w:rPr>
      </w:pPr>
      <w:r w:rsidRPr="008846D8">
        <w:rPr>
          <w:lang w:val="en-US"/>
        </w:rPr>
        <w:t>In the case-crossover analysis, only strata of federative unit (or municipality) × year × month × day of the week with at least one exposed day, one unexposed day and one death contribute, in months with at least 20 days of valid temperature; hence the total in the strata is smaller than the base. The case-crossover base is an unbalanced panel: Paraíba, Pernambuco and Sergipe enter only in 2024, and 2025 (preliminary) only for AL, MG, MS, PI, RJ and RS.</w:t>
      </w:r>
    </w:p>
    <w:p w14:paraId="1AC85646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6D8"/>
    <w:rsid w:val="00767E38"/>
    <w:rsid w:val="00866F7D"/>
    <w:rsid w:val="008846D8"/>
    <w:rsid w:val="009F2ED0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565FC"/>
  <w15:chartTrackingRefBased/>
  <w15:docId w15:val="{5E82EFA0-57B6-4CFA-90C8-CEBF56393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46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46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46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6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6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6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6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6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6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46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46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46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46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6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6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6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6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6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46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46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6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6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46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46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46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46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6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6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46D8"/>
    <w:rPr>
      <w:b/>
      <w:bCs/>
      <w:smallCaps/>
      <w:color w:val="0F4761" w:themeColor="accent1" w:themeShade="BF"/>
      <w:spacing w:val="5"/>
    </w:rPr>
  </w:style>
  <w:style w:type="table" w:styleId="LightGrid-Accent1">
    <w:name w:val="Light Grid Accent 1"/>
    <w:basedOn w:val="TableNormal"/>
    <w:uiPriority w:val="62"/>
    <w:semiHidden/>
    <w:unhideWhenUsed/>
    <w:rsid w:val="008846D8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2026-10-20T13:06:00Z</dcterms:created>
  <dcterms:modified xsi:type="dcterms:W3CDTF">2026-10-20T13:06:00Z</dcterms:modified>
</cp:coreProperties>
</file>