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3130E7">
      <w:pPr>
        <w:spacing w:before="0" w:after="40" w:line="240" w:lineRule="auto"/>
        <w:jc w:val="left"/>
      </w:pPr>
      <w:r>
        <w:rPr>
          <w:rFonts w:ascii="Times New Roman" w:hAnsi="Times New Roman" w:eastAsia="Times New Roman"/>
          <w:b w:val="0"/>
          <w:i w:val="0"/>
          <w:sz w:val="19"/>
        </w:rPr>
        <w:t>Table 1. Characteristics of the 28 included reports and their validation designs.</w:t>
      </w:r>
      <w:bookmarkStart w:id="0" w:name="_GoBack"/>
      <w:bookmarkEnd w:id="0"/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8"/>
        <w:gridCol w:w="1758"/>
        <w:gridCol w:w="1758"/>
        <w:gridCol w:w="1758"/>
        <w:gridCol w:w="1758"/>
        <w:gridCol w:w="1758"/>
        <w:gridCol w:w="1758"/>
        <w:gridCol w:w="1758"/>
        <w:gridCol w:w="1758"/>
      </w:tblGrid>
      <w:tr w14:paraId="3F8D7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78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DA210F8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2"/>
              </w:rPr>
              <w:t>Study</w:t>
            </w:r>
          </w:p>
        </w:tc>
        <w:tc>
          <w:tcPr>
            <w:tcW w:w="53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3DC3ED7E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2"/>
              </w:rPr>
              <w:t>Joint</w:t>
            </w:r>
          </w:p>
        </w:tc>
        <w:tc>
          <w:tcPr>
            <w:tcW w:w="178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D050819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2"/>
              </w:rPr>
              <w:t>Development / internal data</w:t>
            </w:r>
          </w:p>
        </w:tc>
        <w:tc>
          <w:tcPr>
            <w:tcW w:w="189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8298DE8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2"/>
              </w:rPr>
              <w:t>External / validation data</w:t>
            </w:r>
          </w:p>
        </w:tc>
        <w:tc>
          <w:tcPr>
            <w:tcW w:w="201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7677C440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2"/>
              </w:rPr>
              <w:t>Target outcome</w:t>
            </w:r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4D8CF6AF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2"/>
              </w:rPr>
              <w:t>Prediction horizon</w:t>
            </w:r>
          </w:p>
        </w:tc>
        <w:tc>
          <w:tcPr>
            <w:tcW w:w="172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1D569057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2"/>
              </w:rPr>
              <w:t>Predictor modality</w:t>
            </w:r>
          </w:p>
        </w:tc>
        <w:tc>
          <w:tcPr>
            <w:tcW w:w="201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62DF5D19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2"/>
              </w:rPr>
              <w:t>Model / algorithm</w:t>
            </w:r>
          </w:p>
        </w:tc>
        <w:tc>
          <w:tcPr>
            <w:tcW w:w="189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center"/>
          </w:tcPr>
          <w:p w14:paraId="543544F8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2"/>
              </w:rPr>
              <w:t>Validation category</w:t>
            </w:r>
          </w:p>
        </w:tc>
      </w:tr>
      <w:tr w14:paraId="2B57E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2B2C0D4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Han et al., 2022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4C276B5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72ED10D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325C817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MOST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D3AD7AE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Radiographic/KL structural progression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A46AA2F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9D2ADB3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Radiograph + clinical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AFBF396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AI/ML prediction model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6897D4D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L1 independent external</w:t>
            </w:r>
          </w:p>
        </w:tc>
      </w:tr>
      <w:tr w14:paraId="42C39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4513A2C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Almhdie-Imjabbar et al., 2022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3D06962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FD88184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 and MOST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7434CE0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 ↔ MOST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3567864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mJSN structural progression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C0A10A8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5EA7A45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Radiographic bone texture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AAD8373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ML / Siamese-network-derived radiologic descriptors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216EAB3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L1 independent external</w:t>
            </w:r>
          </w:p>
        </w:tc>
      </w:tr>
      <w:tr w14:paraId="1CAAF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448ABEE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Salis et al., 2024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161CA14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989CFC5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9F2C808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MOST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D380BB5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End-stage symptomatic + radiographic OA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9CEF8A0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~2 to 2.5 y; ~4 to 5 y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CA4ACF6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Clinical + radiographic predictors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E920AA0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ML models (full and reduced predictor sets)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EEC2528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L1 independent external</w:t>
            </w:r>
          </w:p>
        </w:tc>
      </w:tr>
      <w:tr w14:paraId="2BF44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C3D1314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Wang et al., 2025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7DA4C2B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7F0E1EB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 test set (n=578)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FB9DB3C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Independent Taiwan hospital (n=274)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31B0E47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KL progression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96E89B2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48 months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84C58EC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Radiograph + clinical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CB7F1AF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Deep learning / multimodal prediction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77EC43F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L1 independent external</w:t>
            </w:r>
          </w:p>
        </w:tc>
      </w:tr>
      <w:tr w14:paraId="6F8C1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978E001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Nair et al., 2024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945096A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E77BAF5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DFE64A4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MOST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DB7F68F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Clinically important WOMAC change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0B8D079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2 years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03DAA09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Clinical; clinical + imaging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A9C0D1F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Gradient boosting machine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82EAB06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L1 independent external</w:t>
            </w:r>
          </w:p>
        </w:tc>
      </w:tr>
      <w:tr w14:paraId="7A264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4860CCF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Dunn et al., 2023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056AC26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B852BC6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OABC/FNIH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3E8DF5A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JoCoOA and OAI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67484FE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Radiographic structural progression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3A03924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417DE0F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Epigenetic biomarkers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4F15C67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Machine-learning biomarker model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5700B3D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L1 independent external</w:t>
            </w:r>
          </w:p>
        </w:tc>
      </w:tr>
      <w:tr w14:paraId="228EC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93DD73F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van den Berg et al., 2026 (morphology)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8A077EF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Hip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28D7E7A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World COACH pooled cohorts (35,984 hips)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31F2328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Leave-one-cohort-out across 9 cohorts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90B678F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Incident radiographic hip OA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2C363F2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4–8 years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5EA694A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Radiographic morphology + demographics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8CA0D78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GLMM and random forest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AA631D9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L2 internal-external / LOCO</w:t>
            </w:r>
          </w:p>
        </w:tc>
      </w:tr>
      <w:tr w14:paraId="2C076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FC11D06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van den Berg et al., 2026 (deep learning)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40E7958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Hip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54E1183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World COACH pooled cohorts (25,090 hips)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E3D2E7F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Leave-one-cohort-out across 7 cohorts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DAC337D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Incident radiographic hip OA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D748CD6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4–8 years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279A05E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DL radiographic features + demographics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7189963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Deep-learning feature models / hybrid models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A9EC01F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L2 internal-external / LOCO</w:t>
            </w:r>
          </w:p>
        </w:tc>
      </w:tr>
      <w:tr w14:paraId="5DCD8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0CBE814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Blanco et al., 2026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38A7C8F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55F7576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0A7FE9E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PROCOAC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EE2664D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Pain / clinical progression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9FA139D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E814C11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Clinical + imaging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F42569B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Machine learning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BB107CC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L1 independent external</w:t>
            </w:r>
          </w:p>
        </w:tc>
      </w:tr>
      <w:tr w14:paraId="49FCD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88E1484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Rajamohan et al., 2024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F79D5ED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0A12FEC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A065897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MOST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714C282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Incident and progressive OA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5DD2642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988445D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Imaging + clinical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3F9592F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Machine learning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7CB4220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External / contextual</w:t>
            </w:r>
          </w:p>
        </w:tc>
      </w:tr>
      <w:tr w14:paraId="7F39F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A80328E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Rajamohan et al., 2026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F0F7A82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E879E6A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E7B7C43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MOST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475F5CF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Incident and progressive OA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8CE30FA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498039B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Imaging + clinical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F3E1CB5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Sequential / continual-learning framework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6C67DC9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External / contextual</w:t>
            </w:r>
          </w:p>
        </w:tc>
      </w:tr>
      <w:tr w14:paraId="294BC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3BE34F9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Rajamohan et al., 2023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F006C69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7F82A04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6F27F00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MOST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B251772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Future total knee replacement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78F2158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AA6E282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MRI / radiographic imaging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EE70DB7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Deep learning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88D8AC6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L1 external; surgical endpoint</w:t>
            </w:r>
          </w:p>
        </w:tc>
      </w:tr>
      <w:tr w14:paraId="03EAF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DF762FB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Rajamohan et al., 2025 (RiskFORM)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013E529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40790B3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BC97638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MOST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62C0ECB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Future total knee replacement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EF205D3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1, 2, and 4 years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29BEE12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Radiograph + risk factors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A64B9F4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RiskFORM prediction model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94B1DC3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L1 external; surgical endpoint</w:t>
            </w:r>
          </w:p>
        </w:tc>
      </w:tr>
      <w:tr w14:paraId="78760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7A987C4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Cigdem et al., 2024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75A1B4C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C79F403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D1BA730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MOST and independent hospital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3EE2068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Time to total knee replacement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1E77C30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6928AC7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X-ray / MRI features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D41CCC5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Survival / machine-learning models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95EA9BC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L1 external; surgical endpoint</w:t>
            </w:r>
          </w:p>
        </w:tc>
      </w:tr>
      <w:tr w14:paraId="5A173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19C6E0B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Cigdem et al., 2025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83DF555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CD9F2BE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02E0CCB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MOST and/or independent hospital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A3C2644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Time to total knee replacement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B101F5B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82D2625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Imaging + clinical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5BE2898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Machine-learning survival model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75BAC41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L1 external; surgical endpoint</w:t>
            </w:r>
          </w:p>
        </w:tc>
      </w:tr>
      <w:tr w14:paraId="2BD61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25074AE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Zhang et al., 2025 (MR-Transformer)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CE00D5D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E99A092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09F9BD7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MOST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0011A5C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Future total knee replacement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6EAFD94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540816B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MRI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D2156E2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Transformer-based model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E4204CD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L1 external; surgical endpoint</w:t>
            </w:r>
          </w:p>
        </w:tc>
      </w:tr>
      <w:tr w14:paraId="51AB3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3A84D90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McCabe et al., 2022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96303AE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7345EB8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817811A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MOST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4DB31D0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Future OA occurrence / progression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2B42E3E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B5CF430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Clinical / radiographic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D90713B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Cox prediction model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53587F1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Independent external comparator</w:t>
            </w:r>
          </w:p>
        </w:tc>
      </w:tr>
      <w:tr w14:paraId="590A9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63146C3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Paz-González et al., 2024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E1A84F7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5F08B96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71E6762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PROCOAC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9D2A303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Incident radiographic KOA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2F21E8A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96 months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4F232F5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Clinical / radiographic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74B0A38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Stepwise multivariable logistic regression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DDB40F8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Independent external comparator</w:t>
            </w:r>
          </w:p>
        </w:tc>
      </w:tr>
      <w:tr w14:paraId="39F71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226BD04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Tiulpin et al., 2019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3D3AE10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5D96662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DE2EE76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MOST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7D421C2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 progression / TKR composite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873C194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490708B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Radiograph + clinical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BBB10FA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Deep learning + clinical prediction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3A4790A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External / contextual</w:t>
            </w:r>
          </w:p>
        </w:tc>
      </w:tr>
      <w:tr w14:paraId="3F83F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BB5915A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Lee et al., 2025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D01EA50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231096A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7AF900D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MOST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7B1793A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 progression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806C7D3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3E4A593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97F1FD5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AI/ML prediction model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254774F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External / contextual</w:t>
            </w:r>
          </w:p>
        </w:tc>
      </w:tr>
      <w:tr w14:paraId="4D91D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D3D938A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Castagno et al., 2025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CB34B25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4CD5E47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FNIH/OAI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36A485D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POMA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58FD188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Rapid radiographic and/or pain progression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D0C4767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085208D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Imaging + clinical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BE74726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Machine learning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989B0D6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L3 quasi-external</w:t>
            </w:r>
          </w:p>
        </w:tc>
      </w:tr>
      <w:tr w14:paraId="05E2D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15D2E1F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Yin et al., 2024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B6A2272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030A937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C355682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 center/subset holdout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2AD6813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Incident radiographic OA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7328876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1895B69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Imaging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F286112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Deep learning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4A55D8E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L3 quasi-external</w:t>
            </w:r>
          </w:p>
        </w:tc>
      </w:tr>
      <w:tr w14:paraId="78574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48D2990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Panfilov et al., 2022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36F43A7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3192792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0C20DC9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 held-out data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1D03AD9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 progression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55CA21B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1BBBCFE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Imaging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BADB7EB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Deep learning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1106D98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L3 quasi-external</w:t>
            </w:r>
          </w:p>
        </w:tc>
      </w:tr>
      <w:tr w14:paraId="7EE83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C39B866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Attur et al., 2020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1E5039F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4DBC050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NYU / OAI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3357881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Replication cohort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73D158E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 progression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E13C220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C6C6A44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Biomarkers + clinical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EA0D206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Machine learning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1552C0A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External / contextual</w:t>
            </w:r>
          </w:p>
        </w:tc>
      </w:tr>
      <w:tr w14:paraId="15EEC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F95323E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IMI-APPROACH validation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7E2F725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5EFD07C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European source cohorts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04E6F51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IMI-APPROACH prospective cohort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D3713F7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Pain and structural progression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96AD54C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02D800F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Multimodal clinical / imaging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E3EEB33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Machine learning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D190916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External / contextual</w:t>
            </w:r>
          </w:p>
        </w:tc>
      </w:tr>
      <w:tr w14:paraId="6408B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EC635D1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Herrera et al., 2026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353CBA2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Knee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135DA8DD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OAI / MOST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E0DAF0D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Target cohort after adaptation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83281BD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Structural progression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12D480D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NA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B25FCBE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Imaging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C9DB106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Transfer-learning model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9A4A1A5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Adapted external validation</w:t>
            </w:r>
          </w:p>
        </w:tc>
      </w:tr>
      <w:tr w14:paraId="729A1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86768E1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Hidaka et al., 2024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3EC5054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Hip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4352104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Single-center hip OA cohort (361 patients; 1,697 radiographs)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405B900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Five-fold cross-validation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121E1BA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Progression from KL 0–2 to KL ≥3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0F20239F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3, 4, and 5 years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03053B8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Radiograph + demographics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A4C80A1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EfficientNet-B4 features + gradient boosting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F6E9D0B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Internal validation only</w:t>
            </w:r>
          </w:p>
        </w:tc>
      </w:tr>
      <w:tr w14:paraId="5EAB6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7C3B13D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Xu et al., 2025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6E19FEF8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Hip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4AE9255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Two Chinese hospitals (20,745 radiographs)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E20D83B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Third hospital (1,928 radiographs) + OAI (1,249 hips)</w:t>
            </w:r>
          </w:p>
        </w:tc>
        <w:tc>
          <w:tcPr>
            <w:tcW w:w="201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59498D5E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Current KL severity grading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3AA8CCDE">
            <w:pPr>
              <w:widowControl w:val="0"/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Cross-sectional</w:t>
            </w:r>
          </w:p>
        </w:tc>
        <w:tc>
          <w:tcPr>
            <w:tcW w:w="172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2D9D3F81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Radiograph</w:t>
            </w:r>
          </w:p>
        </w:tc>
        <w:tc>
          <w:tcPr>
            <w:tcW w:w="201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4910D86D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CBAM-enhanced ResNet-50</w:t>
            </w:r>
          </w:p>
        </w:tc>
        <w:tc>
          <w:tcPr>
            <w:tcW w:w="189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tcMar>
              <w:top w:w="25" w:type="dxa"/>
              <w:left w:w="35" w:type="dxa"/>
              <w:bottom w:w="25" w:type="dxa"/>
              <w:right w:w="35" w:type="dxa"/>
            </w:tcMar>
            <w:vAlign w:val="top"/>
          </w:tcPr>
          <w:p w14:paraId="74FDE65B">
            <w:pPr>
              <w:widowControl w:val="0"/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2"/>
              </w:rPr>
              <w:t>External; cross-sectional context</w:t>
            </w:r>
          </w:p>
        </w:tc>
      </w:tr>
    </w:tbl>
    <w:p w14:paraId="20F124E3">
      <w:pPr>
        <w:widowControl w:val="0"/>
        <w:spacing w:before="20" w:after="0" w:line="216" w:lineRule="auto"/>
      </w:pPr>
      <w:r>
        <w:rPr>
          <w:rFonts w:ascii="Times New Roman" w:hAnsi="Times New Roman" w:eastAsia="Times New Roman"/>
          <w:sz w:val="12"/>
        </w:rPr>
        <w:t>Abbreviations: AI, artificial intelligence; DL, deep learning; GLMM, generalized linear mixed model; KL, Kellgren–Lawrence; KOA, knee osteoarthritis; LOCO, leave-one-cohort-out; ML, machine learning; MOST, Multicenter Osteoarthritis Study; OAI, Osteoarthritis Initiative; OA, osteoarthritis; PROCOAC, Prospective Cohort of Osteoarthritis from A Coruña; TKR, total knee replacement; WOMAC, Western Ontario and McMaster Universities Osteoarthritis Index. L1, independent external validation in a distinct cohort or clinical setting; L2, internal-external validation including LOCO designs; L3, quasi-external validation within the same overarching data resource. NA, not reported or not applicable.</w:t>
      </w:r>
    </w:p>
    <w:sectPr>
      <w:pgSz w:w="16838" w:h="11909" w:orient="landscape"/>
      <w:pgMar w:top="648" w:right="504" w:bottom="648" w:left="50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4EB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802</Words>
  <Characters>4836</Characters>
  <Lines>0</Lines>
  <Paragraphs>0</Paragraphs>
  <TotalTime>0</TotalTime>
  <ScaleCrop>false</ScaleCrop>
  <LinksUpToDate>false</LinksUpToDate>
  <CharactersWithSpaces>5375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乾程似锦</dc:creator>
  <cp:lastModifiedBy>乾程似锦</cp:lastModifiedBy>
  <dcterms:modified xsi:type="dcterms:W3CDTF">2026-10-01T16:11:12Z</dcterms:modified>
  <dc:title>Table 1. Characteristics of the 28 included reports and their validation designs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eyJoZGlkIjoiYjRhMTIyNThlMTM5MWMyZGM1ZDExMjM0N2YxMzhiMWQiLCJ1c2VySWQiOiI3Nzc3Mjk0NTcifQ==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4105B66AEF4544B98879D4BE98D8B470_12</vt:lpwstr>
  </property>
</Properties>
</file>