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7EB0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3082925"/>
            <wp:effectExtent l="0" t="0" r="4445" b="3175"/>
            <wp:docPr id="1" name="图片 1" descr="Extended Data Fig. 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xtended Data Fig. 1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5EEAB"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>Extended Data Fig. 1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highlight w:val="none"/>
        </w:rPr>
        <w:t>|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Telomerase activity in P5 and SD300 cells assessed using the telomeric repeat amplification protocol assay.  </w:t>
      </w:r>
    </w:p>
    <w:p w14:paraId="39DAFE00">
      <w:pPr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sz w:val="24"/>
          <w:highlight w:val="none"/>
        </w:rPr>
        <w:t>Note: P, passage; SD, suspension day.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Data are mean ± S</w:t>
      </w:r>
      <w:r>
        <w:rPr>
          <w:rFonts w:hint="eastAsia" w:ascii="Times New Roman" w:hAnsi="Times New Roman" w:cs="Times New Roman"/>
          <w:sz w:val="24"/>
          <w:highlight w:val="none"/>
        </w:rPr>
        <w:t>D</w:t>
      </w:r>
      <w:r>
        <w:rPr>
          <w:rFonts w:ascii="Times New Roman" w:hAnsi="Times New Roman" w:cs="Times New Roman"/>
          <w:sz w:val="24"/>
          <w:highlight w:val="none"/>
        </w:rPr>
        <w:t>; n = 3.</w:t>
      </w:r>
    </w:p>
    <w:p w14:paraId="4132A38E">
      <w:pPr>
        <w:rPr>
          <w:rFonts w:ascii="Times New Roman" w:hAnsi="Times New Roman" w:cs="Times New Roman"/>
          <w:sz w:val="24"/>
        </w:rPr>
      </w:pPr>
    </w:p>
    <w:p w14:paraId="31DA30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1851937">
      <w:pPr>
        <w:rPr>
          <w:rFonts w:ascii="Times New Roman" w:hAnsi="Times New Roman" w:cs="Times New Roman"/>
          <w:sz w:val="24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4151630"/>
            <wp:effectExtent l="0" t="0" r="3175" b="1270"/>
            <wp:docPr id="2" name="图片 2" descr="Extended Data Fig. 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xtended Data Fig. 2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15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F4E58"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>Extended Data Fig. 2 | Characterization and distribution of cell states during long-term culture and suspension adaptation.</w:t>
      </w:r>
    </w:p>
    <w:p w14:paraId="6E962C6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highlight w:val="none"/>
        </w:rPr>
        <w:t xml:space="preserve">a, </w:t>
      </w:r>
      <w:r>
        <w:rPr>
          <w:rFonts w:hint="eastAsia" w:ascii="Times New Roman" w:hAnsi="Times New Roman" w:cs="Times New Roman"/>
          <w:sz w:val="24"/>
          <w:highlight w:val="none"/>
        </w:rPr>
        <w:t>Representative enriched Gene Ontology terms of top 150 maker g</w:t>
      </w:r>
      <w:r>
        <w:rPr>
          <w:rFonts w:ascii="Times New Roman" w:hAnsi="Times New Roman" w:cs="Times New Roman"/>
          <w:sz w:val="24"/>
          <w:highlight w:val="none"/>
        </w:rPr>
        <w:t xml:space="preserve">enes </w:t>
      </w:r>
      <w:r>
        <w:rPr>
          <w:rFonts w:hint="eastAsia" w:ascii="Times New Roman" w:hAnsi="Times New Roman" w:cs="Times New Roman"/>
          <w:sz w:val="24"/>
          <w:highlight w:val="none"/>
        </w:rPr>
        <w:t>for</w:t>
      </w:r>
      <w:r>
        <w:rPr>
          <w:rFonts w:ascii="Times New Roman" w:hAnsi="Times New Roman" w:cs="Times New Roman"/>
          <w:sz w:val="24"/>
          <w:highlight w:val="none"/>
        </w:rPr>
        <w:t xml:space="preserve"> four transcriptional states identified by scRNA-seq: myogenic (Myo), mesenchymal stromal-like (Mes), extracellular matrix-remodelling (ECM-R) and adipogenic-like (Adip). b, Fractions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cell states </w:t>
      </w:r>
      <w:r>
        <w:rPr>
          <w:rFonts w:ascii="Times New Roman" w:hAnsi="Times New Roman" w:cs="Times New Roman"/>
          <w:sz w:val="24"/>
          <w:highlight w:val="none"/>
        </w:rPr>
        <w:t>across the indicated culture stages</w:t>
      </w:r>
      <w:r>
        <w:rPr>
          <w:rFonts w:ascii="Times New Roman" w:hAnsi="Times New Roman" w:cs="Times New Roman"/>
          <w:sz w:val="24"/>
        </w:rPr>
        <w:t xml:space="preserve">. </w:t>
      </w:r>
    </w:p>
    <w:p w14:paraId="03D694FA">
      <w:pPr>
        <w:rPr>
          <w:rFonts w:hint="eastAsia" w:eastAsiaTheme="minorEastAsia"/>
          <w:lang w:eastAsia="zh-CN"/>
        </w:rPr>
      </w:pPr>
    </w:p>
    <w:p w14:paraId="6FE3214F">
      <w:pPr>
        <w:rPr>
          <w:rFonts w:hint="eastAsia" w:eastAsiaTheme="minorEastAsia"/>
          <w:lang w:eastAsia="zh-CN"/>
        </w:rPr>
      </w:pPr>
    </w:p>
    <w:p w14:paraId="4401517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2502F76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2767330"/>
            <wp:effectExtent l="0" t="0" r="3175" b="13970"/>
            <wp:docPr id="3" name="图片 3" descr="Extended Data Fig. 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xtended Data Fig. 3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15A4F"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Extended Data Fig. 3 | Single-cell trajectory analysis during 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adherent </w:t>
      </w:r>
      <w:r>
        <w:rPr>
          <w:rFonts w:ascii="Times New Roman" w:hAnsi="Times New Roman" w:cs="Times New Roman"/>
          <w:b/>
          <w:bCs/>
          <w:sz w:val="24"/>
          <w:highlight w:val="none"/>
        </w:rPr>
        <w:t>culture and early suspension adaptation.</w:t>
      </w:r>
    </w:p>
    <w:p w14:paraId="7DAEA5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highlight w:val="none"/>
        </w:rPr>
        <w:t xml:space="preserve">Pseudotime ordering of cells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during adherent culture (a; P5, P7, and P9) and early suspension adaption (b; SD7, SD17, and SD38) </w:t>
      </w:r>
      <w:r>
        <w:rPr>
          <w:rFonts w:ascii="Times New Roman" w:hAnsi="Times New Roman" w:cs="Times New Roman"/>
          <w:sz w:val="24"/>
          <w:highlight w:val="none"/>
        </w:rPr>
        <w:t xml:space="preserve">along the inferred trajectory </w:t>
      </w:r>
      <w:r>
        <w:rPr>
          <w:rFonts w:hint="eastAsia" w:ascii="Times New Roman" w:hAnsi="Times New Roman" w:cs="Times New Roman"/>
          <w:sz w:val="24"/>
          <w:highlight w:val="none"/>
        </w:rPr>
        <w:t>constucted by Monocle 3</w:t>
      </w:r>
      <w:r>
        <w:rPr>
          <w:rFonts w:ascii="Times New Roman" w:hAnsi="Times New Roman" w:cs="Times New Roman"/>
          <w:sz w:val="24"/>
          <w:highlight w:val="none"/>
        </w:rPr>
        <w:t>.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Myo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, </w:t>
      </w:r>
      <w:r>
        <w:rPr>
          <w:rFonts w:ascii="Times New Roman" w:hAnsi="Times New Roman" w:cs="Times New Roman"/>
          <w:sz w:val="24"/>
          <w:highlight w:val="none"/>
        </w:rPr>
        <w:t>myogenic</w:t>
      </w:r>
      <w:r>
        <w:rPr>
          <w:rFonts w:hint="eastAsia" w:ascii="Times New Roman" w:hAnsi="Times New Roman" w:cs="Times New Roman"/>
          <w:sz w:val="24"/>
          <w:highlight w:val="none"/>
        </w:rPr>
        <w:t>;</w:t>
      </w:r>
      <w:r>
        <w:rPr>
          <w:rFonts w:ascii="Times New Roman" w:hAnsi="Times New Roman" w:cs="Times New Roman"/>
          <w:sz w:val="24"/>
          <w:highlight w:val="none"/>
        </w:rPr>
        <w:t xml:space="preserve"> Mes,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mesenchymal stromal-like</w:t>
      </w:r>
      <w:r>
        <w:rPr>
          <w:rFonts w:hint="eastAsia" w:ascii="Times New Roman" w:hAnsi="Times New Roman" w:cs="Times New Roman"/>
          <w:sz w:val="24"/>
          <w:highlight w:val="none"/>
        </w:rPr>
        <w:t>;</w:t>
      </w:r>
      <w:r>
        <w:rPr>
          <w:rFonts w:ascii="Times New Roman" w:hAnsi="Times New Roman" w:cs="Times New Roman"/>
          <w:sz w:val="24"/>
          <w:highlight w:val="none"/>
        </w:rPr>
        <w:t xml:space="preserve"> ECM-R</w:t>
      </w:r>
      <w:r>
        <w:rPr>
          <w:rFonts w:hint="eastAsia" w:ascii="Times New Roman" w:hAnsi="Times New Roman" w:cs="Times New Roman"/>
          <w:sz w:val="24"/>
          <w:highlight w:val="none"/>
        </w:rPr>
        <w:t>,</w:t>
      </w:r>
      <w:r>
        <w:rPr>
          <w:rFonts w:ascii="Times New Roman" w:hAnsi="Times New Roman" w:cs="Times New Roman"/>
          <w:sz w:val="24"/>
          <w:highlight w:val="none"/>
        </w:rPr>
        <w:t xml:space="preserve"> extracellular matrix-remodelling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; </w:t>
      </w:r>
      <w:r>
        <w:rPr>
          <w:rFonts w:ascii="Times New Roman" w:hAnsi="Times New Roman" w:cs="Times New Roman"/>
          <w:sz w:val="24"/>
          <w:highlight w:val="none"/>
        </w:rPr>
        <w:t>Adip</w:t>
      </w:r>
      <w:r>
        <w:rPr>
          <w:rFonts w:hint="eastAsia" w:ascii="Times New Roman" w:hAnsi="Times New Roman" w:cs="Times New Roman"/>
          <w:sz w:val="24"/>
          <w:highlight w:val="none"/>
        </w:rPr>
        <w:t>,</w:t>
      </w:r>
      <w:r>
        <w:rPr>
          <w:rFonts w:ascii="Times New Roman" w:hAnsi="Times New Roman" w:cs="Times New Roman"/>
          <w:sz w:val="24"/>
          <w:highlight w:val="none"/>
        </w:rPr>
        <w:t xml:space="preserve"> adipogenic-like</w:t>
      </w:r>
      <w:r>
        <w:rPr>
          <w:rFonts w:ascii="Times New Roman" w:hAnsi="Times New Roman" w:cs="Times New Roman"/>
          <w:sz w:val="24"/>
        </w:rPr>
        <w:t>.</w:t>
      </w:r>
    </w:p>
    <w:p w14:paraId="4C14533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7BE67E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473315"/>
            <wp:effectExtent l="0" t="0" r="3175" b="13335"/>
            <wp:docPr id="4" name="图片 4" descr="Extended Data Fig. 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xtended Data Fig. 4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7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E77EF"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>Extended Data Fig. 4 | Functional analysis of gene modules associated with the divergent trajectories in Fig. 2f.</w:t>
      </w:r>
    </w:p>
    <w:p w14:paraId="4F514BF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highlight w:val="none"/>
        </w:rPr>
        <w:t>a,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 xml:space="preserve">Gene Ontology (GO) enrichment analysis of Module 4 genes associated with the </w:t>
      </w:r>
      <w:r>
        <w:rPr>
          <w:rFonts w:hint="eastAsia" w:ascii="Times New Roman" w:hAnsi="Times New Roman" w:cs="Times New Roman"/>
          <w:sz w:val="24"/>
          <w:highlight w:val="none"/>
        </w:rPr>
        <w:t>path 1</w:t>
      </w:r>
      <w:r>
        <w:rPr>
          <w:rFonts w:ascii="Times New Roman" w:hAnsi="Times New Roman" w:cs="Times New Roman"/>
          <w:sz w:val="24"/>
          <w:highlight w:val="none"/>
        </w:rPr>
        <w:t xml:space="preserve">. b, Protein–protein interaction (PPI) network of Module 2 genes associated with </w:t>
      </w:r>
      <w:r>
        <w:rPr>
          <w:rFonts w:hint="eastAsia" w:ascii="Times New Roman" w:hAnsi="Times New Roman" w:cs="Times New Roman"/>
          <w:sz w:val="24"/>
          <w:highlight w:val="none"/>
        </w:rPr>
        <w:t>path 2</w:t>
      </w:r>
      <w:r>
        <w:rPr>
          <w:rFonts w:ascii="Times New Roman" w:hAnsi="Times New Roman" w:cs="Times New Roman"/>
          <w:sz w:val="24"/>
          <w:highlight w:val="none"/>
        </w:rPr>
        <w:t>. c,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GO enrichment analysis of Module 1 genes associated with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path 2</w:t>
      </w:r>
      <w:r>
        <w:rPr>
          <w:rFonts w:ascii="Times New Roman" w:hAnsi="Times New Roman" w:cs="Times New Roman"/>
          <w:sz w:val="24"/>
        </w:rPr>
        <w:t xml:space="preserve">. </w:t>
      </w:r>
    </w:p>
    <w:p w14:paraId="4FC6BBE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56CAEE1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617460"/>
            <wp:effectExtent l="0" t="0" r="3175" b="2540"/>
            <wp:docPr id="5" name="图片 5" descr="Extended Data Fig. 5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xtended Data Fig. 5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61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0F537"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>Extended Data Fig. 5 | Cell-cycle and transcriptional changes during long-term suspension culture.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 xml:space="preserve"> </w:t>
      </w:r>
    </w:p>
    <w:p w14:paraId="1D57A15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highlight w:val="none"/>
        </w:rPr>
        <w:t>a,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Cell-cycle phase distribution across the four transcriptional states. Myo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, </w:t>
      </w:r>
      <w:r>
        <w:rPr>
          <w:rFonts w:ascii="Times New Roman" w:hAnsi="Times New Roman" w:cs="Times New Roman"/>
          <w:sz w:val="24"/>
          <w:highlight w:val="none"/>
        </w:rPr>
        <w:t>myogenic</w:t>
      </w:r>
      <w:r>
        <w:rPr>
          <w:rFonts w:hint="eastAsia" w:ascii="Times New Roman" w:hAnsi="Times New Roman" w:cs="Times New Roman"/>
          <w:sz w:val="24"/>
          <w:highlight w:val="none"/>
        </w:rPr>
        <w:t>;</w:t>
      </w:r>
      <w:r>
        <w:rPr>
          <w:rFonts w:ascii="Times New Roman" w:hAnsi="Times New Roman" w:cs="Times New Roman"/>
          <w:sz w:val="24"/>
          <w:highlight w:val="none"/>
        </w:rPr>
        <w:t xml:space="preserve"> Mes,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mesenchymal stromal-like</w:t>
      </w:r>
      <w:r>
        <w:rPr>
          <w:rFonts w:hint="eastAsia" w:ascii="Times New Roman" w:hAnsi="Times New Roman" w:cs="Times New Roman"/>
          <w:sz w:val="24"/>
          <w:highlight w:val="none"/>
        </w:rPr>
        <w:t>;</w:t>
      </w:r>
      <w:r>
        <w:rPr>
          <w:rFonts w:ascii="Times New Roman" w:hAnsi="Times New Roman" w:cs="Times New Roman"/>
          <w:sz w:val="24"/>
          <w:highlight w:val="none"/>
        </w:rPr>
        <w:t xml:space="preserve"> ECM-R</w:t>
      </w:r>
      <w:r>
        <w:rPr>
          <w:rFonts w:hint="eastAsia" w:ascii="Times New Roman" w:hAnsi="Times New Roman" w:cs="Times New Roman"/>
          <w:sz w:val="24"/>
          <w:highlight w:val="none"/>
        </w:rPr>
        <w:t>,</w:t>
      </w:r>
      <w:r>
        <w:rPr>
          <w:rFonts w:ascii="Times New Roman" w:hAnsi="Times New Roman" w:cs="Times New Roman"/>
          <w:sz w:val="24"/>
          <w:highlight w:val="none"/>
        </w:rPr>
        <w:t xml:space="preserve"> extracellular matrix-remodelling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; </w:t>
      </w:r>
      <w:r>
        <w:rPr>
          <w:rFonts w:ascii="Times New Roman" w:hAnsi="Times New Roman" w:cs="Times New Roman"/>
          <w:sz w:val="24"/>
          <w:highlight w:val="none"/>
        </w:rPr>
        <w:t>Adip</w:t>
      </w:r>
      <w:r>
        <w:rPr>
          <w:rFonts w:hint="eastAsia" w:ascii="Times New Roman" w:hAnsi="Times New Roman" w:cs="Times New Roman"/>
          <w:sz w:val="24"/>
          <w:highlight w:val="none"/>
        </w:rPr>
        <w:t>,</w:t>
      </w:r>
      <w:r>
        <w:rPr>
          <w:rFonts w:ascii="Times New Roman" w:hAnsi="Times New Roman" w:cs="Times New Roman"/>
          <w:sz w:val="24"/>
          <w:highlight w:val="none"/>
        </w:rPr>
        <w:t xml:space="preserve"> adipogenic-like.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b,c, Cell-cycle phase distribution across cell types (b) and culture stages from P5 to SD300 (c). d, Heatmap of the top 100 variable genes in cells from SD38, SD14</w:t>
      </w:r>
      <w:r>
        <w:rPr>
          <w:rFonts w:hint="eastAsia" w:ascii="Times New Roman" w:hAnsi="Times New Roman" w:cs="Times New Roman"/>
          <w:sz w:val="24"/>
          <w:highlight w:val="none"/>
        </w:rPr>
        <w:t>7</w:t>
      </w:r>
      <w:r>
        <w:rPr>
          <w:rFonts w:ascii="Times New Roman" w:hAnsi="Times New Roman" w:cs="Times New Roman"/>
          <w:sz w:val="24"/>
          <w:highlight w:val="none"/>
        </w:rPr>
        <w:t>, SD277</w:t>
      </w:r>
      <w:r>
        <w:rPr>
          <w:rFonts w:hint="eastAsia" w:ascii="Times New Roman" w:hAnsi="Times New Roman" w:cs="Times New Roman"/>
          <w:sz w:val="24"/>
          <w:highlight w:val="none"/>
        </w:rPr>
        <w:t>,</w:t>
      </w:r>
      <w:r>
        <w:rPr>
          <w:rFonts w:ascii="Times New Roman" w:hAnsi="Times New Roman" w:cs="Times New Roman"/>
          <w:sz w:val="24"/>
          <w:highlight w:val="none"/>
        </w:rPr>
        <w:t xml:space="preserve"> and SD300. e, Expression dynamics of the top 100 variable genes from SD38 to SD300. f–h, Protein–protein interaction (PPI) networks of genes assigned to Pattern 2 (f), Pattern 3 (g) and Pattern 4 (h)</w:t>
      </w:r>
      <w:r>
        <w:rPr>
          <w:rFonts w:ascii="Times New Roman" w:hAnsi="Times New Roman" w:cs="Times New Roman"/>
          <w:sz w:val="24"/>
        </w:rPr>
        <w:t>.</w:t>
      </w:r>
    </w:p>
    <w:p w14:paraId="676D08F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3675424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6920230"/>
            <wp:effectExtent l="0" t="0" r="3175" b="13970"/>
            <wp:docPr id="6" name="图片 6" descr="Extended Data Fig. 6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xtended Data Fig. 6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92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FEF5E"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Extended Data Fig. 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>6</w:t>
      </w:r>
      <w:r>
        <w:rPr>
          <w:rFonts w:ascii="Times New Roman" w:hAnsi="Times New Roman" w:cs="Times New Roman"/>
          <w:b/>
          <w:bCs/>
          <w:sz w:val="24"/>
          <w:highlight w:val="none"/>
        </w:rPr>
        <w:t xml:space="preserve"> | </w:t>
      </w:r>
      <w:r>
        <w:rPr>
          <w:rFonts w:hint="eastAsia" w:ascii="Times New Roman" w:hAnsi="Times New Roman" w:cs="Times New Roman"/>
          <w:b/>
          <w:bCs/>
          <w:sz w:val="24"/>
          <w:highlight w:val="none"/>
        </w:rPr>
        <w:t>Adipogenic and myogenic characteristics of SD300 cells.</w:t>
      </w:r>
    </w:p>
    <w:p w14:paraId="0C8C05F6">
      <w:pPr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highlight w:val="none"/>
        </w:rPr>
        <w:t xml:space="preserve">Violin plot of maker gene expression for satellite cells (SCs; a) and fibro/adipogenic progenitors (FAPs; b). c, Relative mRNA expression of adipogenic genes without adipogenic induction. d, </w:t>
      </w:r>
      <w:r>
        <w:rPr>
          <w:rFonts w:ascii="Times New Roman" w:hAnsi="Times New Roman" w:cs="Times New Roman"/>
          <w:sz w:val="24"/>
          <w:highlight w:val="none"/>
        </w:rPr>
        <w:t xml:space="preserve">Heatmap of gene-expression profiles across SD300 </w:t>
      </w:r>
      <w:r>
        <w:rPr>
          <w:rFonts w:hint="eastAsia" w:ascii="Times New Roman" w:hAnsi="Times New Roman" w:cs="Times New Roman"/>
          <w:sz w:val="24"/>
          <w:highlight w:val="none"/>
        </w:rPr>
        <w:t>cell</w:t>
      </w:r>
      <w:r>
        <w:rPr>
          <w:rFonts w:ascii="Times New Roman" w:hAnsi="Times New Roman" w:cs="Times New Roman"/>
          <w:sz w:val="24"/>
          <w:highlight w:val="none"/>
        </w:rPr>
        <w:t xml:space="preserve">s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and </w:t>
      </w:r>
      <w:r>
        <w:rPr>
          <w:rFonts w:ascii="Times New Roman" w:hAnsi="Times New Roman" w:cs="Times New Roman"/>
          <w:sz w:val="24"/>
          <w:highlight w:val="none"/>
        </w:rPr>
        <w:t>reference bulk RNA-seq datasets from porcine skeletal muscle, liver, and subcutaneous and visceral adipose tissues.Data are mean ± S</w:t>
      </w:r>
      <w:r>
        <w:rPr>
          <w:rFonts w:hint="eastAsia" w:ascii="Times New Roman" w:hAnsi="Times New Roman" w:cs="Times New Roman"/>
          <w:sz w:val="24"/>
          <w:highlight w:val="none"/>
        </w:rPr>
        <w:t>D; n=3 for c and d</w:t>
      </w:r>
      <w:r>
        <w:rPr>
          <w:rFonts w:hint="eastAsia" w:ascii="Times New Roman" w:hAnsi="Times New Roman" w:cs="Times New Roman"/>
          <w:sz w:val="24"/>
        </w:rPr>
        <w:t>.</w:t>
      </w:r>
    </w:p>
    <w:p w14:paraId="5EFCD26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1487E39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4658995"/>
            <wp:effectExtent l="0" t="0" r="3175" b="8255"/>
            <wp:docPr id="7" name="图片 7" descr="Extended Data Fig. 7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xtended Data Fig. 7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0915C">
      <w:pPr>
        <w:rPr>
          <w:rFonts w:ascii="Times New Roman" w:hAnsi="Times New Roman" w:cs="Times New Roman"/>
          <w:b/>
          <w:bCs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>Extended Data Fig. 7 | Histological examination of major organs following the in vivo tumorigenicity assay.</w:t>
      </w:r>
    </w:p>
    <w:p w14:paraId="49762EE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highlight w:val="none"/>
        </w:rPr>
        <w:t>a–f,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Representative haematoxylin and eosin (H&amp;E)-stained sections of the brain (a), heart (b), liver (c), lungs (d), spleen (e) and kidneys (f). Tissues were collected from mice in the negative-control (NC), positive-control (PC) and SD300 groups at the endpoint of the assay shown in Fig. 4g. No metastatic lesions were detected in the examined sections from any group.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 xml:space="preserve">Scale bar, </w:t>
      </w:r>
      <w:r>
        <w:rPr>
          <w:rFonts w:hint="eastAsia" w:ascii="Times New Roman" w:hAnsi="Times New Roman" w:cs="Times New Roman"/>
          <w:sz w:val="24"/>
          <w:highlight w:val="none"/>
        </w:rPr>
        <w:t>1000 or 100</w:t>
      </w:r>
      <w:r>
        <w:rPr>
          <w:rFonts w:ascii="Times New Roman" w:hAnsi="Times New Roman" w:cs="Times New Roman"/>
          <w:sz w:val="24"/>
          <w:highlight w:val="none"/>
        </w:rPr>
        <w:t xml:space="preserve"> μm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as indicated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</w:p>
    <w:p w14:paraId="585FEE7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28157A3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4843780"/>
            <wp:effectExtent l="0" t="0" r="3175" b="13970"/>
            <wp:docPr id="8" name="图片 8" descr="Extended Data Fig. 8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xtended Data Fig. 8_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84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69467">
      <w:pPr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highlight w:val="none"/>
        </w:rPr>
        <w:t>Extended Data Fig. 8 | Cell growth, metabolite profiles and morphology during scale-up.</w:t>
      </w:r>
    </w:p>
    <w:p w14:paraId="017D3A9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highlight w:val="none"/>
        </w:rPr>
        <w:t xml:space="preserve">a, Total cell number and viability during seed-train expansion. </w:t>
      </w:r>
      <w:r>
        <w:rPr>
          <w:rFonts w:hint="eastAsia" w:ascii="Times New Roman" w:hAnsi="Times New Roman" w:cs="Times New Roman"/>
          <w:sz w:val="24"/>
          <w:highlight w:val="none"/>
        </w:rPr>
        <w:t>b</w:t>
      </w:r>
      <w:r>
        <w:rPr>
          <w:rFonts w:ascii="Times New Roman" w:hAnsi="Times New Roman" w:cs="Times New Roman"/>
          <w:sz w:val="24"/>
          <w:highlight w:val="none"/>
        </w:rPr>
        <w:t>,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highlight w:val="none"/>
        </w:rPr>
        <w:t>The doubling time of cells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during 2000L production.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sz w:val="24"/>
          <w:highlight w:val="none"/>
        </w:rPr>
        <w:t>,</w:t>
      </w:r>
      <w:r>
        <w:rPr>
          <w:rFonts w:ascii="Times New Roman" w:hAnsi="Times New Roman" w:cs="Times New Roman"/>
          <w:sz w:val="24"/>
          <w:highlight w:val="none"/>
        </w:rPr>
        <w:t xml:space="preserve">Glucose, lactate and ammonium concentrations. </w:t>
      </w:r>
      <w:bookmarkStart w:id="0" w:name="OLE_LINK1"/>
      <w:r>
        <w:rPr>
          <w:rFonts w:hint="eastAsia" w:ascii="Times New Roman" w:hAnsi="Times New Roman" w:cs="Times New Roman"/>
          <w:sz w:val="24"/>
          <w:highlight w:val="none"/>
        </w:rPr>
        <w:t>d</w:t>
      </w:r>
      <w:r>
        <w:rPr>
          <w:rFonts w:ascii="Times New Roman" w:hAnsi="Times New Roman" w:cs="Times New Roman"/>
          <w:sz w:val="24"/>
          <w:highlight w:val="none"/>
        </w:rPr>
        <w:t>,</w:t>
      </w:r>
      <w:bookmarkEnd w:id="0"/>
      <w:r>
        <w:rPr>
          <w:rFonts w:ascii="Times New Roman" w:hAnsi="Times New Roman" w:cs="Times New Roman"/>
          <w:sz w:val="24"/>
          <w:highlight w:val="none"/>
        </w:rPr>
        <w:t xml:space="preserve"> Representative micrographs of cells collected on days 0, 4, 8, 12, 16 and 22. Day 0 denotes the start of seed expansion.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e. Compositional </w:t>
      </w:r>
      <w:r>
        <w:rPr>
          <w:rFonts w:hint="eastAsia" w:ascii="Times New Roman" w:hAnsi="Times New Roman" w:cs="Times New Roman"/>
          <w:sz w:val="24"/>
          <w:highlight w:val="none"/>
          <w:lang w:eastAsia="zh-CN"/>
        </w:rPr>
        <w:t>analysis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of biomass collected on different days. </w:t>
      </w:r>
      <w:r>
        <w:rPr>
          <w:rFonts w:ascii="Times New Roman" w:hAnsi="Times New Roman" w:cs="Times New Roman"/>
          <w:sz w:val="24"/>
          <w:highlight w:val="none"/>
        </w:rPr>
        <w:t xml:space="preserve">Scale bars,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100 </w:t>
      </w:r>
      <w:r>
        <w:rPr>
          <w:rFonts w:ascii="Times New Roman" w:hAnsi="Times New Roman" w:cs="Times New Roman"/>
          <w:sz w:val="24"/>
          <w:highlight w:val="none"/>
        </w:rPr>
        <w:t>μm</w:t>
      </w:r>
      <w:r>
        <w:rPr>
          <w:rFonts w:hint="eastAsia" w:ascii="Times New Roman" w:hAnsi="Times New Roman" w:cs="Times New Roman"/>
          <w:sz w:val="24"/>
          <w:highlight w:val="none"/>
        </w:rPr>
        <w:t>.</w:t>
      </w:r>
    </w:p>
    <w:p w14:paraId="56253E55">
      <w:pPr>
        <w:rPr>
          <w:rFonts w:hint="eastAsia" w:eastAsiaTheme="minorEastAsia"/>
          <w:lang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2776B"/>
    <w:rsid w:val="763B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495</Words>
  <Characters>2867</Characters>
  <Lines>0</Lines>
  <Paragraphs>0</Paragraphs>
  <TotalTime>0</TotalTime>
  <ScaleCrop>false</ScaleCrop>
  <LinksUpToDate>false</LinksUpToDate>
  <CharactersWithSpaces>3352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2026-10-16T11:18:00Z</dcterms:created>
  <dc:creator>Leon2023</dc:creator>
  <cp:lastModifiedBy>赵良</cp:lastModifiedBy>
  <dcterms:modified xsi:type="dcterms:W3CDTF">2026-10-16T11:25:12Z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eyJoZGlkIjoiZmQxNDVjZTFmZmRkNzdlODUxOGNkMzczZWM4MTM1ZDIiLCJ1c2VySWQiOiIxNjY3ODk5ODMyIn0=</vt:lpwstr>
  </property>
  <property fmtid="{D5CDD505-2E9C-101B-9397-08002B2CF9AE}" pid="4" name="ICV">
    <vt:lpwstr>6EEB5C6543CC443D996862903DE86C9F_12</vt:lpwstr>
  </property>
</Properties>
</file>