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B1114">
      <w:pPr>
        <w:pStyle w:val="2"/>
        <w:keepNext/>
        <w:widowControl/>
        <w:spacing w:before="360" w:beforeAutospacing="0" w:after="60" w:afterAutospacing="0" w:line="360" w:lineRule="auto"/>
        <w:ind w:right="567"/>
        <w:contextualSpacing/>
        <w:jc w:val="both"/>
        <w:outlineLvl w:val="0"/>
        <w:rPr>
          <w:rFonts w:hint="default" w:ascii="Times New Roman" w:hAnsi="Times New Roman" w:cs="Arial"/>
          <w:kern w:val="32"/>
          <w:sz w:val="24"/>
          <w:szCs w:val="32"/>
          <w:lang w:val="en-GB" w:eastAsia="en-GB" w:bidi="ar-SA"/>
        </w:rPr>
      </w:pPr>
      <w:r>
        <w:rPr>
          <w:rFonts w:hint="default" w:ascii="Times New Roman" w:hAnsi="Times New Roman" w:cs="Arial"/>
          <w:kern w:val="32"/>
          <w:sz w:val="24"/>
          <w:szCs w:val="32"/>
          <w:lang w:val="en-GB" w:eastAsia="en-GB" w:bidi="ar-SA"/>
        </w:rPr>
        <w:t>Supplementary Materials</w:t>
      </w:r>
    </w:p>
    <w:p w14:paraId="768FECD6">
      <w:pPr>
        <w:pStyle w:val="2"/>
        <w:keepNext/>
        <w:widowControl/>
        <w:spacing w:before="360" w:beforeAutospacing="0" w:after="60" w:afterAutospacing="0" w:line="360" w:lineRule="auto"/>
        <w:ind w:right="567"/>
        <w:contextualSpacing/>
        <w:jc w:val="both"/>
        <w:outlineLvl w:val="0"/>
        <w:rPr>
          <w:rFonts w:hint="default" w:ascii="Times New Roman" w:hAnsi="Times New Roman" w:cs="Arial"/>
          <w:kern w:val="32"/>
          <w:sz w:val="24"/>
          <w:szCs w:val="32"/>
          <w:lang w:val="en-GB" w:eastAsia="en-GB" w:bidi="ar-SA"/>
        </w:rPr>
      </w:pPr>
      <w:r>
        <w:rPr>
          <w:rFonts w:hint="default" w:ascii="Times New Roman" w:hAnsi="Times New Roman" w:cs="Arial"/>
          <w:kern w:val="32"/>
          <w:sz w:val="24"/>
          <w:szCs w:val="32"/>
          <w:lang w:val="en-GB" w:eastAsia="en-GB" w:bidi="ar-SA"/>
        </w:rPr>
        <w:t>Spatial heterogeneity of remote sensing-based surface heat conditions and environmental associations in Fuzhou, China: Insights from multiscale geographically weighted regression</w:t>
      </w:r>
    </w:p>
    <w:p w14:paraId="4A1B8901">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Supplementary Material provides additional results supporting the sensitivity analysis of the Relative Surface Heat Index (RSHI) and the multiscale geographically weighted regression (MGWR) analysis. It includes spatial difference maps comparing alternative RSHI specifications with the baseline, summary statistics quantifying spatial-pattern consistency, and model-fit and bandwidth comparisons across sensitivity scenarios.</w:t>
      </w:r>
    </w:p>
    <w:p w14:paraId="43FA6DB1">
      <w:pPr>
        <w:pStyle w:val="2"/>
        <w:keepNext/>
        <w:widowControl/>
        <w:spacing w:before="360" w:beforeAutospacing="0" w:after="60" w:afterAutospacing="0" w:line="360" w:lineRule="auto"/>
        <w:ind w:right="567"/>
        <w:contextualSpacing/>
        <w:jc w:val="both"/>
        <w:outlineLvl w:val="0"/>
        <w:rPr>
          <w:rFonts w:hint="default" w:ascii="Times New Roman" w:hAnsi="Times New Roman" w:cs="Arial"/>
          <w:kern w:val="32"/>
          <w:sz w:val="24"/>
          <w:szCs w:val="32"/>
          <w:lang w:val="en-GB" w:eastAsia="en-GB" w:bidi="ar-SA"/>
        </w:rPr>
      </w:pPr>
      <w:r>
        <w:rPr>
          <w:rFonts w:hint="default" w:ascii="Times New Roman" w:hAnsi="Times New Roman" w:cs="Arial"/>
          <w:kern w:val="32"/>
          <w:sz w:val="24"/>
          <w:szCs w:val="32"/>
          <w:lang w:val="en-GB" w:eastAsia="en-GB" w:bidi="ar-SA"/>
        </w:rPr>
        <w:t>Contents</w:t>
      </w:r>
    </w:p>
    <w:p w14:paraId="77B0AD93">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Table S1. Sensitivity analysis of RSHI construction.</w:t>
      </w:r>
    </w:p>
    <w:p w14:paraId="17D79A1F">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Fig. S1. Spatial differences in RSHI between alternative specifications and the baseline.</w:t>
      </w:r>
    </w:p>
    <w:p w14:paraId="5E275A8B">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Table S2. MGWR model performance and variable-specific adaptive bandwidths across sensitivity scenarios.</w:t>
      </w:r>
    </w:p>
    <w:p w14:paraId="34CBD050">
      <w:pPr>
        <w:rPr>
          <w:rFonts w:hint="default" w:ascii="Times New Roman" w:hAnsi="Times New Roman" w:cs="Times New Roman"/>
          <w:lang w:val="en-US" w:eastAsia="zh-CN"/>
        </w:rPr>
      </w:pPr>
      <w:r>
        <w:rPr>
          <w:rFonts w:hint="default" w:ascii="Times New Roman" w:hAnsi="Times New Roman" w:cs="Times New Roman"/>
          <w:lang w:val="en-US" w:eastAsia="zh-CN"/>
        </w:rPr>
        <w:t>Table S1. Sensitivity analysis of RSHI construction.</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704"/>
        <w:gridCol w:w="1704"/>
        <w:gridCol w:w="1704"/>
        <w:gridCol w:w="1705"/>
        <w:gridCol w:w="1705"/>
      </w:tblGrid>
      <w:tr w14:paraId="0908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Borders>
              <w:left w:val="nil"/>
              <w:bottom w:val="single" w:color="auto" w:sz="4" w:space="0"/>
              <w:right w:val="nil"/>
            </w:tcBorders>
            <w:vAlign w:val="center"/>
          </w:tcPr>
          <w:p w14:paraId="0E42E3B5">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Scenario</w:t>
            </w:r>
          </w:p>
        </w:tc>
        <w:tc>
          <w:tcPr>
            <w:tcW w:w="1704" w:type="dxa"/>
            <w:tcBorders>
              <w:left w:val="nil"/>
              <w:bottom w:val="single" w:color="auto" w:sz="4" w:space="0"/>
              <w:right w:val="nil"/>
            </w:tcBorders>
            <w:vAlign w:val="center"/>
          </w:tcPr>
          <w:p w14:paraId="08A1B252">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Pearson’s (</w:t>
            </w:r>
            <m:oMath>
              <m:r>
                <m:rPr>
                  <m:sty m:val="p"/>
                </m:rPr>
                <w:rPr>
                  <w:rFonts w:ascii="Cambria Math" w:hAnsi="Cambria Math" w:cs="Times New Roman"/>
                  <w:sz w:val="20"/>
                  <w:szCs w:val="20"/>
                  <w:lang w:val="en-US"/>
                </w:rPr>
                <m:t>γ</m:t>
              </m:r>
            </m:oMath>
            <w:r>
              <w:rPr>
                <w:rFonts w:hint="default" w:ascii="Times New Roman" w:hAnsi="Times New Roman" w:cs="Times New Roman"/>
                <w:b w:val="0"/>
                <w:bCs w:val="0"/>
                <w:sz w:val="20"/>
                <w:szCs w:val="20"/>
                <w:lang w:val="en-US" w:eastAsia="zh-CN"/>
              </w:rPr>
              <w:t>)</w:t>
            </w:r>
          </w:p>
        </w:tc>
        <w:tc>
          <w:tcPr>
            <w:tcW w:w="1704" w:type="dxa"/>
            <w:tcBorders>
              <w:left w:val="nil"/>
              <w:bottom w:val="single" w:color="auto" w:sz="4" w:space="0"/>
              <w:right w:val="nil"/>
            </w:tcBorders>
            <w:vAlign w:val="center"/>
          </w:tcPr>
          <w:p w14:paraId="23A49A39">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Spearman’s (</w:t>
            </w:r>
            <m:oMath>
              <m:r>
                <m:rPr>
                  <m:sty m:val="p"/>
                </m:rPr>
                <w:rPr>
                  <w:rFonts w:ascii="Cambria Math" w:hAnsi="Cambria Math" w:cs="Times New Roman"/>
                  <w:sz w:val="20"/>
                  <w:szCs w:val="20"/>
                  <w:lang w:val="en-US"/>
                </w:rPr>
                <m:t>ρ</m:t>
              </m:r>
            </m:oMath>
            <w:r>
              <w:rPr>
                <w:rFonts w:hint="default" w:ascii="Times New Roman" w:hAnsi="Times New Roman" w:cs="Times New Roman"/>
                <w:b w:val="0"/>
                <w:bCs w:val="0"/>
                <w:sz w:val="20"/>
                <w:szCs w:val="20"/>
                <w:lang w:val="en-US" w:eastAsia="zh-CN"/>
              </w:rPr>
              <w:t>)</w:t>
            </w:r>
          </w:p>
        </w:tc>
        <w:tc>
          <w:tcPr>
            <w:tcW w:w="1705" w:type="dxa"/>
            <w:tcBorders>
              <w:left w:val="nil"/>
              <w:bottom w:val="single" w:color="auto" w:sz="4" w:space="0"/>
              <w:right w:val="nil"/>
            </w:tcBorders>
            <w:vAlign w:val="center"/>
          </w:tcPr>
          <w:p w14:paraId="357A0B77">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Jaccard similarity</w:t>
            </w:r>
          </w:p>
        </w:tc>
        <w:tc>
          <w:tcPr>
            <w:tcW w:w="1705" w:type="dxa"/>
            <w:tcBorders>
              <w:left w:val="nil"/>
              <w:bottom w:val="single" w:color="auto" w:sz="4" w:space="0"/>
              <w:right w:val="nil"/>
            </w:tcBorders>
            <w:vAlign w:val="center"/>
          </w:tcPr>
          <w:p w14:paraId="2357671D">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High-zone retention (%)</w:t>
            </w:r>
          </w:p>
        </w:tc>
      </w:tr>
      <w:tr w14:paraId="2CED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Borders>
              <w:top w:val="single" w:color="auto" w:sz="4" w:space="0"/>
              <w:left w:val="nil"/>
              <w:bottom w:val="nil"/>
              <w:right w:val="nil"/>
            </w:tcBorders>
            <w:vAlign w:val="center"/>
          </w:tcPr>
          <w:p w14:paraId="7BCE4A72">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50:50 (Baseline)</w:t>
            </w:r>
          </w:p>
        </w:tc>
        <w:tc>
          <w:tcPr>
            <w:tcW w:w="1704" w:type="dxa"/>
            <w:tcBorders>
              <w:top w:val="single" w:color="auto" w:sz="4" w:space="0"/>
              <w:left w:val="nil"/>
              <w:bottom w:val="nil"/>
              <w:right w:val="nil"/>
            </w:tcBorders>
            <w:vAlign w:val="center"/>
          </w:tcPr>
          <w:p w14:paraId="144A5436">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1.000</w:t>
            </w:r>
          </w:p>
        </w:tc>
        <w:tc>
          <w:tcPr>
            <w:tcW w:w="1704" w:type="dxa"/>
            <w:tcBorders>
              <w:top w:val="single" w:color="auto" w:sz="4" w:space="0"/>
              <w:left w:val="nil"/>
              <w:bottom w:val="nil"/>
              <w:right w:val="nil"/>
            </w:tcBorders>
            <w:vAlign w:val="center"/>
          </w:tcPr>
          <w:p w14:paraId="7E798904">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1.000</w:t>
            </w:r>
          </w:p>
        </w:tc>
        <w:tc>
          <w:tcPr>
            <w:tcW w:w="1705" w:type="dxa"/>
            <w:tcBorders>
              <w:top w:val="single" w:color="auto" w:sz="4" w:space="0"/>
              <w:left w:val="nil"/>
              <w:bottom w:val="nil"/>
              <w:right w:val="nil"/>
            </w:tcBorders>
            <w:vAlign w:val="center"/>
          </w:tcPr>
          <w:p w14:paraId="56DF8EEC">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1.000</w:t>
            </w:r>
          </w:p>
        </w:tc>
        <w:tc>
          <w:tcPr>
            <w:tcW w:w="1705" w:type="dxa"/>
            <w:tcBorders>
              <w:top w:val="single" w:color="auto" w:sz="4" w:space="0"/>
              <w:left w:val="nil"/>
              <w:bottom w:val="nil"/>
              <w:right w:val="nil"/>
            </w:tcBorders>
            <w:vAlign w:val="center"/>
          </w:tcPr>
          <w:p w14:paraId="040A8F66">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100.00</w:t>
            </w:r>
          </w:p>
        </w:tc>
      </w:tr>
      <w:tr w14:paraId="476F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Borders>
              <w:top w:val="nil"/>
              <w:left w:val="nil"/>
              <w:bottom w:val="nil"/>
              <w:right w:val="nil"/>
            </w:tcBorders>
            <w:vAlign w:val="center"/>
          </w:tcPr>
          <w:p w14:paraId="3DF8A27B">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60:40</w:t>
            </w:r>
          </w:p>
        </w:tc>
        <w:tc>
          <w:tcPr>
            <w:tcW w:w="1704" w:type="dxa"/>
            <w:tcBorders>
              <w:top w:val="nil"/>
              <w:left w:val="nil"/>
              <w:bottom w:val="nil"/>
              <w:right w:val="nil"/>
            </w:tcBorders>
            <w:vAlign w:val="center"/>
          </w:tcPr>
          <w:p w14:paraId="6110AE2C">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0.978</w:t>
            </w:r>
          </w:p>
        </w:tc>
        <w:tc>
          <w:tcPr>
            <w:tcW w:w="1704" w:type="dxa"/>
            <w:tcBorders>
              <w:top w:val="nil"/>
              <w:left w:val="nil"/>
              <w:bottom w:val="nil"/>
              <w:right w:val="nil"/>
            </w:tcBorders>
            <w:vAlign w:val="center"/>
          </w:tcPr>
          <w:p w14:paraId="6D72BD26">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0.977</w:t>
            </w:r>
          </w:p>
        </w:tc>
        <w:tc>
          <w:tcPr>
            <w:tcW w:w="1705" w:type="dxa"/>
            <w:tcBorders>
              <w:top w:val="nil"/>
              <w:left w:val="nil"/>
              <w:bottom w:val="nil"/>
              <w:right w:val="nil"/>
            </w:tcBorders>
            <w:vAlign w:val="center"/>
          </w:tcPr>
          <w:p w14:paraId="38250BA2">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0.803</w:t>
            </w:r>
          </w:p>
        </w:tc>
        <w:tc>
          <w:tcPr>
            <w:tcW w:w="1705" w:type="dxa"/>
            <w:tcBorders>
              <w:top w:val="nil"/>
              <w:left w:val="nil"/>
              <w:bottom w:val="nil"/>
              <w:right w:val="nil"/>
            </w:tcBorders>
            <w:vAlign w:val="center"/>
          </w:tcPr>
          <w:p w14:paraId="4F2A279E">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86.41</w:t>
            </w:r>
          </w:p>
        </w:tc>
      </w:tr>
      <w:tr w14:paraId="4AFF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Borders>
              <w:top w:val="nil"/>
              <w:left w:val="nil"/>
              <w:bottom w:val="nil"/>
              <w:right w:val="nil"/>
            </w:tcBorders>
            <w:vAlign w:val="center"/>
          </w:tcPr>
          <w:p w14:paraId="24CCC525">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70:30</w:t>
            </w:r>
          </w:p>
        </w:tc>
        <w:tc>
          <w:tcPr>
            <w:tcW w:w="1704" w:type="dxa"/>
            <w:tcBorders>
              <w:top w:val="nil"/>
              <w:left w:val="nil"/>
              <w:bottom w:val="nil"/>
              <w:right w:val="nil"/>
            </w:tcBorders>
            <w:vAlign w:val="center"/>
          </w:tcPr>
          <w:p w14:paraId="14DDDF22">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0.930</w:t>
            </w:r>
          </w:p>
        </w:tc>
        <w:tc>
          <w:tcPr>
            <w:tcW w:w="1704" w:type="dxa"/>
            <w:tcBorders>
              <w:top w:val="nil"/>
              <w:left w:val="nil"/>
              <w:bottom w:val="nil"/>
              <w:right w:val="nil"/>
            </w:tcBorders>
            <w:vAlign w:val="center"/>
          </w:tcPr>
          <w:p w14:paraId="18A4B0F3">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0.933</w:t>
            </w:r>
          </w:p>
        </w:tc>
        <w:tc>
          <w:tcPr>
            <w:tcW w:w="1705" w:type="dxa"/>
            <w:tcBorders>
              <w:top w:val="nil"/>
              <w:left w:val="nil"/>
              <w:bottom w:val="nil"/>
              <w:right w:val="nil"/>
            </w:tcBorders>
            <w:vAlign w:val="center"/>
          </w:tcPr>
          <w:p w14:paraId="1CDB991D">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0.695</w:t>
            </w:r>
          </w:p>
        </w:tc>
        <w:tc>
          <w:tcPr>
            <w:tcW w:w="1705" w:type="dxa"/>
            <w:tcBorders>
              <w:top w:val="nil"/>
              <w:left w:val="nil"/>
              <w:bottom w:val="nil"/>
              <w:right w:val="nil"/>
            </w:tcBorders>
            <w:vAlign w:val="center"/>
          </w:tcPr>
          <w:p w14:paraId="4F18F363">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74.73</w:t>
            </w:r>
          </w:p>
        </w:tc>
      </w:tr>
      <w:tr w14:paraId="04A2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Borders>
              <w:top w:val="nil"/>
              <w:left w:val="nil"/>
              <w:right w:val="nil"/>
            </w:tcBorders>
            <w:vAlign w:val="center"/>
          </w:tcPr>
          <w:p w14:paraId="376B1A11">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Reverse NDWI</w:t>
            </w:r>
          </w:p>
        </w:tc>
        <w:tc>
          <w:tcPr>
            <w:tcW w:w="1704" w:type="dxa"/>
            <w:tcBorders>
              <w:top w:val="nil"/>
              <w:left w:val="nil"/>
              <w:right w:val="nil"/>
            </w:tcBorders>
            <w:vAlign w:val="center"/>
          </w:tcPr>
          <w:p w14:paraId="1EED7E73">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0.406</w:t>
            </w:r>
          </w:p>
        </w:tc>
        <w:tc>
          <w:tcPr>
            <w:tcW w:w="1704" w:type="dxa"/>
            <w:tcBorders>
              <w:top w:val="nil"/>
              <w:left w:val="nil"/>
              <w:right w:val="nil"/>
            </w:tcBorders>
            <w:vAlign w:val="center"/>
          </w:tcPr>
          <w:p w14:paraId="6FFC41DE">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0.481</w:t>
            </w:r>
          </w:p>
        </w:tc>
        <w:tc>
          <w:tcPr>
            <w:tcW w:w="1705" w:type="dxa"/>
            <w:tcBorders>
              <w:top w:val="nil"/>
              <w:left w:val="nil"/>
              <w:right w:val="nil"/>
            </w:tcBorders>
            <w:vAlign w:val="center"/>
          </w:tcPr>
          <w:p w14:paraId="5D8A42F7">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0.279</w:t>
            </w:r>
          </w:p>
        </w:tc>
        <w:tc>
          <w:tcPr>
            <w:tcW w:w="1705" w:type="dxa"/>
            <w:tcBorders>
              <w:top w:val="nil"/>
              <w:left w:val="nil"/>
              <w:right w:val="nil"/>
            </w:tcBorders>
            <w:vAlign w:val="center"/>
          </w:tcPr>
          <w:p w14:paraId="3821AFD2">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38.64</w:t>
            </w:r>
          </w:p>
        </w:tc>
      </w:tr>
    </w:tbl>
    <w:p w14:paraId="7FD1EBC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480" w:firstLineChars="200"/>
        <w:jc w:val="both"/>
        <w:textAlignment w:val="auto"/>
        <w:rPr>
          <w:rFonts w:hint="default" w:ascii="Times New Roman" w:hAnsi="Times New Roman" w:cs="Times New Roman"/>
          <w:highlight w:val="none"/>
        </w:rPr>
      </w:pPr>
      <w:r>
        <w:rPr>
          <w:rFonts w:hint="default" w:ascii="Times New Roman" w:hAnsi="Times New Roman" w:cs="Times New Roman"/>
          <w:highlight w:val="none"/>
        </w:rPr>
        <w:t>Note: Pearson’s correlation coefficient and Spearman’s rank correlation coefficient quantify the agreement between each alternative RSHI raster and the baseline raster. The Jaccard similarity coefficient measures the spatial overlap between high-RSHI zones, while the high-zone retention rate represents the proportion of baseline high-RSHI areas retained under each alternative specification. All comparisons were conducted using common valid pixels and a consistent high-zone classification threshold.</w:t>
      </w:r>
    </w:p>
    <w:p w14:paraId="2D62703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480" w:firstLineChars="200"/>
        <w:jc w:val="both"/>
        <w:textAlignment w:val="auto"/>
        <w:rPr>
          <w:rFonts w:hint="default" w:ascii="Times New Roman" w:hAnsi="Times New Roman" w:cs="Times New Roman"/>
          <w:highlight w:val="none"/>
        </w:rPr>
      </w:pPr>
    </w:p>
    <w:p w14:paraId="76B83701">
      <w:pPr>
        <w:jc w:val="center"/>
        <w:rPr>
          <w:rFonts w:hint="default" w:ascii="Times New Roman" w:hAnsi="Times New Roman" w:cs="Times New Roman"/>
          <w:lang w:val="en-US" w:eastAsia="zh-CN"/>
        </w:rPr>
      </w:pPr>
    </w:p>
    <w:p w14:paraId="31E909A8">
      <w:pPr>
        <w:jc w:val="center"/>
        <w:rPr>
          <w:rFonts w:hint="default" w:ascii="Times New Roman" w:hAnsi="Times New Roman" w:cs="Times New Roman"/>
          <w:lang w:val="en-US" w:eastAsia="zh-CN"/>
        </w:rPr>
      </w:pPr>
    </w:p>
    <w:p w14:paraId="7103FBBB">
      <w:pPr>
        <w:jc w:val="center"/>
        <w:rPr>
          <w:rFonts w:hint="default" w:ascii="Times New Roman" w:hAnsi="Times New Roman" w:cs="Times New Roman"/>
          <w:lang w:val="en-US" w:eastAsia="zh-CN"/>
        </w:rPr>
      </w:pPr>
    </w:p>
    <w:p w14:paraId="0DF04D16">
      <w:pPr>
        <w:jc w:val="center"/>
        <w:rPr>
          <w:rFonts w:hint="default" w:ascii="Times New Roman" w:hAnsi="Times New Roman" w:cs="Times New Roman"/>
          <w:lang w:val="en-US" w:eastAsia="zh-CN"/>
        </w:rPr>
        <w:sectPr>
          <w:pgSz w:w="11906" w:h="16838"/>
          <w:pgMar w:top="1440" w:right="1800" w:bottom="1440" w:left="1800" w:header="851" w:footer="992" w:gutter="0"/>
          <w:pgBorders w:offsetFrom="page">
            <w:top w:val="none" w:sz="0" w:space="0"/>
            <w:left w:val="none" w:sz="0" w:space="0"/>
            <w:bottom w:val="none" w:sz="0" w:space="0"/>
            <w:right w:val="none" w:sz="0" w:space="0"/>
          </w:pgBorders>
          <w:lnNumType w:countBy="1" w:restart="continuous"/>
          <w:cols w:space="425" w:num="1"/>
          <w:docGrid w:type="lines" w:linePitch="312" w:charSpace="0"/>
        </w:sectPr>
      </w:pPr>
    </w:p>
    <w:p w14:paraId="167C9EEF">
      <w:pPr>
        <w:jc w:val="center"/>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9440545" cy="3305810"/>
            <wp:effectExtent l="0" t="0" r="8255" b="8890"/>
            <wp:docPr id="2" name="图片 2"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 S1"/>
                    <pic:cNvPicPr>
                      <a:picLocks noChangeAspect="1"/>
                    </pic:cNvPicPr>
                  </pic:nvPicPr>
                  <pic:blipFill>
                    <a:blip r:embed="rId4"/>
                    <a:stretch>
                      <a:fillRect/>
                    </a:stretch>
                  </pic:blipFill>
                  <pic:spPr>
                    <a:xfrm>
                      <a:off x="0" y="0"/>
                      <a:ext cx="9440545" cy="3305810"/>
                    </a:xfrm>
                    <a:prstGeom prst="rect">
                      <a:avLst/>
                    </a:prstGeom>
                  </pic:spPr>
                </pic:pic>
              </a:graphicData>
            </a:graphic>
          </wp:inline>
        </w:drawing>
      </w:r>
    </w:p>
    <w:p w14:paraId="652F0CFF">
      <w:pPr>
        <w:jc w:val="center"/>
        <w:rPr>
          <w:rFonts w:hint="default" w:ascii="Times New Roman" w:hAnsi="Times New Roman" w:cs="Times New Roman"/>
          <w:lang w:val="en-US" w:eastAsia="zh-CN"/>
        </w:rPr>
      </w:pPr>
      <w:r>
        <w:rPr>
          <w:rFonts w:hint="default" w:ascii="Times New Roman" w:hAnsi="Times New Roman" w:cs="Times New Roman"/>
          <w:lang w:val="en-US" w:eastAsia="zh-CN"/>
        </w:rPr>
        <w:t>Fig. S1. Spatial differences in RSHI between alternative specifications and the baseline. (a) Difference between the 60:40 and baseline 50:50 weighting schemes; (b) difference between the 70:30 and baseline 50:50 weighting schemes; and (c) difference between the reversed-NDWI scenario and the baseline. Positive and negative values indicate higher and lower RSHI values, respectively, relative to the baseline.</w:t>
      </w:r>
    </w:p>
    <w:p w14:paraId="2690776C">
      <w:pPr>
        <w:rPr>
          <w:rFonts w:hint="default" w:ascii="Times New Roman" w:hAnsi="Times New Roman" w:cs="Times New Roman"/>
          <w:lang w:val="en-US" w:eastAsia="zh-CN"/>
        </w:rPr>
      </w:pPr>
    </w:p>
    <w:p w14:paraId="3235E2C4">
      <w:pPr>
        <w:rPr>
          <w:rFonts w:hint="default" w:ascii="Times New Roman" w:hAnsi="Times New Roman" w:cs="Times New Roman"/>
          <w:lang w:val="en-US" w:eastAsia="zh-CN"/>
        </w:rPr>
      </w:pPr>
    </w:p>
    <w:p w14:paraId="72705F8A">
      <w:pPr>
        <w:rPr>
          <w:rFonts w:hint="default" w:ascii="Times New Roman" w:hAnsi="Times New Roman" w:cs="Times New Roman"/>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restart="continuous"/>
          <w:cols w:space="425" w:num="1"/>
          <w:docGrid w:type="lines" w:linePitch="312" w:charSpace="0"/>
        </w:sectPr>
      </w:pPr>
    </w:p>
    <w:p w14:paraId="3FC821F0">
      <w:pPr>
        <w:rPr>
          <w:rFonts w:hint="default" w:ascii="Times New Roman" w:hAnsi="Times New Roman" w:cs="Times New Roman"/>
          <w:lang w:val="en-US" w:eastAsia="zh-CN"/>
        </w:rPr>
      </w:pPr>
      <w:r>
        <w:rPr>
          <w:rFonts w:hint="default" w:ascii="Times New Roman" w:hAnsi="Times New Roman" w:cs="Times New Roman"/>
          <w:lang w:val="en-US" w:eastAsia="zh-CN"/>
        </w:rPr>
        <w:t>Table S2. MGWR model fit and variable-specific adaptive bandwidths under alternative RSHI specifications.</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0"/>
        <w:gridCol w:w="892"/>
        <w:gridCol w:w="781"/>
        <w:gridCol w:w="893"/>
        <w:gridCol w:w="876"/>
        <w:gridCol w:w="965"/>
        <w:gridCol w:w="1932"/>
      </w:tblGrid>
      <w:tr w14:paraId="02797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9" w:type="pct"/>
            <w:tcBorders>
              <w:left w:val="nil"/>
              <w:bottom w:val="single" w:color="auto" w:sz="4" w:space="0"/>
              <w:right w:val="nil"/>
            </w:tcBorders>
            <w:vAlign w:val="center"/>
          </w:tcPr>
          <w:p w14:paraId="4F9BDB6D">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Scenario</w:t>
            </w:r>
          </w:p>
        </w:tc>
        <w:tc>
          <w:tcPr>
            <w:tcW w:w="523" w:type="pct"/>
            <w:tcBorders>
              <w:left w:val="nil"/>
              <w:bottom w:val="single" w:color="auto" w:sz="4" w:space="0"/>
              <w:right w:val="nil"/>
            </w:tcBorders>
            <w:vAlign w:val="center"/>
          </w:tcPr>
          <w:p w14:paraId="6116F547">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BU</w:t>
            </w:r>
          </w:p>
        </w:tc>
        <w:tc>
          <w:tcPr>
            <w:tcW w:w="458" w:type="pct"/>
            <w:tcBorders>
              <w:left w:val="nil"/>
              <w:bottom w:val="single" w:color="auto" w:sz="4" w:space="0"/>
              <w:right w:val="nil"/>
            </w:tcBorders>
            <w:vAlign w:val="center"/>
          </w:tcPr>
          <w:p w14:paraId="1CDB5580">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WB</w:t>
            </w:r>
          </w:p>
        </w:tc>
        <w:tc>
          <w:tcPr>
            <w:tcW w:w="524" w:type="pct"/>
            <w:tcBorders>
              <w:left w:val="nil"/>
              <w:bottom w:val="single" w:color="auto" w:sz="4" w:space="0"/>
              <w:right w:val="nil"/>
            </w:tcBorders>
            <w:vAlign w:val="center"/>
          </w:tcPr>
          <w:p w14:paraId="3CBE1A2F">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UGS</w:t>
            </w:r>
          </w:p>
        </w:tc>
        <w:tc>
          <w:tcPr>
            <w:tcW w:w="514" w:type="pct"/>
            <w:tcBorders>
              <w:left w:val="nil"/>
              <w:bottom w:val="single" w:color="auto" w:sz="4" w:space="0"/>
              <w:right w:val="nil"/>
            </w:tcBorders>
            <w:vAlign w:val="center"/>
          </w:tcPr>
          <w:p w14:paraId="79244D78">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NTL</w:t>
            </w:r>
          </w:p>
        </w:tc>
        <w:tc>
          <w:tcPr>
            <w:tcW w:w="566" w:type="pct"/>
            <w:tcBorders>
              <w:left w:val="nil"/>
              <w:bottom w:val="single" w:color="auto" w:sz="4" w:space="0"/>
              <w:right w:val="nil"/>
            </w:tcBorders>
            <w:vAlign w:val="center"/>
          </w:tcPr>
          <w:p w14:paraId="06683D4B">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leftChars="0" w:right="0" w:rightChars="0"/>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R</w:t>
            </w:r>
            <w:r>
              <w:rPr>
                <w:rFonts w:hint="default" w:ascii="Times New Roman" w:hAnsi="Times New Roman" w:cs="Times New Roman"/>
                <w:b w:val="0"/>
                <w:bCs w:val="0"/>
                <w:sz w:val="20"/>
                <w:szCs w:val="20"/>
                <w:vertAlign w:val="superscript"/>
                <w:lang w:val="en-US" w:eastAsia="zh-CN"/>
              </w:rPr>
              <w:t>2</w:t>
            </w:r>
          </w:p>
        </w:tc>
        <w:tc>
          <w:tcPr>
            <w:tcW w:w="1133" w:type="pct"/>
            <w:tcBorders>
              <w:left w:val="nil"/>
              <w:bottom w:val="single" w:color="auto" w:sz="4" w:space="0"/>
              <w:right w:val="nil"/>
            </w:tcBorders>
            <w:vAlign w:val="center"/>
          </w:tcPr>
          <w:p w14:paraId="4ED4BEDD">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leftChars="0" w:right="0" w:rightChars="0"/>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AICc</w:t>
            </w:r>
          </w:p>
        </w:tc>
      </w:tr>
      <w:tr w14:paraId="0C53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9" w:type="pct"/>
            <w:tcBorders>
              <w:top w:val="single" w:color="auto" w:sz="4" w:space="0"/>
              <w:left w:val="nil"/>
              <w:bottom w:val="nil"/>
              <w:right w:val="nil"/>
            </w:tcBorders>
            <w:vAlign w:val="center"/>
          </w:tcPr>
          <w:p w14:paraId="7E7DF148">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50:50</w:t>
            </w:r>
          </w:p>
        </w:tc>
        <w:tc>
          <w:tcPr>
            <w:tcW w:w="523" w:type="pct"/>
            <w:tcBorders>
              <w:top w:val="single" w:color="auto" w:sz="4" w:space="0"/>
              <w:left w:val="nil"/>
              <w:bottom w:val="nil"/>
              <w:right w:val="nil"/>
            </w:tcBorders>
            <w:vAlign w:val="center"/>
          </w:tcPr>
          <w:p w14:paraId="34C5C399">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2030</w:t>
            </w:r>
          </w:p>
        </w:tc>
        <w:tc>
          <w:tcPr>
            <w:tcW w:w="458" w:type="pct"/>
            <w:tcBorders>
              <w:top w:val="single" w:color="auto" w:sz="4" w:space="0"/>
              <w:left w:val="nil"/>
              <w:bottom w:val="nil"/>
              <w:right w:val="nil"/>
            </w:tcBorders>
            <w:vAlign w:val="center"/>
          </w:tcPr>
          <w:p w14:paraId="20B74118">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206</w:t>
            </w:r>
          </w:p>
        </w:tc>
        <w:tc>
          <w:tcPr>
            <w:tcW w:w="524" w:type="pct"/>
            <w:tcBorders>
              <w:top w:val="single" w:color="auto" w:sz="4" w:space="0"/>
              <w:left w:val="nil"/>
              <w:bottom w:val="nil"/>
              <w:right w:val="nil"/>
            </w:tcBorders>
            <w:vAlign w:val="center"/>
          </w:tcPr>
          <w:p w14:paraId="2C0CEB81">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896</w:t>
            </w:r>
          </w:p>
        </w:tc>
        <w:tc>
          <w:tcPr>
            <w:tcW w:w="514" w:type="pct"/>
            <w:tcBorders>
              <w:top w:val="single" w:color="auto" w:sz="4" w:space="0"/>
              <w:left w:val="nil"/>
              <w:bottom w:val="nil"/>
              <w:right w:val="nil"/>
            </w:tcBorders>
            <w:vAlign w:val="center"/>
          </w:tcPr>
          <w:p w14:paraId="5C2AD04B">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52</w:t>
            </w:r>
          </w:p>
        </w:tc>
        <w:tc>
          <w:tcPr>
            <w:tcW w:w="566" w:type="pct"/>
            <w:tcBorders>
              <w:top w:val="single" w:color="auto" w:sz="4" w:space="0"/>
              <w:left w:val="nil"/>
              <w:bottom w:val="nil"/>
              <w:right w:val="nil"/>
            </w:tcBorders>
            <w:vAlign w:val="center"/>
          </w:tcPr>
          <w:p w14:paraId="1673D76E">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leftChars="0" w:right="0" w:rightChars="0"/>
              <w:jc w:val="both"/>
              <w:textAlignment w:val="auto"/>
              <w:rPr>
                <w:rFonts w:hint="default" w:ascii="Times New Roman" w:hAnsi="Times New Roman" w:cs="Times New Roman"/>
                <w:b w:val="0"/>
                <w:bCs w:val="0"/>
                <w:sz w:val="20"/>
                <w:szCs w:val="20"/>
                <w:lang w:val="en-US" w:eastAsia="zh-CN"/>
              </w:rPr>
            </w:pPr>
            <w:r>
              <w:rPr>
                <w:rFonts w:hint="eastAsia" w:ascii="Times New Roman" w:hAnsi="Times New Roman" w:cs="Times New Roman"/>
                <w:b w:val="0"/>
                <w:bCs w:val="0"/>
                <w:sz w:val="20"/>
                <w:szCs w:val="20"/>
                <w:lang w:val="en-US" w:eastAsia="zh-CN"/>
              </w:rPr>
              <w:t>0.572</w:t>
            </w:r>
          </w:p>
        </w:tc>
        <w:tc>
          <w:tcPr>
            <w:tcW w:w="1133" w:type="pct"/>
            <w:tcBorders>
              <w:top w:val="single" w:color="auto" w:sz="4" w:space="0"/>
              <w:left w:val="nil"/>
              <w:bottom w:val="nil"/>
              <w:right w:val="nil"/>
            </w:tcBorders>
            <w:vAlign w:val="center"/>
          </w:tcPr>
          <w:p w14:paraId="3B92F1A9">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leftChars="0" w:right="0" w:rightChars="0"/>
              <w:jc w:val="both"/>
              <w:textAlignment w:val="auto"/>
              <w:rPr>
                <w:rFonts w:hint="default" w:ascii="Times New Roman" w:hAnsi="Times New Roman" w:cs="Times New Roman"/>
                <w:b w:val="0"/>
                <w:bCs w:val="0"/>
                <w:sz w:val="20"/>
                <w:szCs w:val="20"/>
                <w:lang w:val="en-US" w:eastAsia="zh-CN"/>
              </w:rPr>
            </w:pPr>
            <w:r>
              <w:rPr>
                <w:rFonts w:hint="eastAsia" w:ascii="Times New Roman" w:hAnsi="Times New Roman" w:cs="Times New Roman"/>
                <w:b w:val="0"/>
                <w:bCs w:val="0"/>
                <w:sz w:val="20"/>
                <w:szCs w:val="20"/>
                <w:lang w:val="en-US" w:eastAsia="zh-CN"/>
              </w:rPr>
              <w:t>-8548.967218</w:t>
            </w:r>
          </w:p>
        </w:tc>
      </w:tr>
      <w:tr w14:paraId="65AC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9" w:type="pct"/>
            <w:tcBorders>
              <w:top w:val="nil"/>
              <w:left w:val="nil"/>
              <w:bottom w:val="nil"/>
              <w:right w:val="nil"/>
            </w:tcBorders>
            <w:vAlign w:val="center"/>
          </w:tcPr>
          <w:p w14:paraId="2F267E3D">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60:40</w:t>
            </w:r>
          </w:p>
        </w:tc>
        <w:tc>
          <w:tcPr>
            <w:tcW w:w="523" w:type="pct"/>
            <w:tcBorders>
              <w:top w:val="nil"/>
              <w:left w:val="nil"/>
              <w:bottom w:val="nil"/>
              <w:right w:val="nil"/>
            </w:tcBorders>
            <w:vAlign w:val="center"/>
          </w:tcPr>
          <w:p w14:paraId="2304245F">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1758</w:t>
            </w:r>
          </w:p>
        </w:tc>
        <w:tc>
          <w:tcPr>
            <w:tcW w:w="458" w:type="pct"/>
            <w:tcBorders>
              <w:top w:val="nil"/>
              <w:left w:val="nil"/>
              <w:bottom w:val="nil"/>
              <w:right w:val="nil"/>
            </w:tcBorders>
            <w:vAlign w:val="center"/>
          </w:tcPr>
          <w:p w14:paraId="29459E07">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284</w:t>
            </w:r>
          </w:p>
        </w:tc>
        <w:tc>
          <w:tcPr>
            <w:tcW w:w="524" w:type="pct"/>
            <w:tcBorders>
              <w:top w:val="nil"/>
              <w:left w:val="nil"/>
              <w:bottom w:val="nil"/>
              <w:right w:val="nil"/>
            </w:tcBorders>
            <w:vAlign w:val="center"/>
          </w:tcPr>
          <w:p w14:paraId="0C255157">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896</w:t>
            </w:r>
          </w:p>
        </w:tc>
        <w:tc>
          <w:tcPr>
            <w:tcW w:w="514" w:type="pct"/>
            <w:tcBorders>
              <w:top w:val="nil"/>
              <w:left w:val="nil"/>
              <w:bottom w:val="nil"/>
              <w:right w:val="nil"/>
            </w:tcBorders>
            <w:vAlign w:val="center"/>
          </w:tcPr>
          <w:p w14:paraId="71828974">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52</w:t>
            </w:r>
          </w:p>
        </w:tc>
        <w:tc>
          <w:tcPr>
            <w:tcW w:w="566" w:type="pct"/>
            <w:tcBorders>
              <w:top w:val="nil"/>
              <w:left w:val="nil"/>
              <w:bottom w:val="nil"/>
              <w:right w:val="nil"/>
            </w:tcBorders>
            <w:vAlign w:val="center"/>
          </w:tcPr>
          <w:p w14:paraId="695E8458">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leftChars="0" w:right="0" w:rightChars="0"/>
              <w:jc w:val="both"/>
              <w:textAlignment w:val="auto"/>
              <w:rPr>
                <w:rFonts w:hint="default" w:ascii="Times New Roman" w:hAnsi="Times New Roman" w:cs="Times New Roman"/>
                <w:b w:val="0"/>
                <w:bCs w:val="0"/>
                <w:sz w:val="20"/>
                <w:szCs w:val="20"/>
                <w:lang w:val="en-US" w:eastAsia="zh-CN"/>
              </w:rPr>
            </w:pPr>
            <w:r>
              <w:rPr>
                <w:rFonts w:hint="eastAsia" w:ascii="Times New Roman" w:hAnsi="Times New Roman" w:cs="Times New Roman"/>
                <w:b w:val="0"/>
                <w:bCs w:val="0"/>
                <w:sz w:val="20"/>
                <w:szCs w:val="20"/>
                <w:lang w:val="en-US" w:eastAsia="zh-CN"/>
              </w:rPr>
              <w:t>0.672</w:t>
            </w:r>
          </w:p>
        </w:tc>
        <w:tc>
          <w:tcPr>
            <w:tcW w:w="1133" w:type="pct"/>
            <w:tcBorders>
              <w:top w:val="nil"/>
              <w:left w:val="nil"/>
              <w:bottom w:val="nil"/>
              <w:right w:val="nil"/>
            </w:tcBorders>
            <w:vAlign w:val="center"/>
          </w:tcPr>
          <w:p w14:paraId="3E2BA4AD">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leftChars="0" w:right="0" w:rightChars="0"/>
              <w:jc w:val="both"/>
              <w:textAlignment w:val="auto"/>
              <w:rPr>
                <w:rFonts w:hint="default" w:ascii="Times New Roman" w:hAnsi="Times New Roman" w:cs="Times New Roman"/>
                <w:b w:val="0"/>
                <w:bCs w:val="0"/>
                <w:sz w:val="20"/>
                <w:szCs w:val="20"/>
                <w:lang w:val="en-US" w:eastAsia="zh-CN"/>
              </w:rPr>
            </w:pPr>
            <w:r>
              <w:rPr>
                <w:rFonts w:hint="eastAsia" w:ascii="Times New Roman" w:hAnsi="Times New Roman" w:cs="Times New Roman"/>
                <w:b w:val="0"/>
                <w:bCs w:val="0"/>
                <w:sz w:val="20"/>
                <w:szCs w:val="20"/>
                <w:lang w:val="en-US" w:eastAsia="zh-CN"/>
              </w:rPr>
              <w:t>-8447.96112</w:t>
            </w:r>
          </w:p>
        </w:tc>
      </w:tr>
      <w:tr w14:paraId="0E01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9" w:type="pct"/>
            <w:tcBorders>
              <w:top w:val="nil"/>
              <w:left w:val="nil"/>
              <w:bottom w:val="nil"/>
              <w:right w:val="nil"/>
            </w:tcBorders>
            <w:vAlign w:val="center"/>
          </w:tcPr>
          <w:p w14:paraId="23F0CDB5">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70:30</w:t>
            </w:r>
          </w:p>
        </w:tc>
        <w:tc>
          <w:tcPr>
            <w:tcW w:w="523" w:type="pct"/>
            <w:tcBorders>
              <w:top w:val="nil"/>
              <w:left w:val="nil"/>
              <w:bottom w:val="nil"/>
              <w:right w:val="nil"/>
            </w:tcBorders>
            <w:vAlign w:val="center"/>
          </w:tcPr>
          <w:p w14:paraId="3DC5FED5">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1348</w:t>
            </w:r>
          </w:p>
        </w:tc>
        <w:tc>
          <w:tcPr>
            <w:tcW w:w="458" w:type="pct"/>
            <w:tcBorders>
              <w:top w:val="nil"/>
              <w:left w:val="nil"/>
              <w:bottom w:val="nil"/>
              <w:right w:val="nil"/>
            </w:tcBorders>
            <w:vAlign w:val="center"/>
          </w:tcPr>
          <w:p w14:paraId="4A4E36AE">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340</w:t>
            </w:r>
          </w:p>
        </w:tc>
        <w:tc>
          <w:tcPr>
            <w:tcW w:w="524" w:type="pct"/>
            <w:tcBorders>
              <w:top w:val="nil"/>
              <w:left w:val="nil"/>
              <w:bottom w:val="nil"/>
              <w:right w:val="nil"/>
            </w:tcBorders>
            <w:vAlign w:val="center"/>
          </w:tcPr>
          <w:p w14:paraId="4639B652">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2080</w:t>
            </w:r>
          </w:p>
        </w:tc>
        <w:tc>
          <w:tcPr>
            <w:tcW w:w="514" w:type="pct"/>
            <w:tcBorders>
              <w:top w:val="nil"/>
              <w:left w:val="nil"/>
              <w:bottom w:val="nil"/>
              <w:right w:val="nil"/>
            </w:tcBorders>
            <w:vAlign w:val="center"/>
          </w:tcPr>
          <w:p w14:paraId="6A41B0DB">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44</w:t>
            </w:r>
          </w:p>
        </w:tc>
        <w:tc>
          <w:tcPr>
            <w:tcW w:w="566" w:type="pct"/>
            <w:tcBorders>
              <w:top w:val="nil"/>
              <w:left w:val="nil"/>
              <w:bottom w:val="nil"/>
              <w:right w:val="nil"/>
            </w:tcBorders>
            <w:vAlign w:val="center"/>
          </w:tcPr>
          <w:p w14:paraId="7D37F632">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leftChars="0" w:right="0" w:rightChars="0"/>
              <w:jc w:val="both"/>
              <w:textAlignment w:val="auto"/>
              <w:rPr>
                <w:rFonts w:hint="default" w:ascii="Times New Roman" w:hAnsi="Times New Roman" w:cs="Times New Roman"/>
                <w:b w:val="0"/>
                <w:bCs w:val="0"/>
                <w:sz w:val="20"/>
                <w:szCs w:val="20"/>
                <w:lang w:val="en-US" w:eastAsia="zh-CN"/>
              </w:rPr>
            </w:pPr>
            <w:r>
              <w:rPr>
                <w:rFonts w:hint="eastAsia" w:ascii="Times New Roman" w:hAnsi="Times New Roman" w:cs="Times New Roman"/>
                <w:b w:val="0"/>
                <w:bCs w:val="0"/>
                <w:sz w:val="20"/>
                <w:szCs w:val="20"/>
                <w:lang w:val="en-US" w:eastAsia="zh-CN"/>
              </w:rPr>
              <w:t>0.721</w:t>
            </w:r>
          </w:p>
        </w:tc>
        <w:tc>
          <w:tcPr>
            <w:tcW w:w="1133" w:type="pct"/>
            <w:tcBorders>
              <w:top w:val="nil"/>
              <w:left w:val="nil"/>
              <w:bottom w:val="nil"/>
              <w:right w:val="nil"/>
            </w:tcBorders>
            <w:vAlign w:val="center"/>
          </w:tcPr>
          <w:p w14:paraId="323E0EF3">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leftChars="0" w:right="0" w:rightChars="0"/>
              <w:jc w:val="both"/>
              <w:textAlignment w:val="auto"/>
              <w:rPr>
                <w:rFonts w:hint="default" w:ascii="Times New Roman" w:hAnsi="Times New Roman" w:cs="Times New Roman"/>
                <w:b w:val="0"/>
                <w:bCs w:val="0"/>
                <w:sz w:val="20"/>
                <w:szCs w:val="20"/>
                <w:lang w:val="en-US" w:eastAsia="zh-CN"/>
              </w:rPr>
            </w:pPr>
            <w:r>
              <w:rPr>
                <w:rFonts w:hint="eastAsia" w:ascii="Times New Roman" w:hAnsi="Times New Roman" w:cs="Times New Roman"/>
                <w:b w:val="0"/>
                <w:bCs w:val="0"/>
                <w:sz w:val="20"/>
                <w:szCs w:val="20"/>
                <w:lang w:val="en-US" w:eastAsia="zh-CN"/>
              </w:rPr>
              <w:t>-8150.191837</w:t>
            </w:r>
          </w:p>
        </w:tc>
      </w:tr>
      <w:tr w14:paraId="1BC7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9" w:type="pct"/>
            <w:tcBorders>
              <w:top w:val="nil"/>
              <w:left w:val="nil"/>
              <w:right w:val="nil"/>
            </w:tcBorders>
            <w:vAlign w:val="center"/>
          </w:tcPr>
          <w:p w14:paraId="037856E5">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Reverse</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lang w:val="en-US" w:eastAsia="zh-CN"/>
              </w:rPr>
              <w:t>NDWI</w:t>
            </w:r>
          </w:p>
        </w:tc>
        <w:tc>
          <w:tcPr>
            <w:tcW w:w="523" w:type="pct"/>
            <w:tcBorders>
              <w:top w:val="nil"/>
              <w:left w:val="nil"/>
              <w:right w:val="nil"/>
            </w:tcBorders>
            <w:vAlign w:val="center"/>
          </w:tcPr>
          <w:p w14:paraId="61C68C2E">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656</w:t>
            </w:r>
          </w:p>
        </w:tc>
        <w:tc>
          <w:tcPr>
            <w:tcW w:w="458" w:type="pct"/>
            <w:tcBorders>
              <w:top w:val="nil"/>
              <w:left w:val="nil"/>
              <w:right w:val="nil"/>
            </w:tcBorders>
            <w:vAlign w:val="center"/>
          </w:tcPr>
          <w:p w14:paraId="2E6167AA">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658</w:t>
            </w:r>
          </w:p>
        </w:tc>
        <w:tc>
          <w:tcPr>
            <w:tcW w:w="524" w:type="pct"/>
            <w:tcBorders>
              <w:top w:val="nil"/>
              <w:left w:val="nil"/>
              <w:right w:val="nil"/>
            </w:tcBorders>
            <w:vAlign w:val="center"/>
          </w:tcPr>
          <w:p w14:paraId="337F1AB1">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2082</w:t>
            </w:r>
          </w:p>
        </w:tc>
        <w:tc>
          <w:tcPr>
            <w:tcW w:w="514" w:type="pct"/>
            <w:tcBorders>
              <w:top w:val="nil"/>
              <w:left w:val="nil"/>
              <w:right w:val="nil"/>
            </w:tcBorders>
            <w:vAlign w:val="center"/>
          </w:tcPr>
          <w:p w14:paraId="728C3DC2">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46</w:t>
            </w:r>
          </w:p>
        </w:tc>
        <w:tc>
          <w:tcPr>
            <w:tcW w:w="566" w:type="pct"/>
            <w:tcBorders>
              <w:top w:val="nil"/>
              <w:left w:val="nil"/>
              <w:right w:val="nil"/>
            </w:tcBorders>
            <w:vAlign w:val="center"/>
          </w:tcPr>
          <w:p w14:paraId="03C81313">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leftChars="0" w:right="0" w:rightChars="0"/>
              <w:jc w:val="both"/>
              <w:textAlignment w:val="auto"/>
              <w:rPr>
                <w:rFonts w:hint="default" w:ascii="Times New Roman" w:hAnsi="Times New Roman" w:cs="Times New Roman"/>
                <w:b w:val="0"/>
                <w:bCs w:val="0"/>
                <w:sz w:val="20"/>
                <w:szCs w:val="20"/>
                <w:lang w:val="en-US" w:eastAsia="zh-CN"/>
              </w:rPr>
            </w:pPr>
            <w:r>
              <w:rPr>
                <w:rFonts w:hint="eastAsia" w:ascii="Times New Roman" w:hAnsi="Times New Roman" w:cs="Times New Roman"/>
                <w:b w:val="0"/>
                <w:bCs w:val="0"/>
                <w:sz w:val="20"/>
                <w:szCs w:val="20"/>
                <w:lang w:val="en-US" w:eastAsia="zh-CN"/>
              </w:rPr>
              <w:t>0.665</w:t>
            </w:r>
          </w:p>
        </w:tc>
        <w:tc>
          <w:tcPr>
            <w:tcW w:w="1133" w:type="pct"/>
            <w:tcBorders>
              <w:top w:val="nil"/>
              <w:left w:val="nil"/>
              <w:right w:val="nil"/>
            </w:tcBorders>
            <w:vAlign w:val="center"/>
          </w:tcPr>
          <w:p w14:paraId="319234BF">
            <w:pPr>
              <w:pStyle w:val="3"/>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leftChars="0" w:right="0" w:rightChars="0"/>
              <w:jc w:val="both"/>
              <w:textAlignment w:val="auto"/>
              <w:rPr>
                <w:rFonts w:hint="default" w:ascii="Times New Roman" w:hAnsi="Times New Roman" w:cs="Times New Roman"/>
                <w:b w:val="0"/>
                <w:bCs w:val="0"/>
                <w:sz w:val="20"/>
                <w:szCs w:val="20"/>
                <w:lang w:val="en-US" w:eastAsia="zh-CN"/>
              </w:rPr>
            </w:pPr>
            <w:r>
              <w:rPr>
                <w:rFonts w:hint="eastAsia" w:ascii="Times New Roman" w:hAnsi="Times New Roman" w:cs="Times New Roman"/>
                <w:b w:val="0"/>
                <w:bCs w:val="0"/>
                <w:sz w:val="20"/>
                <w:szCs w:val="20"/>
                <w:lang w:val="en-US" w:eastAsia="zh-CN"/>
              </w:rPr>
              <w:t>-7914.168934</w:t>
            </w:r>
          </w:p>
        </w:tc>
      </w:tr>
    </w:tbl>
    <w:p w14:paraId="21FDE8E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480" w:firstLineChars="200"/>
        <w:jc w:val="both"/>
        <w:textAlignment w:val="auto"/>
        <w:rPr>
          <w:rFonts w:hint="default" w:ascii="Times New Roman" w:hAnsi="Times New Roman" w:cs="Times New Roman"/>
        </w:rPr>
      </w:pPr>
      <w:r>
        <w:rPr>
          <w:rFonts w:hint="default" w:ascii="Times New Roman" w:hAnsi="Times New Roman" w:cs="Times New Roman"/>
          <w:highlight w:val="none"/>
        </w:rPr>
        <w:t>Note: R</w:t>
      </w:r>
      <w:r>
        <w:rPr>
          <w:rFonts w:hint="default" w:ascii="Times New Roman" w:hAnsi="Times New Roman" w:cs="Times New Roman"/>
          <w:highlight w:val="none"/>
          <w:vertAlign w:val="superscript"/>
        </w:rPr>
        <w:t>2</w:t>
      </w:r>
      <w:r>
        <w:rPr>
          <w:rFonts w:hint="default" w:ascii="Times New Roman" w:hAnsi="Times New Roman" w:cs="Times New Roman"/>
          <w:highlight w:val="none"/>
        </w:rPr>
        <w:t xml:space="preserve"> and AICc are reported as model-fit statistics. Bandwidths represent adaptive nearest-neighbor counts. Because the dependent variable differs across RSHI specifications, model-fit statistics are interpreted descriptively rather than used alone to select an optimal weighting scheme.</w:t>
      </w:r>
      <w:bookmarkStart w:id="0" w:name="_GoBack"/>
      <w:bookmarkEnd w:id="0"/>
    </w:p>
    <w:sectPr>
      <w:pgSz w:w="11906" w:h="16838"/>
      <w:pgMar w:top="1440" w:right="1800" w:bottom="1440" w:left="1800" w:header="851" w:footer="992" w:gutter="0"/>
      <w:pgBorders w:offsetFrom="page">
        <w:top w:val="none" w:sz="0" w:space="0"/>
        <w:left w:val="none" w:sz="0" w:space="0"/>
        <w:bottom w:val="none" w:sz="0" w:space="0"/>
        <w:right w:val="none" w:sz="0" w:space="0"/>
      </w:pgBorders>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34713C"/>
    <w:rsid w:val="3F9B22EA"/>
    <w:rsid w:val="4634713C"/>
    <w:rsid w:val="7E3808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19</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2026-10-14T08:13:00Z</dcterms:created>
  <dc:creator>企业用户_679361391</dc:creator>
  <cp:lastModifiedBy>企业用户_679361391</cp:lastModifiedBy>
  <dcterms:modified xsi:type="dcterms:W3CDTF">2026-10-14T09:34:37Z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983A4969760C410F87478E7287A49A67_11</vt:lpwstr>
  </property>
  <property fmtid="{D5CDD505-2E9C-101B-9397-08002B2CF9AE}" pid="4" name="KSOTemplateDocerSaveRecord">
    <vt:lpwstr>eyJoZGlkIjoiYTU3MjAzOGI1ZWM1NjI3YTE0MjIzZDIwNTMwM2NhZjEiLCJ1c2VySWQiOiIxNjQ0MDM5NDI4In0=</vt:lpwstr>
  </property>
</Properties>
</file>