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AB" w:rsidRDefault="00E853AB" w:rsidP="00E853AB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 materials</w:t>
      </w: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The effects of residential surrounding </w:t>
      </w:r>
      <w:r>
        <w:rPr>
          <w:rFonts w:ascii="Times New Roman" w:hAnsi="Times New Roman" w:cs="Times New Roman" w:hint="eastAsia"/>
          <w:b/>
          <w:bCs/>
        </w:rPr>
        <w:t>greenness</w:t>
      </w:r>
      <w:r>
        <w:rPr>
          <w:rFonts w:ascii="Times New Roman" w:hAnsi="Times New Roman" w:cs="Times New Roman"/>
          <w:b/>
          <w:bCs/>
        </w:rPr>
        <w:t xml:space="preserve"> exposure on hypertension incidence among Chinese oldest old: A 10-year prospective cohort study </w:t>
      </w:r>
      <w:r>
        <w:rPr>
          <w:rFonts w:ascii="Times New Roman" w:hAnsi="Times New Roman" w:cs="Times New Roman"/>
        </w:rPr>
        <w:t xml:space="preserve"> </w:t>
      </w:r>
    </w:p>
    <w:p w:rsidR="00E853AB" w:rsidRDefault="00E853AB" w:rsidP="00E853A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Contents </w:t>
      </w:r>
    </w:p>
    <w:p w:rsidR="00E853AB" w:rsidRDefault="00E853AB" w:rsidP="00E853A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S1 </w:t>
      </w:r>
      <w:r>
        <w:rPr>
          <w:rFonts w:ascii="Times New Roman" w:hAnsi="Times New Roman" w:cs="Times New Roman"/>
        </w:rPr>
        <w:t>The spatial distribution of NDVI/EVI value at baseline across China</w:t>
      </w:r>
    </w:p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S2</w:t>
      </w:r>
      <w:r>
        <w:rPr>
          <w:rFonts w:ascii="Times New Roman" w:hAnsi="Times New Roman" w:cs="Times New Roman"/>
        </w:rPr>
        <w:t xml:space="preserve"> Non-liner association between NDVI and hypertension incidence risk</w:t>
      </w:r>
    </w:p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S3</w:t>
      </w:r>
      <w:r>
        <w:rPr>
          <w:rFonts w:ascii="Times New Roman" w:hAnsi="Times New Roman" w:cs="Times New Roman"/>
        </w:rPr>
        <w:t xml:space="preserve"> Non-liner association between EVI and hypertension incidence risk</w:t>
      </w:r>
    </w:p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</w:rPr>
        <w:t xml:space="preserve"> Window periods analysis for the association between </w:t>
      </w:r>
      <w:r>
        <w:rPr>
          <w:rFonts w:ascii="Times New Roman" w:hAnsi="Times New Roman" w:cs="Times New Roman" w:hint="eastAsia"/>
        </w:rPr>
        <w:t>greenness</w:t>
      </w:r>
      <w:r>
        <w:rPr>
          <w:rFonts w:ascii="Times New Roman" w:hAnsi="Times New Roman" w:cs="Times New Roman"/>
        </w:rPr>
        <w:t xml:space="preserve"> exposure and hypertension incidence </w:t>
      </w:r>
    </w:p>
    <w:p w:rsidR="00E853AB" w:rsidRDefault="00E853AB" w:rsidP="00E853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S2</w:t>
      </w:r>
      <w:r>
        <w:rPr>
          <w:rFonts w:ascii="Times New Roman" w:hAnsi="Times New Roman" w:cs="Times New Roman"/>
        </w:rPr>
        <w:t xml:space="preserve"> Sensitivity analysis for the association between </w:t>
      </w:r>
      <w:r>
        <w:rPr>
          <w:rFonts w:ascii="Times New Roman" w:hAnsi="Times New Roman" w:cs="Times New Roman" w:hint="eastAsia"/>
        </w:rPr>
        <w:t>greenness</w:t>
      </w:r>
      <w:r>
        <w:rPr>
          <w:rFonts w:ascii="Times New Roman" w:hAnsi="Times New Roman" w:cs="Times New Roman"/>
        </w:rPr>
        <w:t xml:space="preserve"> exposure and hypertension incidence</w:t>
      </w:r>
    </w:p>
    <w:p w:rsidR="00E853AB" w:rsidRDefault="00E853AB" w:rsidP="00E853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S3 </w:t>
      </w:r>
      <w:r>
        <w:rPr>
          <w:rFonts w:ascii="Times New Roman" w:hAnsi="Times New Roman" w:cs="Times New Roman"/>
        </w:rPr>
        <w:t xml:space="preserve">Sensitivity analysis for the association between </w:t>
      </w:r>
      <w:r>
        <w:rPr>
          <w:rFonts w:ascii="Times New Roman" w:hAnsi="Times New Roman" w:cs="Times New Roman" w:hint="eastAsia"/>
        </w:rPr>
        <w:t>greenness</w:t>
      </w:r>
      <w:r>
        <w:rPr>
          <w:rFonts w:ascii="Times New Roman" w:hAnsi="Times New Roman" w:cs="Times New Roman"/>
        </w:rPr>
        <w:t xml:space="preserve"> exposure and hypertension incidence after excluding participants </w:t>
      </w:r>
    </w:p>
    <w:p w:rsidR="00E853AB" w:rsidRDefault="00E853AB" w:rsidP="00E853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Table S4 </w:t>
      </w:r>
      <w:r>
        <w:rPr>
          <w:rFonts w:ascii="Times New Roman" w:hAnsi="Times New Roman" w:cs="Times New Roman" w:hint="eastAsia"/>
        </w:rPr>
        <w:t>The mediation effect of various mediators on the association between greenness exposure and hypertension</w:t>
      </w:r>
    </w:p>
    <w:p w:rsidR="00E853AB" w:rsidRDefault="00E853AB" w:rsidP="00E853AB">
      <w:pPr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114300" distR="114300" wp14:anchorId="7B6AFBC4" wp14:editId="524990BA">
            <wp:extent cx="5663565" cy="3903345"/>
            <wp:effectExtent l="0" t="0" r="13335" b="1905"/>
            <wp:docPr id="1" name="图片 1" descr="16343832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4383224(1)"/>
                    <pic:cNvPicPr>
                      <a:picLocks noChangeAspect="1"/>
                    </pic:cNvPicPr>
                  </pic:nvPicPr>
                  <pic:blipFill>
                    <a:blip r:embed="rId4"/>
                    <a:srcRect t="227" r="1978" b="2068"/>
                    <a:stretch>
                      <a:fillRect/>
                    </a:stretch>
                  </pic:blipFill>
                  <pic:spPr>
                    <a:xfrm>
                      <a:off x="0" y="0"/>
                      <a:ext cx="5663565" cy="39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S1 The spatial distribution of NDVI/EVI value at baseline across China</w:t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</w:p>
    <w:p w:rsidR="00E853AB" w:rsidRDefault="00E853AB" w:rsidP="00E853AB">
      <w:pPr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</w:p>
    <w:p w:rsidR="00E853AB" w:rsidRDefault="00E853AB" w:rsidP="00E853AB">
      <w:pPr>
        <w:rPr>
          <w:rFonts w:ascii="Times New Roman" w:hAnsi="Times New Roman" w:cs="Times New Roman"/>
          <w:b/>
          <w:bCs/>
        </w:rPr>
      </w:pPr>
      <w:r>
        <w:rPr>
          <w:noProof/>
          <w:lang w:eastAsia="en-US"/>
        </w:rPr>
        <w:lastRenderedPageBreak/>
        <w:drawing>
          <wp:inline distT="0" distB="0" distL="114300" distR="114300" wp14:anchorId="6B421997" wp14:editId="61DCB6E1">
            <wp:extent cx="5265420" cy="3259455"/>
            <wp:effectExtent l="0" t="0" r="11430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5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Non-liner association between NDVI-500 buffer and hypertension incidence risk (</w:t>
      </w:r>
      <w:r>
        <w:rPr>
          <w:rFonts w:ascii="Times New Roman" w:hAnsi="Times New Roman" w:cs="Times New Roman" w:hint="eastAsia"/>
          <w:b/>
          <w:bCs/>
        </w:rPr>
        <w:t xml:space="preserve">P for non-liner association was &lt;0.001; </w:t>
      </w:r>
      <w:proofErr w:type="spellStart"/>
      <w:r>
        <w:rPr>
          <w:rFonts w:ascii="Times New Roman" w:hAnsi="Times New Roman" w:cs="Times New Roman"/>
          <w:b/>
          <w:bCs/>
        </w:rPr>
        <w:t>df</w:t>
      </w:r>
      <w:proofErr w:type="spellEnd"/>
      <w:r>
        <w:rPr>
          <w:rFonts w:ascii="Times New Roman" w:hAnsi="Times New Roman" w:cs="Times New Roman"/>
          <w:b/>
          <w:bCs/>
        </w:rPr>
        <w:t>=4; reference was the lowest value and adjusted for age, living arrangement, PM</w:t>
      </w:r>
      <w:r>
        <w:rPr>
          <w:rFonts w:ascii="Times New Roman" w:hAnsi="Times New Roman" w:cs="Times New Roman"/>
          <w:b/>
          <w:bCs/>
          <w:vertAlign w:val="subscript"/>
        </w:rPr>
        <w:t>2.5</w:t>
      </w:r>
      <w:r>
        <w:rPr>
          <w:rFonts w:ascii="Times New Roman" w:hAnsi="Times New Roman" w:cs="Times New Roman"/>
          <w:b/>
          <w:bCs/>
        </w:rPr>
        <w:t xml:space="preserve">, regions, ADL, residence, gender, smoking, drinking, exercising, pension, </w:t>
      </w:r>
      <w:proofErr w:type="spellStart"/>
      <w:r>
        <w:rPr>
          <w:rFonts w:ascii="Times New Roman" w:hAnsi="Times New Roman" w:cs="Times New Roman"/>
          <w:b/>
          <w:bCs/>
        </w:rPr>
        <w:t>martial</w:t>
      </w:r>
      <w:proofErr w:type="spellEnd"/>
      <w:r>
        <w:rPr>
          <w:rFonts w:ascii="Times New Roman" w:hAnsi="Times New Roman" w:cs="Times New Roman"/>
          <w:b/>
          <w:bCs/>
        </w:rPr>
        <w:t xml:space="preserve"> status, education attainment, self-reported diabetes, self-reported heart disease, </w:t>
      </w:r>
      <w:r>
        <w:rPr>
          <w:rFonts w:ascii="Times New Roman" w:hAnsi="Times New Roman" w:cs="Times New Roman" w:hint="eastAsia"/>
          <w:b/>
          <w:bCs/>
        </w:rPr>
        <w:t>leisure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activity</w:t>
      </w:r>
      <w:r>
        <w:rPr>
          <w:rFonts w:ascii="Times New Roman" w:hAnsi="Times New Roman" w:cs="Times New Roman"/>
          <w:b/>
          <w:bCs/>
        </w:rPr>
        <w:t>, and BMI)</w:t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  <w:r>
        <w:rPr>
          <w:noProof/>
          <w:lang w:eastAsia="en-US"/>
        </w:rPr>
        <w:drawing>
          <wp:inline distT="0" distB="0" distL="114300" distR="114300" wp14:anchorId="6B60CDD9" wp14:editId="7BC5DE30">
            <wp:extent cx="5270500" cy="3250565"/>
            <wp:effectExtent l="0" t="0" r="6350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Non-liner association between EVI-500 buffer and hypertension incidence risk </w:t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 w:hint="eastAsia"/>
          <w:b/>
          <w:bCs/>
        </w:rPr>
        <w:t xml:space="preserve">P for non-liner association was 0.038; </w:t>
      </w:r>
      <w:proofErr w:type="spellStart"/>
      <w:r>
        <w:rPr>
          <w:rFonts w:ascii="Times New Roman" w:hAnsi="Times New Roman" w:cs="Times New Roman"/>
          <w:b/>
          <w:bCs/>
        </w:rPr>
        <w:t>df</w:t>
      </w:r>
      <w:proofErr w:type="spellEnd"/>
      <w:r>
        <w:rPr>
          <w:rFonts w:ascii="Times New Roman" w:hAnsi="Times New Roman" w:cs="Times New Roman"/>
          <w:b/>
          <w:bCs/>
        </w:rPr>
        <w:t>=4; reference was the lowest value and adjusted for age, living arrangement, PM</w:t>
      </w:r>
      <w:r>
        <w:rPr>
          <w:rFonts w:ascii="Times New Roman" w:hAnsi="Times New Roman" w:cs="Times New Roman"/>
          <w:b/>
          <w:bCs/>
          <w:vertAlign w:val="subscript"/>
        </w:rPr>
        <w:t>2.5</w:t>
      </w:r>
      <w:r>
        <w:rPr>
          <w:rFonts w:ascii="Times New Roman" w:hAnsi="Times New Roman" w:cs="Times New Roman"/>
          <w:b/>
          <w:bCs/>
        </w:rPr>
        <w:t xml:space="preserve">, regions, ADL, residence, gender, smoking, drinking, exercising, pension, </w:t>
      </w:r>
      <w:proofErr w:type="spellStart"/>
      <w:r>
        <w:rPr>
          <w:rFonts w:ascii="Times New Roman" w:hAnsi="Times New Roman" w:cs="Times New Roman"/>
          <w:b/>
          <w:bCs/>
        </w:rPr>
        <w:t>martial</w:t>
      </w:r>
      <w:proofErr w:type="spellEnd"/>
      <w:r>
        <w:rPr>
          <w:rFonts w:ascii="Times New Roman" w:hAnsi="Times New Roman" w:cs="Times New Roman"/>
          <w:b/>
          <w:bCs/>
        </w:rPr>
        <w:t xml:space="preserve"> status, education attainment, self-reported diabetes, self-reported heart disease, </w:t>
      </w:r>
      <w:r>
        <w:rPr>
          <w:rFonts w:ascii="Times New Roman" w:hAnsi="Times New Roman" w:cs="Times New Roman" w:hint="eastAsia"/>
          <w:b/>
          <w:bCs/>
        </w:rPr>
        <w:t>leisure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activity</w:t>
      </w:r>
      <w:r>
        <w:rPr>
          <w:rFonts w:ascii="Times New Roman" w:hAnsi="Times New Roman" w:cs="Times New Roman"/>
          <w:b/>
          <w:bCs/>
        </w:rPr>
        <w:t xml:space="preserve">, and </w:t>
      </w:r>
      <w:r>
        <w:rPr>
          <w:rFonts w:ascii="Times New Roman" w:hAnsi="Times New Roman" w:cs="Times New Roman"/>
          <w:b/>
          <w:bCs/>
        </w:rPr>
        <w:lastRenderedPageBreak/>
        <w:t>BMI)</w:t>
      </w:r>
    </w:p>
    <w:p w:rsidR="00E853AB" w:rsidRDefault="00E853AB" w:rsidP="00E853AB">
      <w:pPr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</w:p>
    <w:p w:rsidR="00E853AB" w:rsidRDefault="00E853AB" w:rsidP="00E853AB">
      <w:pPr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 Window periods analysis for the association between </w:t>
      </w:r>
      <w:r>
        <w:rPr>
          <w:rFonts w:ascii="Times New Roman" w:hAnsi="Times New Roman" w:cs="Times New Roman" w:hint="eastAsia"/>
          <w:b/>
          <w:bCs/>
        </w:rPr>
        <w:t>each 0.1-unit increment in greenness</w:t>
      </w:r>
      <w:r>
        <w:rPr>
          <w:rFonts w:ascii="Times New Roman" w:hAnsi="Times New Roman" w:cs="Times New Roman"/>
          <w:b/>
          <w:bCs/>
        </w:rPr>
        <w:t xml:space="preserve"> exposure and</w:t>
      </w:r>
      <w:r>
        <w:rPr>
          <w:rFonts w:ascii="Times New Roman" w:hAnsi="Times New Roman" w:cs="Times New Roman" w:hint="eastAsia"/>
          <w:b/>
          <w:bCs/>
        </w:rPr>
        <w:t xml:space="preserve"> hypertension</w:t>
      </w:r>
      <w:r>
        <w:rPr>
          <w:rFonts w:ascii="Times New Roman" w:hAnsi="Times New Roman" w:cs="Times New Roman"/>
          <w:b/>
          <w:bCs/>
        </w:rPr>
        <w:t xml:space="preserve"> *</w:t>
      </w:r>
    </w:p>
    <w:tbl>
      <w:tblPr>
        <w:tblStyle w:val="TableGrid"/>
        <w:tblW w:w="0" w:type="auto"/>
        <w:tblInd w:w="-5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1"/>
        <w:gridCol w:w="3059"/>
        <w:gridCol w:w="2908"/>
      </w:tblGrid>
      <w:tr w:rsidR="00E853AB" w:rsidTr="008D0295">
        <w:trPr>
          <w:trHeight w:val="313"/>
        </w:trPr>
        <w:tc>
          <w:tcPr>
            <w:tcW w:w="3111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</w:p>
        </w:tc>
        <w:tc>
          <w:tcPr>
            <w:tcW w:w="3059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NDVI</w:t>
            </w:r>
          </w:p>
        </w:tc>
        <w:tc>
          <w:tcPr>
            <w:tcW w:w="2908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EVI</w:t>
            </w:r>
          </w:p>
        </w:tc>
      </w:tr>
      <w:tr w:rsidR="00E853AB" w:rsidTr="008D0295">
        <w:trPr>
          <w:trHeight w:val="656"/>
        </w:trPr>
        <w:tc>
          <w:tcPr>
            <w:tcW w:w="3111" w:type="dxa"/>
          </w:tcPr>
          <w:p w:rsidR="00E853AB" w:rsidRDefault="00E853AB" w:rsidP="008D0295">
            <w:pPr>
              <w:jc w:val="center"/>
            </w:pPr>
            <w:r>
              <w:t xml:space="preserve">Average 2-year exposure </w:t>
            </w:r>
          </w:p>
        </w:tc>
        <w:tc>
          <w:tcPr>
            <w:tcW w:w="3059" w:type="dxa"/>
          </w:tcPr>
          <w:p w:rsidR="00E853AB" w:rsidRDefault="00E853AB" w:rsidP="008D0295">
            <w:pPr>
              <w:jc w:val="center"/>
            </w:pPr>
            <w:r>
              <w:rPr>
                <w:b/>
                <w:bCs/>
              </w:rPr>
              <w:t>0.82(0.76-0.90)</w:t>
            </w:r>
          </w:p>
        </w:tc>
        <w:tc>
          <w:tcPr>
            <w:tcW w:w="2908" w:type="dxa"/>
          </w:tcPr>
          <w:p w:rsidR="00E853AB" w:rsidRDefault="00E853AB" w:rsidP="008D0295">
            <w:pPr>
              <w:jc w:val="center"/>
            </w:pPr>
            <w:r>
              <w:rPr>
                <w:b/>
                <w:bCs/>
              </w:rPr>
              <w:t>0.82(0.76-0.90)</w:t>
            </w:r>
          </w:p>
        </w:tc>
      </w:tr>
      <w:tr w:rsidR="00E853AB" w:rsidTr="008D0295">
        <w:trPr>
          <w:trHeight w:val="664"/>
        </w:trPr>
        <w:tc>
          <w:tcPr>
            <w:tcW w:w="3111" w:type="dxa"/>
          </w:tcPr>
          <w:p w:rsidR="00E853AB" w:rsidRDefault="00E853AB" w:rsidP="008D0295">
            <w:pPr>
              <w:jc w:val="center"/>
            </w:pPr>
            <w:r>
              <w:t xml:space="preserve">Average 1-year exposure </w:t>
            </w:r>
          </w:p>
        </w:tc>
        <w:tc>
          <w:tcPr>
            <w:tcW w:w="3059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0.80 (0.74-0.87)</w:t>
            </w:r>
          </w:p>
        </w:tc>
        <w:tc>
          <w:tcPr>
            <w:tcW w:w="2908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0.68 </w:t>
            </w: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0.60-0.77</w:t>
            </w:r>
            <w:r>
              <w:rPr>
                <w:b/>
                <w:bCs/>
              </w:rPr>
              <w:t>)</w:t>
            </w:r>
          </w:p>
        </w:tc>
      </w:tr>
    </w:tbl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After adjusted for age, living arrangement, PM</w:t>
      </w:r>
      <w:r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, regions, ADL, residence, gender, smoking, drinking, exercising, pension, </w:t>
      </w:r>
      <w:proofErr w:type="spellStart"/>
      <w:r>
        <w:rPr>
          <w:rFonts w:ascii="Times New Roman" w:hAnsi="Times New Roman" w:cs="Times New Roman"/>
        </w:rPr>
        <w:t>martial</w:t>
      </w:r>
      <w:proofErr w:type="spellEnd"/>
      <w:r>
        <w:rPr>
          <w:rFonts w:ascii="Times New Roman" w:hAnsi="Times New Roman" w:cs="Times New Roman"/>
        </w:rPr>
        <w:t xml:space="preserve"> status, education attainment, self-reported diabetes, self-reported heart disease, leisure activity, and BMI.</w:t>
      </w:r>
    </w:p>
    <w:p w:rsidR="00E853AB" w:rsidRDefault="00E853AB" w:rsidP="00E853AB">
      <w:pPr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S2 Sensitivity analysis for the association between </w:t>
      </w:r>
      <w:r>
        <w:rPr>
          <w:rFonts w:ascii="Times New Roman" w:hAnsi="Times New Roman" w:cs="Times New Roman" w:hint="eastAsia"/>
          <w:b/>
          <w:bCs/>
        </w:rPr>
        <w:t xml:space="preserve">each </w:t>
      </w:r>
      <w:proofErr w:type="gramStart"/>
      <w:r>
        <w:rPr>
          <w:rFonts w:ascii="Times New Roman" w:hAnsi="Times New Roman" w:cs="Times New Roman" w:hint="eastAsia"/>
          <w:b/>
          <w:bCs/>
        </w:rPr>
        <w:t>one unit</w:t>
      </w:r>
      <w:proofErr w:type="gramEnd"/>
      <w:r>
        <w:rPr>
          <w:rFonts w:ascii="Times New Roman" w:hAnsi="Times New Roman" w:cs="Times New Roman" w:hint="eastAsia"/>
          <w:b/>
          <w:bCs/>
        </w:rPr>
        <w:t xml:space="preserve"> increase in greenness</w:t>
      </w:r>
      <w:r>
        <w:rPr>
          <w:rFonts w:ascii="Times New Roman" w:hAnsi="Times New Roman" w:cs="Times New Roman"/>
          <w:b/>
          <w:bCs/>
        </w:rPr>
        <w:t xml:space="preserve"> exposure and hypertension incidence* </w:t>
      </w:r>
    </w:p>
    <w:tbl>
      <w:tblPr>
        <w:tblStyle w:val="TableGrid"/>
        <w:tblW w:w="639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3072"/>
        <w:gridCol w:w="2130"/>
      </w:tblGrid>
      <w:tr w:rsidR="00E853AB" w:rsidTr="008D0295">
        <w:trPr>
          <w:trHeight w:val="317"/>
          <w:jc w:val="center"/>
        </w:trPr>
        <w:tc>
          <w:tcPr>
            <w:tcW w:w="1188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Buffer</w:t>
            </w:r>
          </w:p>
        </w:tc>
        <w:tc>
          <w:tcPr>
            <w:tcW w:w="3072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NDVI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EVI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1188" w:type="dxa"/>
          </w:tcPr>
          <w:p w:rsidR="00E853AB" w:rsidRDefault="00E853AB" w:rsidP="008D0295">
            <w:pPr>
              <w:jc w:val="center"/>
            </w:pPr>
            <w:r>
              <w:t>250</w:t>
            </w:r>
          </w:p>
        </w:tc>
        <w:tc>
          <w:tcPr>
            <w:tcW w:w="3072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0.83(0.76-0.90)</w:t>
            </w:r>
          </w:p>
        </w:tc>
        <w:tc>
          <w:tcPr>
            <w:tcW w:w="213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0.50(0.46-0.55)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1188" w:type="dxa"/>
          </w:tcPr>
          <w:p w:rsidR="00E853AB" w:rsidRDefault="00E853AB" w:rsidP="008D0295">
            <w:pPr>
              <w:jc w:val="center"/>
            </w:pPr>
            <w:r>
              <w:t>500</w:t>
            </w:r>
          </w:p>
        </w:tc>
        <w:tc>
          <w:tcPr>
            <w:tcW w:w="3072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0.80 (0.74-0.87)</w:t>
            </w:r>
          </w:p>
        </w:tc>
        <w:tc>
          <w:tcPr>
            <w:tcW w:w="213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0.68 </w:t>
            </w: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0.60-0.77</w:t>
            </w:r>
            <w:r>
              <w:rPr>
                <w:b/>
                <w:bCs/>
              </w:rPr>
              <w:t>)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1188" w:type="dxa"/>
          </w:tcPr>
          <w:p w:rsidR="00E853AB" w:rsidRDefault="00E853AB" w:rsidP="008D0295">
            <w:pPr>
              <w:jc w:val="center"/>
            </w:pPr>
            <w:r>
              <w:t>1000</w:t>
            </w:r>
          </w:p>
        </w:tc>
        <w:tc>
          <w:tcPr>
            <w:tcW w:w="3072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0.78(0.71-0.85)</w:t>
            </w:r>
          </w:p>
        </w:tc>
        <w:tc>
          <w:tcPr>
            <w:tcW w:w="213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0.52(0.48-0.58)</w:t>
            </w:r>
          </w:p>
        </w:tc>
      </w:tr>
    </w:tbl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After adjusted for age, living arrangement, PM</w:t>
      </w:r>
      <w:r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, regions, ADL, residence, gender, smoking, drinking, exercising, pension, </w:t>
      </w:r>
      <w:proofErr w:type="spellStart"/>
      <w:r>
        <w:rPr>
          <w:rFonts w:ascii="Times New Roman" w:hAnsi="Times New Roman" w:cs="Times New Roman"/>
        </w:rPr>
        <w:t>martial</w:t>
      </w:r>
      <w:proofErr w:type="spellEnd"/>
      <w:r>
        <w:rPr>
          <w:rFonts w:ascii="Times New Roman" w:hAnsi="Times New Roman" w:cs="Times New Roman"/>
        </w:rPr>
        <w:t xml:space="preserve"> status, education attainment, self-reported diabetes, self-reported heart disease, leisure activity, and BMI.</w:t>
      </w:r>
    </w:p>
    <w:p w:rsidR="00E853AB" w:rsidRDefault="00E853AB" w:rsidP="00E853A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S3 Sensitivity analysis for the association between </w:t>
      </w:r>
      <w:r>
        <w:rPr>
          <w:rFonts w:ascii="Times New Roman" w:hAnsi="Times New Roman" w:cs="Times New Roman" w:hint="eastAsia"/>
          <w:b/>
          <w:bCs/>
        </w:rPr>
        <w:t xml:space="preserve">each </w:t>
      </w:r>
      <w:proofErr w:type="gramStart"/>
      <w:r>
        <w:rPr>
          <w:rFonts w:ascii="Times New Roman" w:hAnsi="Times New Roman" w:cs="Times New Roman" w:hint="eastAsia"/>
          <w:b/>
          <w:bCs/>
        </w:rPr>
        <w:t>0.1 unit</w:t>
      </w:r>
      <w:proofErr w:type="gramEnd"/>
      <w:r>
        <w:rPr>
          <w:rFonts w:ascii="Times New Roman" w:hAnsi="Times New Roman" w:cs="Times New Roman" w:hint="eastAsia"/>
          <w:b/>
          <w:bCs/>
        </w:rPr>
        <w:t xml:space="preserve"> increase in greenness</w:t>
      </w:r>
      <w:r>
        <w:rPr>
          <w:rFonts w:ascii="Times New Roman" w:hAnsi="Times New Roman" w:cs="Times New Roman"/>
          <w:b/>
          <w:bCs/>
        </w:rPr>
        <w:t xml:space="preserve"> exposure and hypertension incidence after excluding participants* </w:t>
      </w:r>
    </w:p>
    <w:tbl>
      <w:tblPr>
        <w:tblStyle w:val="TableGrid"/>
        <w:tblW w:w="943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36"/>
        <w:gridCol w:w="2678"/>
        <w:gridCol w:w="2024"/>
      </w:tblGrid>
      <w:tr w:rsidR="00E853AB" w:rsidTr="008D0295">
        <w:trPr>
          <w:trHeight w:val="317"/>
          <w:jc w:val="center"/>
        </w:trPr>
        <w:tc>
          <w:tcPr>
            <w:tcW w:w="4330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Sensitivity analysis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NDVI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</w:pPr>
            <w:r>
              <w:t>EVI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4330" w:type="dxa"/>
          </w:tcPr>
          <w:p w:rsidR="00E853AB" w:rsidRDefault="00E853AB" w:rsidP="008D0295">
            <w:pPr>
              <w:jc w:val="left"/>
            </w:pPr>
            <w:r>
              <w:t>Excluding participants with diabetes</w:t>
            </w:r>
          </w:p>
        </w:tc>
        <w:tc>
          <w:tcPr>
            <w:tcW w:w="2448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0.80(0.74-0.88)</w:t>
            </w:r>
          </w:p>
        </w:tc>
        <w:tc>
          <w:tcPr>
            <w:tcW w:w="185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</w:t>
            </w:r>
            <w:r>
              <w:rPr>
                <w:rFonts w:hint="eastAsia"/>
                <w:b/>
                <w:bCs/>
              </w:rPr>
              <w:t>68</w:t>
            </w:r>
            <w:r>
              <w:rPr>
                <w:b/>
                <w:bCs/>
              </w:rPr>
              <w:t>(0.</w:t>
            </w:r>
            <w:r>
              <w:rPr>
                <w:rFonts w:hint="eastAsia"/>
                <w:b/>
                <w:bCs/>
              </w:rPr>
              <w:t>60-0.77</w:t>
            </w:r>
            <w:r>
              <w:rPr>
                <w:b/>
                <w:bCs/>
              </w:rPr>
              <w:t>)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4330" w:type="dxa"/>
          </w:tcPr>
          <w:p w:rsidR="00E853AB" w:rsidRDefault="00E853AB" w:rsidP="008D0295">
            <w:pPr>
              <w:jc w:val="left"/>
            </w:pPr>
            <w:r>
              <w:t xml:space="preserve">Excluding participants with heart disease </w:t>
            </w:r>
          </w:p>
        </w:tc>
        <w:tc>
          <w:tcPr>
            <w:tcW w:w="2448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0.79(0.73-0.87)</w:t>
            </w:r>
          </w:p>
        </w:tc>
        <w:tc>
          <w:tcPr>
            <w:tcW w:w="185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0.67(0.59-0.76)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4330" w:type="dxa"/>
          </w:tcPr>
          <w:p w:rsidR="00E853AB" w:rsidRDefault="00E853AB" w:rsidP="008D0295">
            <w:pPr>
              <w:jc w:val="left"/>
            </w:pPr>
            <w:r>
              <w:t>Excluding participants dead during follow-up</w:t>
            </w:r>
          </w:p>
        </w:tc>
        <w:tc>
          <w:tcPr>
            <w:tcW w:w="2448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0.80(0.73-0.87)</w:t>
            </w:r>
          </w:p>
        </w:tc>
        <w:tc>
          <w:tcPr>
            <w:tcW w:w="1850" w:type="dxa"/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0.68(0.60-0.77)</w:t>
            </w:r>
          </w:p>
        </w:tc>
      </w:tr>
      <w:tr w:rsidR="00E853AB" w:rsidTr="008D0295">
        <w:trPr>
          <w:trHeight w:val="258"/>
          <w:jc w:val="center"/>
        </w:trPr>
        <w:tc>
          <w:tcPr>
            <w:tcW w:w="4330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left"/>
            </w:pPr>
            <w:r>
              <w:t>Excluding participants</w:t>
            </w:r>
            <w:r>
              <w:rPr>
                <w:rFonts w:hint="eastAsia"/>
              </w:rPr>
              <w:t xml:space="preserve"> changed residence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0.83(0.76-0.90)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:rsidR="00E853AB" w:rsidRDefault="00E853AB" w:rsidP="008D029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0.70(0.61-0.79)</w:t>
            </w:r>
          </w:p>
        </w:tc>
      </w:tr>
    </w:tbl>
    <w:p w:rsidR="00E853AB" w:rsidRDefault="00E853AB" w:rsidP="00E853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After adjusted for age, living arrangement, PM</w:t>
      </w:r>
      <w:r>
        <w:rPr>
          <w:rFonts w:ascii="Times New Roman" w:hAnsi="Times New Roman" w:cs="Times New Roman"/>
          <w:vertAlign w:val="subscript"/>
        </w:rPr>
        <w:t>2.5</w:t>
      </w:r>
      <w:r>
        <w:rPr>
          <w:rFonts w:ascii="Times New Roman" w:hAnsi="Times New Roman" w:cs="Times New Roman"/>
        </w:rPr>
        <w:t xml:space="preserve">, regions, ADL, residence, gender, smoking, leisure activity, drinking, exercising, pension, </w:t>
      </w:r>
      <w:proofErr w:type="spellStart"/>
      <w:r>
        <w:rPr>
          <w:rFonts w:ascii="Times New Roman" w:hAnsi="Times New Roman" w:cs="Times New Roman"/>
        </w:rPr>
        <w:t>martial</w:t>
      </w:r>
      <w:proofErr w:type="spellEnd"/>
      <w:r>
        <w:rPr>
          <w:rFonts w:ascii="Times New Roman" w:hAnsi="Times New Roman" w:cs="Times New Roman"/>
        </w:rPr>
        <w:t xml:space="preserve"> status, education attainment, leisure activity, and BMI.</w:t>
      </w:r>
    </w:p>
    <w:p w:rsidR="00E853AB" w:rsidRDefault="00E853AB" w:rsidP="00E853A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S4</w:t>
      </w:r>
      <w:r>
        <w:rPr>
          <w:rFonts w:ascii="Times New Roman" w:hAnsi="Times New Roman" w:cs="Times New Roman"/>
          <w:b/>
          <w:bCs/>
        </w:rPr>
        <w:t xml:space="preserve"> The mediation effects </w:t>
      </w:r>
      <w:r>
        <w:rPr>
          <w:rFonts w:ascii="Times New Roman" w:hAnsi="Times New Roman" w:cs="Times New Roman" w:hint="eastAsia"/>
          <w:b/>
          <w:bCs/>
        </w:rPr>
        <w:t xml:space="preserve">of BMI and leisure activity </w:t>
      </w:r>
      <w:r>
        <w:rPr>
          <w:rFonts w:ascii="Times New Roman" w:hAnsi="Times New Roman" w:cs="Times New Roman"/>
          <w:b/>
          <w:bCs/>
        </w:rPr>
        <w:t>between greenness and hypertension incidence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vertAlign w:val="superscript"/>
        </w:rPr>
        <w:t>a</w:t>
      </w:r>
    </w:p>
    <w:p w:rsidR="00E853AB" w:rsidRDefault="00E853AB" w:rsidP="00E853AB">
      <w:pPr>
        <w:rPr>
          <w:rFonts w:ascii="Times New Roman" w:hAnsi="Times New Roman" w:cs="Times New Roman"/>
        </w:rPr>
      </w:pPr>
    </w:p>
    <w:tbl>
      <w:tblPr>
        <w:tblStyle w:val="TableGrid"/>
        <w:tblW w:w="935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6"/>
        <w:gridCol w:w="1197"/>
        <w:gridCol w:w="1497"/>
        <w:gridCol w:w="1559"/>
        <w:gridCol w:w="1689"/>
        <w:gridCol w:w="1669"/>
      </w:tblGrid>
      <w:tr w:rsidR="00E853AB" w:rsidTr="008D0295">
        <w:trPr>
          <w:trHeight w:val="631"/>
          <w:jc w:val="center"/>
        </w:trPr>
        <w:tc>
          <w:tcPr>
            <w:tcW w:w="1746" w:type="dxa"/>
            <w:tcBorders>
              <w:bottom w:val="single" w:sz="4" w:space="0" w:color="auto"/>
            </w:tcBorders>
          </w:tcPr>
          <w:p w:rsidR="00E853AB" w:rsidRDefault="00E853AB" w:rsidP="008D0295">
            <w:r>
              <w:t>Greenness exposure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:rsidR="00E853AB" w:rsidRDefault="00E853AB" w:rsidP="008D0295">
            <w:r>
              <w:t>Mediator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</w:tcPr>
          <w:p w:rsidR="00E853AB" w:rsidRDefault="00E853AB" w:rsidP="008D0295">
            <w:r>
              <w:t>Total effect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853AB" w:rsidRDefault="00E853AB" w:rsidP="008D0295">
            <w:r>
              <w:t>Direct effect</w:t>
            </w:r>
          </w:p>
        </w:tc>
        <w:tc>
          <w:tcPr>
            <w:tcW w:w="1689" w:type="dxa"/>
            <w:tcBorders>
              <w:top w:val="single" w:sz="4" w:space="0" w:color="auto"/>
              <w:bottom w:val="single" w:sz="4" w:space="0" w:color="auto"/>
            </w:tcBorders>
          </w:tcPr>
          <w:p w:rsidR="00E853AB" w:rsidRDefault="00E853AB" w:rsidP="008D0295">
            <w:r>
              <w:t>Indirect effect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</w:tcPr>
          <w:p w:rsidR="00E853AB" w:rsidRDefault="00E853AB" w:rsidP="008D0295">
            <w:r>
              <w:t>Indirect/total effects (%)</w:t>
            </w:r>
          </w:p>
        </w:tc>
      </w:tr>
      <w:tr w:rsidR="00E853AB" w:rsidTr="008D0295">
        <w:trPr>
          <w:trHeight w:val="288"/>
          <w:jc w:val="center"/>
        </w:trPr>
        <w:tc>
          <w:tcPr>
            <w:tcW w:w="1746" w:type="dxa"/>
          </w:tcPr>
          <w:p w:rsidR="00E853AB" w:rsidRDefault="00E853AB" w:rsidP="008D0295">
            <w:r>
              <w:t>NDVI</w:t>
            </w:r>
          </w:p>
        </w:tc>
        <w:tc>
          <w:tcPr>
            <w:tcW w:w="1197" w:type="dxa"/>
          </w:tcPr>
          <w:p w:rsidR="00E853AB" w:rsidRDefault="00E853AB" w:rsidP="008D0295"/>
        </w:tc>
        <w:tc>
          <w:tcPr>
            <w:tcW w:w="1497" w:type="dxa"/>
          </w:tcPr>
          <w:p w:rsidR="00E853AB" w:rsidRDefault="00E853AB" w:rsidP="008D0295"/>
        </w:tc>
        <w:tc>
          <w:tcPr>
            <w:tcW w:w="1559" w:type="dxa"/>
          </w:tcPr>
          <w:p w:rsidR="00E853AB" w:rsidRDefault="00E853AB" w:rsidP="008D0295"/>
        </w:tc>
        <w:tc>
          <w:tcPr>
            <w:tcW w:w="1689" w:type="dxa"/>
          </w:tcPr>
          <w:p w:rsidR="00E853AB" w:rsidRDefault="00E853AB" w:rsidP="008D0295"/>
        </w:tc>
        <w:tc>
          <w:tcPr>
            <w:tcW w:w="1669" w:type="dxa"/>
          </w:tcPr>
          <w:p w:rsidR="00E853AB" w:rsidRDefault="00E853AB" w:rsidP="008D0295">
            <w:pPr>
              <w:rPr>
                <w:b/>
                <w:bCs/>
              </w:rPr>
            </w:pPr>
          </w:p>
        </w:tc>
      </w:tr>
      <w:tr w:rsidR="00E853AB" w:rsidTr="008D0295">
        <w:trPr>
          <w:trHeight w:val="558"/>
          <w:jc w:val="center"/>
        </w:trPr>
        <w:tc>
          <w:tcPr>
            <w:tcW w:w="1746" w:type="dxa"/>
          </w:tcPr>
          <w:p w:rsidR="00E853AB" w:rsidRDefault="00E853AB" w:rsidP="008D0295"/>
        </w:tc>
        <w:tc>
          <w:tcPr>
            <w:tcW w:w="1197" w:type="dxa"/>
          </w:tcPr>
          <w:p w:rsidR="00E853AB" w:rsidRDefault="00E853AB" w:rsidP="008D0295">
            <w:r>
              <w:t>BMI</w:t>
            </w:r>
          </w:p>
        </w:tc>
        <w:tc>
          <w:tcPr>
            <w:tcW w:w="1497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0.84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(0.77-0.91)</w:t>
            </w:r>
          </w:p>
        </w:tc>
        <w:tc>
          <w:tcPr>
            <w:tcW w:w="1559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0.84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(0.77-0.92)</w:t>
            </w:r>
          </w:p>
        </w:tc>
        <w:tc>
          <w:tcPr>
            <w:tcW w:w="1689" w:type="dxa"/>
          </w:tcPr>
          <w:p w:rsidR="00E853AB" w:rsidRDefault="00E853AB" w:rsidP="008D0295">
            <w:r>
              <w:rPr>
                <w:rFonts w:hint="eastAsia"/>
              </w:rPr>
              <w:t>1.00</w:t>
            </w:r>
          </w:p>
          <w:p w:rsidR="00E853AB" w:rsidRDefault="00E853AB" w:rsidP="008D0295">
            <w:r>
              <w:rPr>
                <w:rFonts w:hint="eastAsia"/>
              </w:rPr>
              <w:t>(0.99-1.01)</w:t>
            </w:r>
          </w:p>
        </w:tc>
        <w:tc>
          <w:tcPr>
            <w:tcW w:w="1669" w:type="dxa"/>
            <w:vAlign w:val="bottom"/>
          </w:tcPr>
          <w:p w:rsidR="00E853AB" w:rsidRDefault="00E853AB" w:rsidP="008D0295">
            <w:pPr>
              <w:widowControl/>
              <w:jc w:val="right"/>
              <w:textAlignment w:val="bottom"/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>2.9</w:t>
            </w:r>
          </w:p>
        </w:tc>
      </w:tr>
      <w:tr w:rsidR="00E853AB" w:rsidTr="008D0295">
        <w:trPr>
          <w:trHeight w:val="558"/>
          <w:jc w:val="center"/>
        </w:trPr>
        <w:tc>
          <w:tcPr>
            <w:tcW w:w="1746" w:type="dxa"/>
          </w:tcPr>
          <w:p w:rsidR="00E853AB" w:rsidRDefault="00E853AB" w:rsidP="008D0295"/>
        </w:tc>
        <w:tc>
          <w:tcPr>
            <w:tcW w:w="1197" w:type="dxa"/>
          </w:tcPr>
          <w:p w:rsidR="00E853AB" w:rsidRDefault="00E853AB" w:rsidP="008D0295">
            <w:r>
              <w:rPr>
                <w:rFonts w:hint="eastAsia"/>
              </w:rPr>
              <w:t>L</w:t>
            </w:r>
            <w:r>
              <w:t>eisure activity</w:t>
            </w:r>
          </w:p>
        </w:tc>
        <w:tc>
          <w:tcPr>
            <w:tcW w:w="1497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0.84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(0.77-0.91)</w:t>
            </w:r>
          </w:p>
        </w:tc>
        <w:tc>
          <w:tcPr>
            <w:tcW w:w="1559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0.84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(0.78-0.92)</w:t>
            </w:r>
          </w:p>
        </w:tc>
        <w:tc>
          <w:tcPr>
            <w:tcW w:w="1689" w:type="dxa"/>
          </w:tcPr>
          <w:p w:rsidR="00E853AB" w:rsidRDefault="00E853AB" w:rsidP="008D0295">
            <w:r>
              <w:rPr>
                <w:rFonts w:hint="eastAsia"/>
              </w:rPr>
              <w:t>1.00</w:t>
            </w:r>
          </w:p>
          <w:p w:rsidR="00E853AB" w:rsidRDefault="00E853AB" w:rsidP="008D0295">
            <w:r>
              <w:rPr>
                <w:rFonts w:hint="eastAsia"/>
              </w:rPr>
              <w:t>(0.99-1.00)</w:t>
            </w:r>
          </w:p>
        </w:tc>
        <w:tc>
          <w:tcPr>
            <w:tcW w:w="1669" w:type="dxa"/>
            <w:vAlign w:val="bottom"/>
          </w:tcPr>
          <w:p w:rsidR="00E853AB" w:rsidRDefault="00E853AB" w:rsidP="008D0295">
            <w:pPr>
              <w:widowControl/>
              <w:jc w:val="right"/>
              <w:textAlignment w:val="bottom"/>
            </w:pP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>2.9</w:t>
            </w:r>
          </w:p>
        </w:tc>
      </w:tr>
      <w:tr w:rsidR="00E853AB" w:rsidTr="008D0295">
        <w:trPr>
          <w:trHeight w:val="279"/>
          <w:jc w:val="center"/>
        </w:trPr>
        <w:tc>
          <w:tcPr>
            <w:tcW w:w="1746" w:type="dxa"/>
          </w:tcPr>
          <w:p w:rsidR="00E853AB" w:rsidRDefault="00E853AB" w:rsidP="008D0295">
            <w:r>
              <w:t>EVI</w:t>
            </w:r>
          </w:p>
        </w:tc>
        <w:tc>
          <w:tcPr>
            <w:tcW w:w="1197" w:type="dxa"/>
          </w:tcPr>
          <w:p w:rsidR="00E853AB" w:rsidRDefault="00E853AB" w:rsidP="008D0295"/>
        </w:tc>
        <w:tc>
          <w:tcPr>
            <w:tcW w:w="1497" w:type="dxa"/>
          </w:tcPr>
          <w:p w:rsidR="00E853AB" w:rsidRDefault="00E853AB" w:rsidP="008D0295"/>
        </w:tc>
        <w:tc>
          <w:tcPr>
            <w:tcW w:w="1559" w:type="dxa"/>
          </w:tcPr>
          <w:p w:rsidR="00E853AB" w:rsidRDefault="00E853AB" w:rsidP="008D0295"/>
        </w:tc>
        <w:tc>
          <w:tcPr>
            <w:tcW w:w="1689" w:type="dxa"/>
          </w:tcPr>
          <w:p w:rsidR="00E853AB" w:rsidRDefault="00E853AB" w:rsidP="008D0295"/>
        </w:tc>
        <w:tc>
          <w:tcPr>
            <w:tcW w:w="1669" w:type="dxa"/>
          </w:tcPr>
          <w:p w:rsidR="00E853AB" w:rsidRDefault="00E853AB" w:rsidP="008D0295"/>
        </w:tc>
      </w:tr>
      <w:tr w:rsidR="00E853AB" w:rsidTr="008D0295">
        <w:trPr>
          <w:trHeight w:val="558"/>
          <w:jc w:val="center"/>
        </w:trPr>
        <w:tc>
          <w:tcPr>
            <w:tcW w:w="1746" w:type="dxa"/>
          </w:tcPr>
          <w:p w:rsidR="00E853AB" w:rsidRDefault="00E853AB" w:rsidP="008D0295"/>
        </w:tc>
        <w:tc>
          <w:tcPr>
            <w:tcW w:w="1197" w:type="dxa"/>
          </w:tcPr>
          <w:p w:rsidR="00E853AB" w:rsidRDefault="00E853AB" w:rsidP="008D0295">
            <w:r>
              <w:t>BMI</w:t>
            </w:r>
          </w:p>
        </w:tc>
        <w:tc>
          <w:tcPr>
            <w:tcW w:w="1497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0.69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(0.61-0.78)</w:t>
            </w:r>
          </w:p>
        </w:tc>
        <w:tc>
          <w:tcPr>
            <w:tcW w:w="1559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0.69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(0.61-0.78)</w:t>
            </w:r>
          </w:p>
        </w:tc>
        <w:tc>
          <w:tcPr>
            <w:tcW w:w="1689" w:type="dxa"/>
          </w:tcPr>
          <w:p w:rsidR="00E853AB" w:rsidRDefault="00E853AB" w:rsidP="008D0295">
            <w:r>
              <w:rPr>
                <w:rFonts w:hint="eastAsia"/>
              </w:rPr>
              <w:t>1.00</w:t>
            </w:r>
          </w:p>
          <w:p w:rsidR="00E853AB" w:rsidRDefault="00E853AB" w:rsidP="008D0295">
            <w:r>
              <w:rPr>
                <w:rFonts w:hint="eastAsia"/>
              </w:rPr>
              <w:t>(0.98-1.01)</w:t>
            </w:r>
          </w:p>
        </w:tc>
        <w:tc>
          <w:tcPr>
            <w:tcW w:w="1669" w:type="dxa"/>
            <w:vAlign w:val="bottom"/>
          </w:tcPr>
          <w:p w:rsidR="00E853AB" w:rsidRDefault="00E853AB" w:rsidP="008D0295">
            <w:pPr>
              <w:widowControl/>
              <w:jc w:val="right"/>
              <w:textAlignment w:val="bottom"/>
            </w:pPr>
            <w:r>
              <w:rPr>
                <w:rFonts w:hint="eastAsia"/>
              </w:rPr>
              <w:t>1.4</w:t>
            </w:r>
          </w:p>
        </w:tc>
      </w:tr>
      <w:tr w:rsidR="00E853AB" w:rsidTr="008D0295">
        <w:trPr>
          <w:trHeight w:val="567"/>
          <w:jc w:val="center"/>
        </w:trPr>
        <w:tc>
          <w:tcPr>
            <w:tcW w:w="1746" w:type="dxa"/>
          </w:tcPr>
          <w:p w:rsidR="00E853AB" w:rsidRDefault="00E853AB" w:rsidP="008D0295"/>
        </w:tc>
        <w:tc>
          <w:tcPr>
            <w:tcW w:w="1197" w:type="dxa"/>
          </w:tcPr>
          <w:p w:rsidR="00E853AB" w:rsidRDefault="00E853AB" w:rsidP="008D0295">
            <w:r>
              <w:rPr>
                <w:rFonts w:hint="eastAsia"/>
              </w:rPr>
              <w:t>L</w:t>
            </w:r>
            <w:r>
              <w:t>eisure activity</w:t>
            </w:r>
          </w:p>
        </w:tc>
        <w:tc>
          <w:tcPr>
            <w:tcW w:w="1497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0.69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(0.61-0.78)</w:t>
            </w:r>
          </w:p>
        </w:tc>
        <w:tc>
          <w:tcPr>
            <w:tcW w:w="1559" w:type="dxa"/>
          </w:tcPr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0.70</w:t>
            </w:r>
          </w:p>
          <w:p w:rsidR="00E853AB" w:rsidRDefault="00E853AB" w:rsidP="008D02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(0.61-0.79)</w:t>
            </w:r>
          </w:p>
        </w:tc>
        <w:tc>
          <w:tcPr>
            <w:tcW w:w="1689" w:type="dxa"/>
          </w:tcPr>
          <w:p w:rsidR="00E853AB" w:rsidRDefault="00E853AB" w:rsidP="008D0295">
            <w:r>
              <w:rPr>
                <w:rFonts w:hint="eastAsia"/>
              </w:rPr>
              <w:t>1.00</w:t>
            </w:r>
          </w:p>
          <w:p w:rsidR="00E853AB" w:rsidRDefault="00E853AB" w:rsidP="008D0295">
            <w:r>
              <w:rPr>
                <w:rFonts w:hint="eastAsia"/>
              </w:rPr>
              <w:t>(0.99-1.00)</w:t>
            </w:r>
          </w:p>
        </w:tc>
        <w:tc>
          <w:tcPr>
            <w:tcW w:w="1669" w:type="dxa"/>
            <w:vAlign w:val="bottom"/>
          </w:tcPr>
          <w:p w:rsidR="00E853AB" w:rsidRDefault="00E853AB" w:rsidP="008D0295">
            <w:pPr>
              <w:widowControl/>
              <w:jc w:val="right"/>
              <w:textAlignment w:val="bottom"/>
            </w:pPr>
            <w:r>
              <w:rPr>
                <w:rFonts w:hint="eastAsia"/>
              </w:rPr>
              <w:t>1.4</w:t>
            </w:r>
          </w:p>
        </w:tc>
      </w:tr>
    </w:tbl>
    <w:p w:rsidR="00E853AB" w:rsidRDefault="00E853AB" w:rsidP="00E853AB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 w:hint="eastAsia"/>
          <w:i/>
          <w:iCs/>
        </w:rPr>
        <w:t>Note:</w:t>
      </w:r>
    </w:p>
    <w:p w:rsidR="00E853AB" w:rsidRDefault="00E853AB" w:rsidP="00E853A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a</w:t>
      </w:r>
      <w:proofErr w:type="spellEnd"/>
      <w:r>
        <w:rPr>
          <w:rFonts w:ascii="Times New Roman" w:hAnsi="Times New Roman" w:cs="Times New Roman"/>
        </w:rPr>
        <w:t xml:space="preserve"> After adjusted for age, living arrangement, regions, ADL, residence, gender, smoking, drinking, exercising, pension, </w:t>
      </w:r>
      <w:proofErr w:type="spellStart"/>
      <w:r>
        <w:rPr>
          <w:rFonts w:ascii="Times New Roman" w:hAnsi="Times New Roman" w:cs="Times New Roman"/>
        </w:rPr>
        <w:t>martial</w:t>
      </w:r>
      <w:proofErr w:type="spellEnd"/>
      <w:r>
        <w:rPr>
          <w:rFonts w:ascii="Times New Roman" w:hAnsi="Times New Roman" w:cs="Times New Roman"/>
        </w:rPr>
        <w:t xml:space="preserve"> status, education attainment, self-reported diabetes, and self-reported heart disease.</w:t>
      </w: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3AB"/>
    <w:rsid w:val="00755780"/>
    <w:rsid w:val="00E8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6FAA8-8557-4C68-80DF-8E3EC9C4E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3AB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E853A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2021-12-22T03:23:00Z</dcterms:created>
  <dcterms:modified xsi:type="dcterms:W3CDTF">2021-12-22T03:23:00Z</dcterms:modified>
</cp:coreProperties>
</file>