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6D788" w14:textId="77777777" w:rsidR="00431B5D" w:rsidRPr="005550C8" w:rsidRDefault="001E0DB5">
      <w:pPr>
        <w:spacing w:after="80"/>
        <w:rPr>
          <w:lang w:val="en-US"/>
        </w:rPr>
      </w:pPr>
      <w:r w:rsidRPr="005550C8">
        <w:rPr>
          <w:b/>
          <w:bCs/>
          <w:sz w:val="28"/>
          <w:szCs w:val="28"/>
          <w:lang w:val="en-US"/>
        </w:rPr>
        <w:t>Additional file 2. COREQ (Consolidated Criteria for Reporting Qualitative Research) — 32-item checklist</w:t>
      </w:r>
    </w:p>
    <w:p w14:paraId="7B86D789" w14:textId="77777777" w:rsidR="00431B5D" w:rsidRPr="005550C8" w:rsidRDefault="001E0DB5">
      <w:pPr>
        <w:spacing w:after="120"/>
        <w:rPr>
          <w:lang w:val="en-US"/>
        </w:rPr>
      </w:pPr>
      <w:r w:rsidRPr="005550C8">
        <w:rPr>
          <w:i/>
          <w:iCs/>
          <w:lang w:val="en-US"/>
        </w:rPr>
        <w:t>Completed for the qualitative component of the study (semi-structured follow-up interviews and open-text survey responses).</w:t>
      </w:r>
    </w:p>
    <w:p w14:paraId="7B86D78A" w14:textId="77777777" w:rsidR="00431B5D" w:rsidRPr="005550C8" w:rsidRDefault="001E0DB5">
      <w:pPr>
        <w:spacing w:after="120"/>
        <w:rPr>
          <w:lang w:val="en-US"/>
        </w:rPr>
      </w:pPr>
      <w:r w:rsidRPr="005550C8">
        <w:rPr>
          <w:lang w:val="en-US"/>
        </w:rPr>
        <w:t>Manuscript: Migration drivers, transition to practice, and workforce integration among Brazilian-educated nurses in the United States: A mixed-methods study</w:t>
      </w:r>
    </w:p>
    <w:p w14:paraId="7B86D78B" w14:textId="77777777" w:rsidR="00431B5D" w:rsidRPr="005C5321" w:rsidRDefault="001E0DB5">
      <w:pPr>
        <w:spacing w:after="120"/>
        <w:rPr>
          <w:lang w:val="en-US"/>
        </w:rPr>
      </w:pPr>
      <w:r w:rsidRPr="005C5321">
        <w:rPr>
          <w:lang w:val="en-US"/>
        </w:rPr>
        <w:t>Journal: BMC Nursing — Collection "Nursing workforce migration &amp; global health equity"</w:t>
      </w:r>
    </w:p>
    <w:p w14:paraId="7B86D78C" w14:textId="77777777" w:rsidR="00431B5D" w:rsidRPr="005C5321" w:rsidRDefault="001E0DB5">
      <w:pPr>
        <w:spacing w:after="120"/>
        <w:rPr>
          <w:lang w:val="en-US"/>
        </w:rPr>
      </w:pPr>
      <w:r w:rsidRPr="005C5321">
        <w:rPr>
          <w:lang w:val="en-US"/>
        </w:rPr>
        <w:t>Source: Tong A, Sainsbury P, Craig J. Int J Qual Health Care. 2007;19(6):349–357.</w:t>
      </w:r>
    </w:p>
    <w:p w14:paraId="7B86D78D" w14:textId="77777777" w:rsidR="00431B5D" w:rsidRPr="005C5321" w:rsidRDefault="001E0DB5">
      <w:pPr>
        <w:spacing w:after="120"/>
        <w:rPr>
          <w:lang w:val="en-US"/>
        </w:rPr>
      </w:pPr>
      <w:r w:rsidRPr="005C5321">
        <w:rPr>
          <w:i/>
          <w:iCs/>
          <w:sz w:val="18"/>
          <w:szCs w:val="18"/>
          <w:lang w:val="en-US"/>
        </w:rPr>
        <w:t>Page and line numbers refer to the clean manuscript version dated 15 October 2026 (all tracked changes accepted) (double-spaced, continuous line numbering) and should be updated if the title page or text changes before submission.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811"/>
        <w:gridCol w:w="3496"/>
        <w:gridCol w:w="4174"/>
      </w:tblGrid>
      <w:tr w:rsidR="00431B5D" w:rsidRPr="005C5321" w14:paraId="7B86D7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8E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8F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0" w14:textId="77777777" w:rsidR="00431B5D" w:rsidRDefault="001E0DB5">
            <w:pPr>
              <w:spacing w:after="40"/>
            </w:pPr>
            <w:proofErr w:type="spellStart"/>
            <w:r>
              <w:rPr>
                <w:b/>
                <w:bCs/>
                <w:sz w:val="18"/>
                <w:szCs w:val="18"/>
              </w:rPr>
              <w:t>Guide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question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418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1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b/>
                <w:bCs/>
                <w:sz w:val="18"/>
                <w:szCs w:val="18"/>
                <w:lang w:val="en-US"/>
              </w:rPr>
              <w:t>Reported in (section, page, lines) / Comment</w:t>
            </w:r>
          </w:p>
        </w:tc>
      </w:tr>
      <w:tr w:rsidR="00431B5D" w:rsidRPr="005C5321" w14:paraId="7B86D794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3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b/>
                <w:bCs/>
                <w:sz w:val="18"/>
                <w:szCs w:val="18"/>
                <w:lang w:val="en-US"/>
              </w:rPr>
              <w:t>Domain 1: Research team and reflexivity — Personal characteristics</w:t>
            </w:r>
          </w:p>
        </w:tc>
      </w:tr>
      <w:tr w:rsidR="00431B5D" w:rsidRPr="005C5321" w14:paraId="7B86D79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5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6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Interviewer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facilitator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7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Which author/s conducted the interview or focus group?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8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Methods – Follow-up interviews (p. 9, L 188–193) and Reflexivity (p. 11, L 241–247): all interviews conducted by the first author</w:t>
            </w:r>
          </w:p>
        </w:tc>
      </w:tr>
      <w:tr w:rsidR="00431B5D" w14:paraId="7B86D79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A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B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Credentials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C" w14:textId="77777777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What were the researcher's credentials? </w:t>
            </w:r>
            <w:r>
              <w:rPr>
                <w:sz w:val="18"/>
                <w:szCs w:val="18"/>
              </w:rPr>
              <w:t>E.g. PhD, MD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D" w14:textId="691FA9AE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Reflexivity, p. 11, L 241–247: undergraduate nursing student researcher at the time of data collection. </w:t>
            </w:r>
            <w:proofErr w:type="spellStart"/>
            <w:r>
              <w:rPr>
                <w:sz w:val="18"/>
                <w:szCs w:val="18"/>
              </w:rPr>
              <w:t>Credentials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supervising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senior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authors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title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page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431B5D" w:rsidRPr="005C5321" w14:paraId="7B86D7A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9F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0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Occupation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1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was their occupation at the time of the study?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2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Reflexivity, p. 11, L 241–247 (undergraduate nursing student)</w:t>
            </w:r>
          </w:p>
        </w:tc>
      </w:tr>
      <w:tr w:rsidR="00431B5D" w:rsidRPr="005C5321" w14:paraId="7B86D7A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4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5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Gender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6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Was the researcher male or female?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7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Reflexivity, p. 11, L 241–247 (female; "her")</w:t>
            </w:r>
          </w:p>
        </w:tc>
      </w:tr>
      <w:tr w:rsidR="00431B5D" w:rsidRPr="005C5321" w14:paraId="7B86D7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9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A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Experience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training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B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experience or training did the researcher have?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C" w14:textId="43C48312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Reflexivity, p. 11, L 241–247 (previous experience living in the United States; academic interest in nurse migration); analyses supervised by the senior research advisor (p. 10, L 215–220). </w:t>
            </w:r>
          </w:p>
        </w:tc>
      </w:tr>
      <w:tr w:rsidR="00431B5D" w14:paraId="7B86D7A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AE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Domain 1: </w:t>
            </w:r>
            <w:proofErr w:type="spellStart"/>
            <w:r>
              <w:rPr>
                <w:b/>
                <w:bCs/>
                <w:sz w:val="18"/>
                <w:szCs w:val="18"/>
              </w:rPr>
              <w:t>Relationship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with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participants</w:t>
            </w:r>
            <w:proofErr w:type="spellEnd"/>
          </w:p>
        </w:tc>
      </w:tr>
      <w:tr w:rsidR="00431B5D" w:rsidRPr="005C5321" w14:paraId="7B86D7B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0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1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Relationship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established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2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Was a relationship established prior to study commencement?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3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No prior relationship; participants were survey respondents who volunteered for follow-up (Methods – Follow-up interviews, p. 8, L 178–183; Study design, pp. 6–7, L 130–143)</w:t>
            </w:r>
          </w:p>
        </w:tc>
      </w:tr>
      <w:tr w:rsidR="00431B5D" w:rsidRPr="005C5321" w14:paraId="7B86D7B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5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6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Participant knowledge of the interviewer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7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did the participants know about the researcher? e.g. personal goals, reasons for doing the research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8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Reflexivity, p. 11, L 241–247 (participants were aware the study was part of her undergraduate research)</w:t>
            </w:r>
          </w:p>
        </w:tc>
      </w:tr>
      <w:tr w:rsidR="00431B5D" w:rsidRPr="005C5321" w14:paraId="7B86D7B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A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B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Interviewer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C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D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Reflexivity, p. 11, L 241–247; Strengths and limitations, p. 28, L 543–548</w:t>
            </w:r>
          </w:p>
        </w:tc>
      </w:tr>
      <w:tr w:rsidR="00431B5D" w:rsidRPr="005C5321" w14:paraId="7B86D7C0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BF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b/>
                <w:bCs/>
                <w:sz w:val="18"/>
                <w:szCs w:val="18"/>
                <w:lang w:val="en-US"/>
              </w:rPr>
              <w:t>Domain 2: Study design — Theoretical framework</w:t>
            </w:r>
          </w:p>
        </w:tc>
      </w:tr>
      <w:tr w:rsidR="00431B5D" w:rsidRPr="005C5321" w14:paraId="7B86D7C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1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2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Methodological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orientation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theory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3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4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Methods – Open-text survey response analysis (pp. 9–10, L 206–214) and Interview analysis (p. 10, L 221–228): inductive (conventional) qualitative content analysis [17], within a convergent mixed-methods design (pp. 6–7, L 130–143)</w:t>
            </w:r>
          </w:p>
        </w:tc>
      </w:tr>
      <w:tr w:rsidR="00431B5D" w14:paraId="7B86D7C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6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Domain 2: </w:t>
            </w:r>
            <w:proofErr w:type="spellStart"/>
            <w:r>
              <w:rPr>
                <w:b/>
                <w:bCs/>
                <w:sz w:val="18"/>
                <w:szCs w:val="18"/>
              </w:rPr>
              <w:t>Participant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selection</w:t>
            </w:r>
            <w:proofErr w:type="spellEnd"/>
          </w:p>
        </w:tc>
      </w:tr>
      <w:tr w:rsidR="00431B5D" w:rsidRPr="005550C8" w14:paraId="7B86D7C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8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9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Sampling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A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How were participants selected? e.g. purposive, convenience, consecutive, snowball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B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Survey: convenience and online snowball sampling (p. 7, L 156–160). Interviews: self-selected volunteer subsample of survey respondents (p. 8, L 178–183)</w:t>
            </w:r>
          </w:p>
        </w:tc>
      </w:tr>
      <w:tr w:rsidR="00431B5D" w:rsidRPr="005550C8" w14:paraId="7B86D7D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D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E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Method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approach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CF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How were participants approached? e.g. face-to-face, telephone, mail, email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0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Survey invitation via social media and professional networks (p. 7, L 156–160); interviewees indicated willingness at the end of the survey and were contacted subsequently (p. 8, L 178–183)</w:t>
            </w:r>
          </w:p>
        </w:tc>
      </w:tr>
      <w:tr w:rsidR="00431B5D" w:rsidRPr="005550C8" w14:paraId="7B86D7D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2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3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Sample </w:t>
            </w:r>
            <w:proofErr w:type="spellStart"/>
            <w:r>
              <w:rPr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4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How many participants were in the study?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5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sz w:val="18"/>
                <w:szCs w:val="18"/>
                <w:lang w:val="en-US"/>
              </w:rPr>
              <w:t>36 survey respondents (open-text responses) and 8 interviewees (Abstract; Methods, p. 7, L 161–163 and p. 8, L 180–181; Results, p. 12, L 263–273)</w:t>
            </w:r>
          </w:p>
        </w:tc>
      </w:tr>
      <w:tr w:rsidR="00431B5D" w14:paraId="7B86D7D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7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8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Non-</w:t>
            </w:r>
            <w:proofErr w:type="spellStart"/>
            <w:r>
              <w:rPr>
                <w:sz w:val="18"/>
                <w:szCs w:val="18"/>
              </w:rPr>
              <w:t>participation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9" w14:textId="77777777" w:rsidR="00431B5D" w:rsidRDefault="001E0DB5">
            <w:pPr>
              <w:spacing w:after="40"/>
            </w:pPr>
            <w:r w:rsidRPr="005550C8">
              <w:rPr>
                <w:sz w:val="18"/>
                <w:szCs w:val="18"/>
                <w:lang w:val="en-US"/>
              </w:rPr>
              <w:t xml:space="preserve">How many people refused to participate or dropped out?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A" w14:textId="77777777" w:rsidR="00431B5D" w:rsidRDefault="001E0DB5">
            <w:pPr>
              <w:spacing w:after="40"/>
            </w:pPr>
            <w:r w:rsidRPr="005550C8">
              <w:rPr>
                <w:sz w:val="18"/>
                <w:szCs w:val="18"/>
                <w:lang w:val="en-US"/>
              </w:rPr>
              <w:t xml:space="preserve">30 respondents expressed willingness; 8 responded to contact, scheduled and completed interviews; the remaining 22 did not respond/schedule (p. 8, L 180–181).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collected</w:t>
            </w:r>
            <w:proofErr w:type="spellEnd"/>
          </w:p>
        </w:tc>
      </w:tr>
      <w:tr w:rsidR="00431B5D" w14:paraId="7B86D7DD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C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Domain 2: Setting</w:t>
            </w:r>
          </w:p>
        </w:tc>
      </w:tr>
      <w:tr w:rsidR="00431B5D" w:rsidRPr="005C5321" w14:paraId="7B86D7E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E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DF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Setting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data </w:t>
            </w:r>
            <w:proofErr w:type="spellStart"/>
            <w:r>
              <w:rPr>
                <w:sz w:val="18"/>
                <w:szCs w:val="18"/>
              </w:rPr>
              <w:t>collection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0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Where was the data collected? e.g. home, clinic, workplace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1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Virtual, synchronous audio/video interviews via videoconferencing platform (Google Meet or Zoom), at times chosen by participants (p. 8, L 178–183; p. 9, L 188–193)</w:t>
            </w:r>
          </w:p>
        </w:tc>
      </w:tr>
      <w:tr w:rsidR="00431B5D" w:rsidRPr="005C5321" w14:paraId="7B86D7E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3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4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Presence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non-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5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Was anyone else present besides the participants and researchers?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6" w14:textId="1AAAF7F5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No one else was present</w:t>
            </w:r>
          </w:p>
        </w:tc>
      </w:tr>
      <w:tr w:rsidR="00431B5D" w14:paraId="7B86D7E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8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9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Description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sample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A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are the important characteristics of the sample? e.g. demographic data, date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B" w14:textId="77777777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Results – Participant characteristics and migration profile, p. 12, L 263–273; Table 1 (p. 13, L 281). </w:t>
            </w:r>
            <w:r>
              <w:rPr>
                <w:sz w:val="18"/>
                <w:szCs w:val="18"/>
              </w:rPr>
              <w:t xml:space="preserve">Interviews </w:t>
            </w:r>
            <w:proofErr w:type="spellStart"/>
            <w:r>
              <w:rPr>
                <w:sz w:val="18"/>
                <w:szCs w:val="18"/>
              </w:rPr>
              <w:t>conducted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March</w:t>
            </w:r>
            <w:proofErr w:type="spellEnd"/>
            <w:r>
              <w:rPr>
                <w:sz w:val="18"/>
                <w:szCs w:val="18"/>
              </w:rPr>
              <w:t>–April 2024 (p. 8, L 180–181)</w:t>
            </w:r>
          </w:p>
        </w:tc>
      </w:tr>
      <w:tr w:rsidR="00431B5D" w14:paraId="7B86D7E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D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Domain 2: Data </w:t>
            </w:r>
            <w:proofErr w:type="spellStart"/>
            <w:r>
              <w:rPr>
                <w:b/>
                <w:bCs/>
                <w:sz w:val="18"/>
                <w:szCs w:val="18"/>
              </w:rPr>
              <w:t>collection</w:t>
            </w:r>
            <w:proofErr w:type="spellEnd"/>
          </w:p>
        </w:tc>
      </w:tr>
      <w:tr w:rsidR="00431B5D" w:rsidRPr="005C5321" w14:paraId="7B86D7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EF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0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Interview </w:t>
            </w:r>
            <w:proofErr w:type="spellStart"/>
            <w:r>
              <w:rPr>
                <w:sz w:val="18"/>
                <w:szCs w:val="18"/>
              </w:rPr>
              <w:t>guide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1" w14:textId="77777777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Were questions, prompts, guides provided by the authors? </w:t>
            </w: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it </w:t>
            </w:r>
            <w:proofErr w:type="spellStart"/>
            <w:r>
              <w:rPr>
                <w:sz w:val="18"/>
                <w:szCs w:val="18"/>
              </w:rPr>
              <w:t>pilot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tested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2" w14:textId="42999A8A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Interview topics and example prompts described in Methods – Follow-up interviews (p. 8, L 183–187); flexible conversational format (p. 9, L 188–193). Not pilot tested. </w:t>
            </w:r>
          </w:p>
        </w:tc>
      </w:tr>
      <w:tr w:rsidR="00431B5D" w:rsidRPr="005C5321" w14:paraId="7B86D7F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4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5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Repeat</w:t>
            </w:r>
            <w:proofErr w:type="spellEnd"/>
            <w:r>
              <w:rPr>
                <w:sz w:val="18"/>
                <w:szCs w:val="18"/>
              </w:rPr>
              <w:t xml:space="preserve"> interviews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6" w14:textId="77777777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Were repeat interviews carried out? </w:t>
            </w:r>
            <w:proofErr w:type="spellStart"/>
            <w:r>
              <w:rPr>
                <w:sz w:val="18"/>
                <w:szCs w:val="18"/>
              </w:rPr>
              <w:t>If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many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7" w14:textId="19CA6B3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No repeat interviews were conducted </w:t>
            </w:r>
          </w:p>
        </w:tc>
      </w:tr>
      <w:tr w:rsidR="00431B5D" w:rsidRPr="005C5321" w14:paraId="7B86D7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9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A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Audio</w:t>
            </w:r>
            <w:proofErr w:type="spellEnd"/>
            <w:r>
              <w:rPr>
                <w:sz w:val="18"/>
                <w:szCs w:val="18"/>
              </w:rPr>
              <w:t xml:space="preserve">/visual </w:t>
            </w:r>
            <w:proofErr w:type="spellStart"/>
            <w:r>
              <w:rPr>
                <w:sz w:val="18"/>
                <w:szCs w:val="18"/>
              </w:rPr>
              <w:t>recording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B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Did the research use audio or visual recording to collect the data?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C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Audio-recorded with participants' permission (p. 9, L 188–193); Declarations – Ethics (p. 29, L 574–578)</w:t>
            </w:r>
          </w:p>
        </w:tc>
      </w:tr>
      <w:tr w:rsidR="00431B5D" w:rsidRPr="005C5321" w14:paraId="7B86D80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E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7FF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Field notes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0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Were field notes made during and/or after the interview or focus group?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1" w14:textId="27CD8BD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Not </w:t>
            </w:r>
            <w:r w:rsidR="005C5321">
              <w:rPr>
                <w:sz w:val="18"/>
                <w:szCs w:val="18"/>
                <w:lang w:val="en-US"/>
              </w:rPr>
              <w:t xml:space="preserve">applied </w:t>
            </w:r>
          </w:p>
        </w:tc>
      </w:tr>
      <w:tr w:rsidR="00431B5D" w14:paraId="7B86D80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3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4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Duration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5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What was the duration of the interviews or </w:t>
            </w:r>
            <w:proofErr w:type="gramStart"/>
            <w:r w:rsidRPr="005C5321">
              <w:rPr>
                <w:sz w:val="18"/>
                <w:szCs w:val="18"/>
                <w:lang w:val="en-US"/>
              </w:rPr>
              <w:t>focus</w:t>
            </w:r>
            <w:proofErr w:type="gramEnd"/>
            <w:r w:rsidRPr="005C5321">
              <w:rPr>
                <w:sz w:val="18"/>
                <w:szCs w:val="18"/>
                <w:lang w:val="en-US"/>
              </w:rPr>
              <w:t xml:space="preserve"> group?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6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Approximately</w:t>
            </w:r>
            <w:proofErr w:type="spellEnd"/>
            <w:r>
              <w:rPr>
                <w:sz w:val="18"/>
                <w:szCs w:val="18"/>
              </w:rPr>
              <w:t xml:space="preserve"> 20–30 minutes (p. 9, L 188–193)</w:t>
            </w:r>
          </w:p>
        </w:tc>
      </w:tr>
      <w:tr w:rsidR="00431B5D" w:rsidRPr="005C5321" w14:paraId="7B86D80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8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9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Data </w:t>
            </w:r>
            <w:proofErr w:type="spellStart"/>
            <w:r>
              <w:rPr>
                <w:sz w:val="18"/>
                <w:szCs w:val="18"/>
              </w:rPr>
              <w:t>saturation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A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data </w:t>
            </w:r>
            <w:proofErr w:type="spellStart"/>
            <w:r>
              <w:rPr>
                <w:sz w:val="18"/>
                <w:szCs w:val="18"/>
              </w:rPr>
              <w:t>saturation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discussed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B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Yes — saturation was not used as a stopping criterion; rationale given (Methods – Interview analysis, p. 10, L 226–228; Strengths and limitations, p. 28, L 542–543)</w:t>
            </w:r>
          </w:p>
        </w:tc>
      </w:tr>
      <w:tr w:rsidR="00431B5D" w:rsidRPr="005C5321" w14:paraId="7B86D81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D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E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Transcripts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returned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0F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Were transcripts returned to participants for comment and/or correction?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0" w14:textId="005FB621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Transcripts were </w:t>
            </w:r>
            <w:r w:rsidRPr="005C5321">
              <w:rPr>
                <w:sz w:val="18"/>
                <w:szCs w:val="18"/>
                <w:lang w:val="en-US"/>
              </w:rPr>
              <w:t>returned to participants</w:t>
            </w:r>
          </w:p>
        </w:tc>
      </w:tr>
      <w:tr w:rsidR="00431B5D" w:rsidRPr="005550C8" w14:paraId="7B86D81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2" w14:textId="77777777" w:rsidR="00431B5D" w:rsidRPr="005550C8" w:rsidRDefault="001E0DB5">
            <w:pPr>
              <w:spacing w:after="40"/>
              <w:rPr>
                <w:lang w:val="en-US"/>
              </w:rPr>
            </w:pPr>
            <w:r w:rsidRPr="005550C8">
              <w:rPr>
                <w:b/>
                <w:bCs/>
                <w:sz w:val="18"/>
                <w:szCs w:val="18"/>
                <w:lang w:val="en-US"/>
              </w:rPr>
              <w:t>Domain 3: Analysis and findings — Data analysis</w:t>
            </w:r>
          </w:p>
        </w:tc>
      </w:tr>
      <w:tr w:rsidR="00431B5D" w:rsidRPr="005C5321" w14:paraId="7B86D81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4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5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data </w:t>
            </w:r>
            <w:proofErr w:type="spellStart"/>
            <w:r>
              <w:rPr>
                <w:sz w:val="18"/>
                <w:szCs w:val="18"/>
              </w:rPr>
              <w:t>coders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6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How many data coders coded the data?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7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Coding by the first author under supervision of the senior research advisor; coding framework, categories and interpretation reviewed and refined with the research team (p. 10, L 215–220)</w:t>
            </w:r>
          </w:p>
        </w:tc>
      </w:tr>
      <w:tr w:rsidR="00431B5D" w:rsidRPr="005C5321" w14:paraId="7B86D81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9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A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Description of the coding tree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B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Did authors provide a description of the coding tree?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C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Coding domains and codes with frequencies for open-text data presented in Table 2 (p. 14, L 302); interview categories presented as Results subheadings and in the joint display (Table 3, p. 19, L 371)</w:t>
            </w:r>
          </w:p>
        </w:tc>
      </w:tr>
      <w:tr w:rsidR="00431B5D" w:rsidRPr="005C5321" w14:paraId="7B86D82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E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1F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Derivation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themes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0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Were themes identified in advance or derived from the data?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1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Derived inductively from the data (pp. 9–10, L 206–214; p. 10, L 221–228)</w:t>
            </w:r>
          </w:p>
        </w:tc>
      </w:tr>
      <w:tr w:rsidR="00431B5D" w:rsidRPr="005C5321" w14:paraId="7B86D82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3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4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Software</w:t>
            </w:r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5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What software, if applicable, was used to manage the data?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6" w14:textId="12333A16" w:rsidR="00431B5D" w:rsidRPr="005C5321" w:rsidRDefault="005C5321">
            <w:pPr>
              <w:spacing w:after="40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  <w:r w:rsidR="001E0DB5" w:rsidRPr="005C5321">
              <w:rPr>
                <w:sz w:val="18"/>
                <w:szCs w:val="18"/>
                <w:lang w:val="en-US"/>
              </w:rPr>
              <w:t xml:space="preserve">anual coding in spreadsheets </w:t>
            </w:r>
          </w:p>
        </w:tc>
      </w:tr>
      <w:tr w:rsidR="00431B5D" w:rsidRPr="005C5321" w14:paraId="7B86D82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8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9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Participant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checking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A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Did participants provide feedback on the findings?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B" w14:textId="40A76217" w:rsidR="00431B5D" w:rsidRPr="005C5321" w:rsidRDefault="005C5321">
            <w:pPr>
              <w:spacing w:after="40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  <w:r w:rsidR="001E0DB5" w:rsidRPr="005C5321">
              <w:rPr>
                <w:sz w:val="18"/>
                <w:szCs w:val="18"/>
                <w:lang w:val="en-US"/>
              </w:rPr>
              <w:t>ember checking was not conducted</w:t>
            </w:r>
          </w:p>
        </w:tc>
      </w:tr>
      <w:tr w:rsidR="00431B5D" w14:paraId="7B86D82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D" w14:textId="77777777" w:rsidR="00431B5D" w:rsidRDefault="001E0DB5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Domain 3: </w:t>
            </w:r>
            <w:proofErr w:type="spellStart"/>
            <w:r>
              <w:rPr>
                <w:b/>
                <w:bCs/>
                <w:sz w:val="18"/>
                <w:szCs w:val="18"/>
              </w:rPr>
              <w:t>Reporting</w:t>
            </w:r>
            <w:proofErr w:type="spellEnd"/>
          </w:p>
        </w:tc>
      </w:tr>
      <w:tr w:rsidR="00431B5D" w:rsidRPr="005C5321" w14:paraId="7B86D83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2F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0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Quotations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presented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1" w14:textId="77777777" w:rsidR="00431B5D" w:rsidRDefault="001E0DB5">
            <w:pPr>
              <w:spacing w:after="40"/>
            </w:pPr>
            <w:r w:rsidRPr="005C5321">
              <w:rPr>
                <w:sz w:val="18"/>
                <w:szCs w:val="18"/>
                <w:lang w:val="en-US"/>
              </w:rPr>
              <w:t xml:space="preserve">Were participant quotations presented to illustrate the themes/findings? </w:t>
            </w: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quotation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identified</w:t>
            </w:r>
            <w:proofErr w:type="spellEnd"/>
            <w:r>
              <w:rPr>
                <w:sz w:val="18"/>
                <w:szCs w:val="18"/>
              </w:rPr>
              <w:t xml:space="preserve">? e.g. </w:t>
            </w:r>
            <w:proofErr w:type="spellStart"/>
            <w:r>
              <w:rPr>
                <w:sz w:val="18"/>
                <w:szCs w:val="18"/>
              </w:rPr>
              <w:t>participant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2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Yes; quotations identified by participant code (P01–P08) and source (interview) throughout Results (pp. 13–19); coding scheme explained in Ethical considerations (p. 11, L 252–254); translation from Portuguese stated (p. 9, L 191–193)</w:t>
            </w:r>
          </w:p>
        </w:tc>
      </w:tr>
      <w:tr w:rsidR="00431B5D" w:rsidRPr="005C5321" w14:paraId="7B86D83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4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5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 xml:space="preserve">Data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findings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consistent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6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Was there consistency between the data presented and the findings?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7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Quotations and open-text frequencies support each integrated finding (Results, pp. 13–19; Tables 2–3)</w:t>
            </w:r>
          </w:p>
        </w:tc>
      </w:tr>
      <w:tr w:rsidR="00431B5D" w:rsidRPr="005C5321" w14:paraId="7B86D83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9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A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Clarity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major </w:t>
            </w:r>
            <w:proofErr w:type="spellStart"/>
            <w:r>
              <w:rPr>
                <w:sz w:val="18"/>
                <w:szCs w:val="18"/>
              </w:rPr>
              <w:t>themes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B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Were major themes clearly presented in the findings?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C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 xml:space="preserve">Yes; six integrated findings presented as Results subheadings (pp. 13–19) and </w:t>
            </w:r>
            <w:proofErr w:type="spellStart"/>
            <w:r w:rsidRPr="005C5321">
              <w:rPr>
                <w:sz w:val="18"/>
                <w:szCs w:val="18"/>
                <w:lang w:val="en-US"/>
              </w:rPr>
              <w:t>summarised</w:t>
            </w:r>
            <w:proofErr w:type="spellEnd"/>
            <w:r w:rsidRPr="005C5321">
              <w:rPr>
                <w:sz w:val="18"/>
                <w:szCs w:val="18"/>
                <w:lang w:val="en-US"/>
              </w:rPr>
              <w:t xml:space="preserve"> in the joint display (Table 3)</w:t>
            </w:r>
          </w:p>
        </w:tc>
      </w:tr>
      <w:tr w:rsidR="00431B5D" w:rsidRPr="005C5321" w14:paraId="7B86D84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E" w14:textId="77777777" w:rsidR="00431B5D" w:rsidRDefault="001E0DB5">
            <w:pPr>
              <w:spacing w:after="40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3F" w14:textId="77777777" w:rsidR="00431B5D" w:rsidRDefault="001E0DB5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Clarity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themes</w:t>
            </w:r>
            <w:proofErr w:type="spellEnd"/>
          </w:p>
        </w:tc>
        <w:tc>
          <w:tcPr>
            <w:tcW w:w="3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40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Is there a description of diverse cases or discussion of minor themes?</w:t>
            </w:r>
          </w:p>
        </w:tc>
        <w:tc>
          <w:tcPr>
            <w:tcW w:w="41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86D841" w14:textId="77777777" w:rsidR="00431B5D" w:rsidRPr="005C5321" w:rsidRDefault="001E0DB5">
            <w:pPr>
              <w:spacing w:after="40"/>
              <w:rPr>
                <w:lang w:val="en-US"/>
              </w:rPr>
            </w:pPr>
            <w:r w:rsidRPr="005C5321">
              <w:rPr>
                <w:sz w:val="18"/>
                <w:szCs w:val="18"/>
                <w:lang w:val="en-US"/>
              </w:rPr>
              <w:t>Yes; divergent/contrasting cases reported (e.g., participant who left a high-acuity employer, p. 18, L 340–342; participant with prior experience in another high-income country, p. 19, L 366–368); divergence/dissonance pattern in Table 3</w:t>
            </w:r>
          </w:p>
        </w:tc>
      </w:tr>
    </w:tbl>
    <w:p w14:paraId="7B86D843" w14:textId="0145A7EC" w:rsidR="00431B5D" w:rsidRPr="005C5321" w:rsidRDefault="00431B5D" w:rsidP="005550C8">
      <w:pPr>
        <w:spacing w:after="120"/>
        <w:rPr>
          <w:lang w:val="en-US"/>
        </w:rPr>
      </w:pPr>
    </w:p>
    <w:sectPr w:rsidR="00431B5D" w:rsidRPr="005C532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065CC2"/>
    <w:multiLevelType w:val="hybridMultilevel"/>
    <w:tmpl w:val="776E35B2"/>
    <w:lvl w:ilvl="0" w:tplc="3C281C4E">
      <w:start w:val="1"/>
      <w:numFmt w:val="bullet"/>
      <w:lvlText w:val="●"/>
      <w:lvlJc w:val="left"/>
      <w:pPr>
        <w:ind w:left="720" w:hanging="360"/>
      </w:pPr>
    </w:lvl>
    <w:lvl w:ilvl="1" w:tplc="33A6EB4A">
      <w:start w:val="1"/>
      <w:numFmt w:val="bullet"/>
      <w:lvlText w:val="○"/>
      <w:lvlJc w:val="left"/>
      <w:pPr>
        <w:ind w:left="1440" w:hanging="360"/>
      </w:pPr>
    </w:lvl>
    <w:lvl w:ilvl="2" w:tplc="17C05FC6">
      <w:start w:val="1"/>
      <w:numFmt w:val="bullet"/>
      <w:lvlText w:val="■"/>
      <w:lvlJc w:val="left"/>
      <w:pPr>
        <w:ind w:left="2160" w:hanging="360"/>
      </w:pPr>
    </w:lvl>
    <w:lvl w:ilvl="3" w:tplc="8DECFB58">
      <w:start w:val="1"/>
      <w:numFmt w:val="bullet"/>
      <w:lvlText w:val="●"/>
      <w:lvlJc w:val="left"/>
      <w:pPr>
        <w:ind w:left="2880" w:hanging="360"/>
      </w:pPr>
    </w:lvl>
    <w:lvl w:ilvl="4" w:tplc="FB42A634">
      <w:start w:val="1"/>
      <w:numFmt w:val="bullet"/>
      <w:lvlText w:val="○"/>
      <w:lvlJc w:val="left"/>
      <w:pPr>
        <w:ind w:left="3600" w:hanging="360"/>
      </w:pPr>
    </w:lvl>
    <w:lvl w:ilvl="5" w:tplc="920E91FA">
      <w:start w:val="1"/>
      <w:numFmt w:val="bullet"/>
      <w:lvlText w:val="■"/>
      <w:lvlJc w:val="left"/>
      <w:pPr>
        <w:ind w:left="4320" w:hanging="360"/>
      </w:pPr>
    </w:lvl>
    <w:lvl w:ilvl="6" w:tplc="C4AA5CD0">
      <w:start w:val="1"/>
      <w:numFmt w:val="bullet"/>
      <w:lvlText w:val="●"/>
      <w:lvlJc w:val="left"/>
      <w:pPr>
        <w:ind w:left="5040" w:hanging="360"/>
      </w:pPr>
    </w:lvl>
    <w:lvl w:ilvl="7" w:tplc="E9E22BC8">
      <w:start w:val="1"/>
      <w:numFmt w:val="bullet"/>
      <w:lvlText w:val="●"/>
      <w:lvlJc w:val="left"/>
      <w:pPr>
        <w:ind w:left="5760" w:hanging="360"/>
      </w:pPr>
    </w:lvl>
    <w:lvl w:ilvl="8" w:tplc="E0300ABC">
      <w:start w:val="1"/>
      <w:numFmt w:val="bullet"/>
      <w:lvlText w:val="●"/>
      <w:lvlJc w:val="left"/>
      <w:pPr>
        <w:ind w:left="6480" w:hanging="360"/>
      </w:pPr>
    </w:lvl>
  </w:abstractNum>
  <w:num w:numId="1" w16cid:durableId="12871998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5D"/>
    <w:rsid w:val="001E0DB5"/>
    <w:rsid w:val="002A6755"/>
    <w:rsid w:val="00431B5D"/>
    <w:rsid w:val="005550C8"/>
    <w:rsid w:val="005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86D788"/>
  <w15:docId w15:val="{E541B16A-8EAF-B744-99E8-A313AF8D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1218</Words>
  <Characters>6920</Characters>
  <Application>Microsoft Office Word</Application>
  <DocSecurity>0</DocSecurity>
  <Lines>266</Lines>
  <Paragraphs>156</Paragraphs>
  <ScaleCrop>false</ScaleCrop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José Luís Santos</cp:lastModifiedBy>
  <cp:revision>3</cp:revision>
  <dcterms:created xsi:type="dcterms:W3CDTF">2026-10-15T01:59:00Z</dcterms:created>
  <dcterms:modified xsi:type="dcterms:W3CDTF">2026-10-16T01:40:00Z</dcterms:modified>
</cp:coreProperties>
</file>