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Additional file 1. STROBE Statement — Checklist of items that should be included in reports of cross-sectional studies</w:t>
      </w:r>
    </w:p>
    <w:p>
      <w:pPr>
        <w:spacing w:after="12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Completed for the quantitative (cross-sectional online survey) component of the study.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Manuscript: Migration drivers, transition to practice, and workforce integration among Brazilian-educated nurses in the United States: A mixed-methods study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Journal: BMC Nursing — Collection "Nursing workforce migration &amp; global health equity"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Source: von Elm E, Altman DG, Egger M, Pocock SJ, Gøtzsche PC, Vandenbroucke JP; STROBE Initiative. Lancet. 2007;370(9596):1453–1457.</w:t>
      </w:r>
    </w:p>
    <w:p>
      <w:pPr>
        <w:spacing w:after="12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Page and line numbers refer to the clean manuscript version dated 15 October 2026 (all tracked changes accepted) (double-spaced, continuous line numbering) and should be updated if the title page or text changes before submission.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500"/>
        <w:gridCol w:w="4000"/>
        <w:gridCol w:w="3880"/>
      </w:tblGrid>
      <w:tr>
        <w:trPr>
          <w:tblHeader/>
        </w:trPr>
        <w:tc>
          <w:tcPr>
            <w:tcW w:type="dxa" w:w="700"/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Item No.</w:t>
            </w:r>
          </w:p>
        </w:tc>
        <w:tc>
          <w:tcPr>
            <w:tcW w:type="dxa" w:w="1500"/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Topic</w:t>
            </w:r>
          </w:p>
        </w:tc>
        <w:tc>
          <w:tcPr>
            <w:tcW w:type="dxa" w:w="4000"/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Recommendation</w:t>
            </w:r>
          </w:p>
        </w:tc>
        <w:tc>
          <w:tcPr>
            <w:tcW w:type="dxa" w:w="3880"/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Reported in (section, page, lines) / Comment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Title and abstract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(a) Indicate the study's design with a commonly used term in the title or the abstract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Title (p. 1, L 1–3); Abstract – Methods ("convergent mixed-methods design", "cross-sectional online survey"; p. 2, L 40–45)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(b) Provide in the abstract an informative and balanced summary of what was done and what was found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Abstract, pp. 2–3, L 32–67</w:t>
            </w:r>
          </w:p>
        </w:tc>
      </w:tr>
      <w:tr>
        <w:tc>
          <w:tcPr>
            <w:tcW w:type="dxa" w:w="10080"/>
            <w:gridSpan w:val="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Introduction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Background/rationale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Explain the scientific background and rationale for the investigation being reported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Background, pp. 4–5, L 74–106 and pp. 5–6, L 107–127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Objectives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State specific objectives, including any prespecified hypotheses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Background, final paragraph, p. 6, L 125–127 (exploratory descriptive aims; no hypotheses)</w:t>
            </w:r>
          </w:p>
        </w:tc>
      </w:tr>
      <w:tr>
        <w:tc>
          <w:tcPr>
            <w:tcW w:type="dxa" w:w="10080"/>
            <w:gridSpan w:val="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Methods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Study design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Present key elements of study design early in the paper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– Study design, pp. 6–7, L 129–148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Setting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Describe the setting, locations, and relevant dates, including periods of recruitment, exposure, follow-up, and data collection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– Study design (pp. 6–7, L 130–143) and Setting, eligibility, and recruitment (p. 7, L 149–163) (online survey, United States, February–May 2024)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Participants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(a) Give the eligibility criteria, and the sources and methods of selection of participants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– Setting, eligibility, and recruitment, p. 7, L 149–163 (eligibility criteria; convenience and online snowball sampling; social media and professional networks)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Variables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Clearly define all outcomes, exposures, predictors, potential confounders, and effect modifiers. Give diagnostic criteria, if applicable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– Survey instrument and data collection, p. 8, L 165–176 (sociodemographic and professional characteristics, migration characteristics and drivers, previous/current work, intention to continue working in the US). Descriptive study: no exposures/outcomes modelled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Data sources/measurement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– Survey instrument and data collection, p. 8, L 165–176 (researcher-developed questionnaire via Google Forms; self-report; no psychometric validation)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Bias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Describe any efforts to address potential sources of bias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– Quantitative analysis (data review for eligibility, completeness, consistency, implausible values), p. 9, L 195–196; Discussion – Strengths and limitations (selection/survivorship bias, self-report, recall), pp. 27–28, L 528–548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Study size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Explain how the study size was arrived at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– Setting, eligibility, and recruitment, p. 7, L 156–160 and p. 7, L 161–163 (no sampling frame; all eligible respondents in the recruitment window; 38 received, 2 excluded, 36 analysed); no a priori sample size calculation (exploratory, descriptive study); size of the target population discussed in Strengths and limitations (p. 27, L 529–533)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Quantitative variables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Explain how quantitative variables were handled in the analyses. If applicable, describe which groupings were chosen and why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– Quantitative analysis, p. 9, L 194–204 (means/SD for symmetric, medians/IQR/range for skewed variables; multiple-response items as separate indicators)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Statistical methods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(a) Describe all statistical methods, including those used to control for confounding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– Quantitative analysis, p. 9, L 194–204 (descriptive statistics only; IBM SPSS 29.0)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(b) Describe any methods used to examine subgroups and interactions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 applicable (no inferential or subgroup analyses; justified at p. 9, L 202–203)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(c) Explain how missing data were addressed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– Quantitative analysis, p. 9, L 200–202 (contradictory/uninterpretable responses treated as missing for the specific analysis; not imputed)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(d) If applicable, describe analytical methods taking account of sampling strategy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 applicable (non-probability sample; no weighting). Interpretation caveats: Results, p. 12, L 272–273; Discussion, p. 21, L 398–399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(e) Describe any sensitivity analyses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 applicable</w:t>
            </w:r>
          </w:p>
        </w:tc>
      </w:tr>
      <w:tr>
        <w:tc>
          <w:tcPr>
            <w:tcW w:type="dxa" w:w="10080"/>
            <w:gridSpan w:val="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Results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Participants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– Setting, eligibility, and recruitment, p. 7, L 161–163 (38 responses; 2 excluded; 36 analysed); Follow-up interviews, p. 8, L 180–181 (30 willing; 8 interviewed)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(b) Give reasons for non-participation at each stage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 7, L 161–163 (reasons for exclusion); p. 8, L 180–181 (22 willing respondents did not respond to contact/schedule)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(c) Consider use of a flow diagram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 included (small sample; flow described in text)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Descriptive data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(a) Give characteristics of study participants (eg demographic, clinical, social) and information on exposures and potential confounders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Results – Participant characteristics and migration profile, p. 12, L 263–273; Table 1 (p. 13, L 281)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(b) Indicate number of participants with missing data for each variable of interest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Denominators reported as n/36 throughout Results and Tables 1–2; variables with missing/ambiguous values handled as described in Methods (p. 9, L 200–202)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Outcome data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Report numbers of outcome events or summary measures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Results, pp. 12–19 (frequencies and percentages for migration drivers, challenges, integration, career intentions); Tables 1–2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Main results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(a)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Descriptive frequencies and percentages only (Results; Tables 1–2); no adjusted estimates (not applicable)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(b) Report category boundaries when continuous variables were categorized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 applicable (continuous variables reported as mean/SD or median/IQR/range)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(c) If relevant, consider translating estimates of relative risk into absolute risk for a meaningful time period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 applicable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Other analyses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Report other analyses done—eg analyses of subgroups and interactions, and sensitivity analyses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 applicable; mixed-methods integration reported in Results (Table 3, p. 19, L 371) per GRAMMS</w:t>
            </w:r>
          </w:p>
        </w:tc>
      </w:tr>
      <w:tr>
        <w:tc>
          <w:tcPr>
            <w:tcW w:type="dxa" w:w="10080"/>
            <w:gridSpan w:val="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Discussion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Key results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Summarise key results with reference to study objectives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Discussion, first two paragraphs, pp. 20–21, L 374–392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Limitations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 limitations of the study, taking into account sources of potential bias or imprecision. Discuss both direction and magnitude of any potential bias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Discussion – Strengths and limitations, pp. 27–28, L 528–548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Interpretation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Discussion, pp. 20–27; Conclusions, pp. 28–29, L 549–569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21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Generalisability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 the generalisability (external validity) of the study results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Discussion – Professional development, retention, and personal costs (pp. 24–25, L 467–472) and Strengths and limitations (pp. 27–28, L 528–548); Results, p. 12, L 272–273</w:t>
            </w:r>
          </w:p>
        </w:tc>
      </w:tr>
      <w:tr>
        <w:tc>
          <w:tcPr>
            <w:tcW w:type="dxa" w:w="10080"/>
            <w:gridSpan w:val="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Other information</w:t>
            </w:r>
          </w:p>
        </w:tc>
      </w:tr>
      <w:tr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Funding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Give the source of funding and the role of the funders for the present study and, if applicable, for the original study on which the present article is based</w:t>
            </w:r>
          </w:p>
        </w:tc>
        <w:tc>
          <w:tcPr>
            <w:tcW w:type="dxa" w:w="388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Declarations – Funding, p. 30, L 589–591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8"/>
          <w:szCs w:val="18"/>
        </w:rPr>
        <w:t xml:space="preserve">Note: The STROBE Statement is intended for analytical observational studies; items referring to exposures, confounders, adjusted estimates and effect measures are marked "not applicable" because this component is descriptive and no inferential analyses were performed.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2026-10-15T01:59:23.875Z</dcterms:created>
  <dcterms:modified xsi:type="dcterms:W3CDTF">2026-10-15T01:59:23.887Z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