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supplementary-material"/>
      <w:r>
        <w:t xml:space="preserve">Supplementary Material</w:t>
      </w:r>
      <w:bookmarkEnd w:id="20"/>
    </w:p>
    <w:p>
      <w:pPr>
        <w:pStyle w:val="FirstParagraph"/>
      </w:pPr>
      <w:r>
        <w:rPr>
          <w:b/>
        </w:rPr>
        <w:t xml:space="preserve">Identical results, hidden data problems: running CMS’s digital quality measures on real hospital data</w:t>
      </w:r>
    </w:p>
    <w:p>
      <w:pPr>
        <w:pStyle w:val="BodyText"/>
      </w:pPr>
      <w:r>
        <w:t xml:space="preserve">Sai Sharan Kasa, Independent Researcher, Seattle, WA, USA</w:t>
      </w:r>
    </w:p>
    <w:p>
      <w:pPr>
        <w:pStyle w:val="BodyText"/>
      </w:pPr>
      <w:r>
        <w:t xml:space="preserve">Preregistration: https://osf.io/jhkvt (doi:10.17605/OSF.IO/JHKVT). Code and aggregate results: https://github.com/sharankasa/cms-dqm-readiness (release v1.0.0, archived at doi:10.5281/zenodo.23406902). Reference numbers in brackets refer to the main text.</w:t>
      </w:r>
    </w:p>
    <w:p>
      <w:pPr>
        <w:pStyle w:val="BodyText"/>
      </w:pPr>
      <w:r>
        <w:rPr>
          <w:b/>
        </w:rPr>
        <w:t xml:space="preserve">Contents.</w:t>
      </w:r>
      <w:r>
        <w:t xml:space="preserve"> </w:t>
      </w:r>
      <w:r>
        <w:t xml:space="preserve">Supplementary Methods 1–15. Supplementary Tables S1–S6. Supplementary Figure S1.</w:t>
      </w:r>
    </w:p>
    <w:p>
      <w:pPr>
        <w:pStyle w:val="Heading2"/>
      </w:pPr>
      <w:bookmarkStart w:id="21" w:name="supplementary-methods"/>
      <w:r>
        <w:t xml:space="preserve">SUPPLEMENTARY METHODS</w:t>
      </w:r>
      <w:bookmarkEnd w:id="21"/>
    </w:p>
    <w:p>
      <w:pPr>
        <w:pStyle w:val="Heading3"/>
      </w:pPr>
      <w:bookmarkStart w:id="22" w:name="data-year-linkage-and-cohorts"/>
      <w:r>
        <w:t xml:space="preserve">1. Data, year linkage and cohorts</w:t>
      </w:r>
      <w:bookmarkEnd w:id="22"/>
    </w:p>
    <w:p>
      <w:pPr>
        <w:pStyle w:val="FirstParagraph"/>
      </w:pPr>
      <w:r>
        <w:t xml:space="preserve">MIMIC-IV-on-FHIR 2.1 was converted by its authors from MIMIC-IV 2.2 and MIMIC-IV-ED 2.2 and keeps the local codes of the source.[24] It holds 299,712 patients and 431,231 hospital stays. Dates are shifted into the future by a constant amount for each patient, so a stay’s real years are not in the record. Each stay was linked by its admission identifier to MIMIC-IV 3.1, whose patient table gives a three-year group of real years for each patient. Of 431,231 stays, 431,044 (99.96%) linked. A stay entered the 2017–2019 cohort when every year it could have taken place lay in 2017–2019; this gave 88,234 stays from 52,022 patients. In these years the electronic medication administration record covered 98.3% of adult admissions that were not observation stays.</w:t>
      </w:r>
    </w:p>
    <w:p>
      <w:pPr>
        <w:pStyle w:val="BodyText"/>
      </w:pPr>
      <w:r>
        <w:t xml:space="preserve">Each stay was evaluated with the one-year measurement period, in shifted time, that contains its discharge, so that both measures’ rule</w:t>
      </w:r>
      <w:r>
        <w:t xml:space="preserve"> </w:t>
      </w:r>
      <w:r>
        <w:t xml:space="preserve">“</w:t>
      </w:r>
      <w:r>
        <w:t xml:space="preserve">ends during the measurement period</w:t>
      </w:r>
      <w:r>
        <w:t xml:space="preserve">”</w:t>
      </w:r>
      <w:r>
        <w:t xml:space="preserve"> </w:t>
      </w:r>
      <w:r>
        <w:t xml:space="preserve">admits every stay exactly once. The registered sensitivity group of stays from 2014–2016, and stays straddling 2016 and 2017, was not analyzed (Supplementary Table S1, deviation 7).</w:t>
      </w:r>
    </w:p>
    <w:p>
      <w:pPr>
        <w:pStyle w:val="BodyText"/>
      </w:pPr>
      <w:r>
        <w:t xml:space="preserve">The 2020–2022 persistence check (Supplementary Table S5) is SQL only. It counts the same source patterns in MIMIC-IV 3.1 admissions whose possible years lie within 2020–2022, leaving out admissions coded U07.1 (COVID-19), and compares them with the same counts for 2017–2019.</w:t>
      </w:r>
    </w:p>
    <w:p>
      <w:pPr>
        <w:pStyle w:val="Heading3"/>
      </w:pPr>
      <w:bookmarkStart w:id="23" w:name="measure-content-value-sets-and-engine"/>
      <w:r>
        <w:t xml:space="preserve">2. Measure content, value sets and engine</w:t>
      </w:r>
      <w:bookmarkEnd w:id="23"/>
    </w:p>
    <w:p>
      <w:pPr>
        <w:pStyle w:val="FirstParagraph"/>
      </w:pPr>
      <w:r>
        <w:t xml:space="preserve">The FHIR measure packages CMS816FHIRHHHypo and CMS871FHIRHHHyper (QI-Core 6.0.0) were taken from the cqframework/dqm-content-qicore-2025 repository at commit 5f840c8 (10 September 2026).[14] The value-set expansions bundled in that repository follow the Value Set Authority Center (VSAC) expansion manifest of 17 November 2025. Each package declares one value set that it does not bundle, and fqm-execution stops when any declared value set is missing, even one the logic never uses; CMS’s measure authoring tool documents the same engine behavior.[31] Both were retrieved from VSAC’s FHIR terminology service with the author’s UMLS license on 5–6 October 2026 and are not redistributed:</w:t>
      </w:r>
    </w:p>
    <w:p>
      <w:pPr>
        <w:numPr>
          <w:ilvl w:val="0"/>
          <w:numId w:val="1001"/>
        </w:numPr>
        <w:pStyle w:val="Compact"/>
      </w:pPr>
      <w:r>
        <w:t xml:space="preserve">CMS816:</w:t>
      </w:r>
      <w:r>
        <w:t xml:space="preserve"> </w:t>
      </w:r>
      <w:r>
        <w:t xml:space="preserve">“</w:t>
      </w:r>
      <w:r>
        <w:t xml:space="preserve">Extended Pregnancy Status</w:t>
      </w:r>
      <w:r>
        <w:t xml:space="preserve">”</w:t>
      </w:r>
      <w:r>
        <w:t xml:space="preserve"> </w:t>
      </w:r>
      <w:r>
        <w:t xml:space="preserve">(2.16.840.1.113762.1.4.1099.24, version 20230715, 3 codes), declared but not used by the logic.</w:t>
      </w:r>
    </w:p>
    <w:p>
      <w:pPr>
        <w:numPr>
          <w:ilvl w:val="0"/>
          <w:numId w:val="1001"/>
        </w:numPr>
        <w:pStyle w:val="Compact"/>
      </w:pPr>
      <w:r>
        <w:t xml:space="preserve">CMS871:</w:t>
      </w:r>
      <w:r>
        <w:t xml:space="preserve"> </w:t>
      </w:r>
      <w:r>
        <w:t xml:space="preserve">“</w:t>
      </w:r>
      <w:r>
        <w:t xml:space="preserve">Hypoglycemics Treatment Medications</w:t>
      </w:r>
      <w:r>
        <w:t xml:space="preserve">”</w:t>
      </w:r>
      <w:r>
        <w:t xml:space="preserve"> </w:t>
      </w:r>
      <w:r>
        <w:t xml:space="preserve">(2.16.840.1.113762.1.4.1196.394, version 20260127, 225 codes), used by the medication criterion of the initial population.</w:t>
      </w:r>
    </w:p>
    <w:p>
      <w:pPr>
        <w:pStyle w:val="FirstParagraph"/>
      </w:pPr>
      <w:r>
        <w:t xml:space="preserve">The same issue in this repository, for CMS816 and other measures, was reported publicly in September 2026.[41]</w:t>
      </w:r>
    </w:p>
    <w:p>
      <w:pPr>
        <w:pStyle w:val="BodyText"/>
      </w:pPr>
      <w:r>
        <w:t xml:space="preserve">Two further adjustments were needed for CMS871. Its measure group declares the aggregation method as</w:t>
      </w:r>
      <w:r>
        <w:t xml:space="preserve"> </w:t>
      </w:r>
      <w:r>
        <w:t xml:space="preserve">“</w:t>
      </w:r>
      <w:r>
        <w:t xml:space="preserve">Sum</w:t>
      </w:r>
      <w:r>
        <w:t xml:space="preserve">”</w:t>
      </w:r>
      <w:r>
        <w:t xml:space="preserve">, while the engine expects the code</w:t>
      </w:r>
      <w:r>
        <w:t xml:space="preserve"> </w:t>
      </w:r>
      <w:r>
        <w:t xml:space="preserve">“</w:t>
      </w:r>
      <w:r>
        <w:t xml:space="preserve">sum</w:t>
      </w:r>
      <w:r>
        <w:t xml:space="preserve">”</w:t>
      </w:r>
      <w:r>
        <w:t xml:space="preserve">; the code was changed in the local copy and nothing else. And for a ratio measure with measure observations, the engine’s summary report places the summed observation (for example, four eligible days) in the denominator count and leaves out the observation populations, whereas CMS’s expected results count one stay in the denominator and four days in the observation. The engine’s detailed per-case results match CMS’s expected results exactly, so CMS871 was always read from the detailed results.</w:t>
      </w:r>
    </w:p>
    <w:p>
      <w:pPr>
        <w:pStyle w:val="BodyText"/>
      </w:pPr>
      <w:r>
        <w:t xml:space="preserve">The engine was fqm-execution 1.8.5 with cql-execution 3.3.2 and cql-exec-fhir 2.2.0, run with default options, on Node.js 22. With the two value sets and the two CMS871 adjustments, the engine reproduced CMS’s expected results for all 28 CMS816 and 26 CMS871 test cases; as shipped, every test case failed because the engine stopped on the missing value sets. A confirmatory rerun on the pinned versions on 14 October 2026 gave the same result.</w:t>
      </w:r>
    </w:p>
    <w:p>
      <w:pPr>
        <w:pStyle w:val="BodyText"/>
      </w:pPr>
      <w:r>
        <w:t xml:space="preserve">Versions used in this study:</w:t>
      </w:r>
    </w:p>
    <w:tbl>
      <w:tblPr>
        <w:tblStyle w:val="Table"/>
        <w:tblW w:type="dxa" w:w="9360"/>
        <w:tblLook w:firstRow="1"/>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2819"/>
        <w:gridCol w:w="6540"/>
      </w:tblGrid>
      <w:tr>
        <w:trPr>
          <w:cnfStyle w:firstRow="1"/>
        </w:trPr>
        <w:tc>
          <w:tcPr>
            <w:tcW w:type="dxa" w:w="2820"/>
            <w:tcBorders>
              <w:bottom w:val="single"/>
            </w:tcBorders>
            <w:vAlign w:val="bottom"/>
          </w:tcPr>
          <w:p>
            <w:pPr>
              <w:pStyle w:val="Compact"/>
              <w:spacing w:line="240" w:lineRule="auto" w:after="0"/>
              <w:jc w:val="left"/>
            </w:pPr>
            <w:r>
              <w:rPr>
                <w:sz w:val="18"/>
              </w:rPr>
              <w:t xml:space="preserve">Component</w:t>
            </w:r>
          </w:p>
        </w:tc>
        <w:tc>
          <w:tcPr>
            <w:tcW w:type="dxa" w:w="6540"/>
            <w:tcBorders>
              <w:bottom w:val="single"/>
            </w:tcBorders>
            <w:vAlign w:val="bottom"/>
          </w:tcPr>
          <w:p>
            <w:pPr>
              <w:pStyle w:val="Compact"/>
              <w:spacing w:line="240" w:lineRule="auto" w:after="0"/>
              <w:jc w:val="left"/>
            </w:pPr>
            <w:r>
              <w:rPr>
                <w:sz w:val="18"/>
              </w:rPr>
              <w:t xml:space="preserve">Version</w:t>
            </w:r>
          </w:p>
        </w:tc>
      </w:tr>
      <w:tr>
        <w:tc>
          <w:tcPr>
            <w:tcW w:type="dxa" w:w="2820"/>
          </w:tcPr>
          <w:p>
            <w:pPr>
              <w:pStyle w:val="Compact"/>
              <w:spacing w:line="240" w:lineRule="auto" w:after="0"/>
              <w:jc w:val="left"/>
            </w:pPr>
            <w:r>
              <w:rPr>
                <w:sz w:val="18"/>
              </w:rPr>
              <w:t xml:space="preserve">Measure engine</w:t>
            </w:r>
          </w:p>
        </w:tc>
        <w:tc>
          <w:tcPr>
            <w:tcW w:type="dxa" w:w="6540"/>
          </w:tcPr>
          <w:p>
            <w:pPr>
              <w:pStyle w:val="Compact"/>
              <w:spacing w:line="240" w:lineRule="auto" w:after="0"/>
              <w:jc w:val="left"/>
            </w:pPr>
            <w:r>
              <w:rPr>
                <w:sz w:val="18"/>
              </w:rPr>
              <w:t xml:space="preserve">fqm-execution 1.8.5 (cql-execution 3.3.2, cql-exec-fhir 2.2.0), Node.js 22</w:t>
            </w:r>
          </w:p>
        </w:tc>
      </w:tr>
      <w:tr>
        <w:tc>
          <w:tcPr>
            <w:tcW w:type="dxa" w:w="2820"/>
          </w:tcPr>
          <w:p>
            <w:pPr>
              <w:pStyle w:val="Compact"/>
              <w:spacing w:line="240" w:lineRule="auto" w:after="0"/>
              <w:jc w:val="left"/>
            </w:pPr>
            <w:r>
              <w:rPr>
                <w:sz w:val="18"/>
              </w:rPr>
              <w:t xml:space="preserve">Measure content</w:t>
            </w:r>
          </w:p>
        </w:tc>
        <w:tc>
          <w:tcPr>
            <w:tcW w:type="dxa" w:w="6540"/>
          </w:tcPr>
          <w:p>
            <w:pPr>
              <w:pStyle w:val="Compact"/>
              <w:spacing w:line="240" w:lineRule="auto" w:after="0"/>
              <w:jc w:val="left"/>
            </w:pPr>
            <w:r>
              <w:rPr>
                <w:sz w:val="18"/>
              </w:rPr>
              <w:t xml:space="preserve">cqframework/dqm-content-qicore-2025, commit 5f840c8 (10 September 2026); QI-Core 6.0.0</w:t>
            </w:r>
          </w:p>
        </w:tc>
      </w:tr>
      <w:tr>
        <w:tc>
          <w:tcPr>
            <w:tcW w:type="dxa" w:w="2820"/>
          </w:tcPr>
          <w:p>
            <w:pPr>
              <w:pStyle w:val="Compact"/>
              <w:spacing w:line="240" w:lineRule="auto" w:after="0"/>
              <w:jc w:val="left"/>
            </w:pPr>
            <w:r>
              <w:rPr>
                <w:sz w:val="18"/>
              </w:rPr>
              <w:t xml:space="preserve">Value sets</w:t>
            </w:r>
          </w:p>
        </w:tc>
        <w:tc>
          <w:tcPr>
            <w:tcW w:type="dxa" w:w="6540"/>
          </w:tcPr>
          <w:p>
            <w:pPr>
              <w:pStyle w:val="Compact"/>
              <w:spacing w:line="240" w:lineRule="auto" w:after="0"/>
              <w:jc w:val="left"/>
            </w:pPr>
            <w:r>
              <w:rPr>
                <w:sz w:val="18"/>
              </w:rPr>
              <w:t xml:space="preserve">VSAC expansion manifest of 17 November 2025 (bundled); two value sets retrieved 5–6 October 2026 (above)</w:t>
            </w:r>
          </w:p>
        </w:tc>
      </w:tr>
      <w:tr>
        <w:tc>
          <w:tcPr>
            <w:tcW w:type="dxa" w:w="2820"/>
          </w:tcPr>
          <w:p>
            <w:pPr>
              <w:pStyle w:val="Compact"/>
              <w:spacing w:line="240" w:lineRule="auto" w:after="0"/>
              <w:jc w:val="left"/>
            </w:pPr>
            <w:r>
              <w:rPr>
                <w:sz w:val="18"/>
              </w:rPr>
              <w:t xml:space="preserve">Drug terminology</w:t>
            </w:r>
          </w:p>
        </w:tc>
        <w:tc>
          <w:tcPr>
            <w:tcW w:type="dxa" w:w="6540"/>
          </w:tcPr>
          <w:p>
            <w:pPr>
              <w:pStyle w:val="Compact"/>
              <w:spacing w:line="240" w:lineRule="auto" w:after="0"/>
              <w:jc w:val="left"/>
            </w:pPr>
            <w:r>
              <w:rPr>
                <w:sz w:val="18"/>
              </w:rPr>
              <w:t xml:space="preserve">RxNorm release of 5 October 2026</w:t>
            </w:r>
          </w:p>
        </w:tc>
      </w:tr>
      <w:tr>
        <w:tc>
          <w:tcPr>
            <w:tcW w:type="dxa" w:w="2820"/>
          </w:tcPr>
          <w:p>
            <w:pPr>
              <w:pStyle w:val="Compact"/>
              <w:spacing w:line="240" w:lineRule="auto" w:after="0"/>
              <w:jc w:val="left"/>
            </w:pPr>
            <w:r>
              <w:rPr>
                <w:sz w:val="18"/>
              </w:rPr>
              <w:t xml:space="preserve">Data</w:t>
            </w:r>
          </w:p>
        </w:tc>
        <w:tc>
          <w:tcPr>
            <w:tcW w:type="dxa" w:w="6540"/>
          </w:tcPr>
          <w:p>
            <w:pPr>
              <w:pStyle w:val="Compact"/>
              <w:spacing w:line="240" w:lineRule="auto" w:after="0"/>
              <w:jc w:val="left"/>
            </w:pPr>
            <w:r>
              <w:rPr>
                <w:sz w:val="18"/>
              </w:rPr>
              <w:t xml:space="preserve">MIMIC-IV-on-FHIR 2.1 (from MIMIC-IV 2.2 and MIMIC-IV-ED 2.2); MIMIC-IV 3.1 (year linkage, 2020–2022 check); eICU Collaborative Research Database 2.0</w:t>
            </w:r>
          </w:p>
        </w:tc>
      </w:tr>
      <w:tr>
        <w:tc>
          <w:tcPr>
            <w:tcW w:type="dxa" w:w="2820"/>
          </w:tcPr>
          <w:p>
            <w:pPr>
              <w:pStyle w:val="Compact"/>
              <w:spacing w:line="240" w:lineRule="auto" w:after="0"/>
              <w:jc w:val="left"/>
            </w:pPr>
            <w:r>
              <w:rPr>
                <w:sz w:val="18"/>
              </w:rPr>
              <w:t xml:space="preserve">Profile validation</w:t>
            </w:r>
          </w:p>
        </w:tc>
        <w:tc>
          <w:tcPr>
            <w:tcW w:type="dxa" w:w="6540"/>
          </w:tcPr>
          <w:p>
            <w:pPr>
              <w:pStyle w:val="Compact"/>
              <w:spacing w:line="240" w:lineRule="auto" w:after="0"/>
              <w:jc w:val="left"/>
            </w:pPr>
            <w:r>
              <w:rPr>
                <w:sz w:val="18"/>
              </w:rPr>
              <w:t xml:space="preserve">HL7 FHIR validator 7.0.1</w:t>
            </w:r>
          </w:p>
        </w:tc>
      </w:tr>
      <w:tr>
        <w:tc>
          <w:tcPr>
            <w:tcW w:type="dxa" w:w="2820"/>
          </w:tcPr>
          <w:p>
            <w:pPr>
              <w:pStyle w:val="Compact"/>
              <w:spacing w:line="240" w:lineRule="auto" w:after="0"/>
              <w:jc w:val="left"/>
            </w:pPr>
            <w:r>
              <w:rPr>
                <w:sz w:val="18"/>
              </w:rPr>
              <w:t xml:space="preserve">Model for mapping d</w:t>
            </w:r>
          </w:p>
        </w:tc>
        <w:tc>
          <w:tcPr>
            <w:tcW w:type="dxa" w:w="6540"/>
          </w:tcPr>
          <w:p>
            <w:pPr>
              <w:pStyle w:val="Compact"/>
              <w:spacing w:line="240" w:lineRule="auto" w:after="0"/>
              <w:jc w:val="left"/>
            </w:pPr>
            <w:r>
              <w:rPr>
                <w:sz w:val="18"/>
              </w:rPr>
              <w:t xml:space="preserve">gpt-oss-120b through Amazon Bedrock (us-west-2), prompt version of 13 October 2026</w:t>
            </w:r>
          </w:p>
        </w:tc>
      </w:tr>
      <w:tr>
        <w:tc>
          <w:tcPr>
            <w:tcW w:type="dxa" w:w="2820"/>
          </w:tcPr>
          <w:p>
            <w:pPr>
              <w:pStyle w:val="Compact"/>
              <w:spacing w:line="240" w:lineRule="auto" w:after="0"/>
              <w:jc w:val="left"/>
            </w:pPr>
            <w:r>
              <w:rPr>
                <w:sz w:val="18"/>
              </w:rPr>
              <w:t xml:space="preserve">Code</w:t>
            </w:r>
          </w:p>
        </w:tc>
        <w:tc>
          <w:tcPr>
            <w:tcW w:type="dxa" w:w="6540"/>
          </w:tcPr>
          <w:p>
            <w:pPr>
              <w:pStyle w:val="Compact"/>
              <w:spacing w:line="240" w:lineRule="auto" w:after="0"/>
              <w:jc w:val="left"/>
            </w:pPr>
            <w:r>
              <w:rPr>
                <w:sz w:val="18"/>
              </w:rPr>
              <w:t xml:space="preserve">https://github.com/sharankasa/cms-dqm-readiness, release v1.0.0, doi:10.5281/zenodo.23406902</w:t>
            </w:r>
          </w:p>
        </w:tc>
      </w:tr>
    </w:tbl>
    <w:p>
      <w:pPr>
        <w:pStyle w:val="Heading3"/>
      </w:pPr>
      <w:bookmarkStart w:id="24" w:name="baseline-mapping"/>
      <w:r>
        <w:t xml:space="preserve">3. Baseline mapping</w:t>
      </w:r>
      <w:bookmarkEnd w:id="24"/>
    </w:p>
    <w:p>
      <w:pPr>
        <w:pStyle w:val="FirstParagraph"/>
      </w:pPr>
      <w:r>
        <w:t xml:space="preserve">The baseline mapping (mapping a) followed one rule: values stay as exported, and only the structure the measures need to read them is added. In practice:</w:t>
      </w:r>
    </w:p>
    <w:p>
      <w:pPr>
        <w:numPr>
          <w:ilvl w:val="0"/>
          <w:numId w:val="1002"/>
        </w:numPr>
        <w:pStyle w:val="Compact"/>
      </w:pPr>
      <w:r>
        <w:rPr>
          <w:b/>
        </w:rPr>
        <w:t xml:space="preserve">Encounters.</w:t>
      </w:r>
      <w:r>
        <w:t xml:space="preserve"> </w:t>
      </w:r>
      <w:r>
        <w:t xml:space="preserve">Each hospital encounter received a SNOMED CT encounter type from its MIMIC class: the emergency class as an emergency hospital admission (183452005), the ambulatory and same-day classes as a hospital admission (32485007, or elective admission, 8715000, when the admission priority was elective), and the observation class as observation services. Other classes were left untyped. Emergency department stays from MIMIC-IV-ED are separate encounters, and were typed as emergency department patient visits (4525004). The measures use them to extend the start of the hospitalization when they end one hour or less before it.</w:t>
      </w:r>
    </w:p>
    <w:p>
      <w:pPr>
        <w:numPr>
          <w:ilvl w:val="0"/>
          <w:numId w:val="1002"/>
        </w:numPr>
        <w:pStyle w:val="Compact"/>
      </w:pPr>
      <w:r>
        <w:rPr>
          <w:b/>
        </w:rPr>
        <w:t xml:space="preserve">Glucose results.</w:t>
      </w:r>
      <w:r>
        <w:t xml:space="preserve"> </w:t>
      </w:r>
      <w:r>
        <w:t xml:space="preserve">Laboratory glucose items and the two ICU bedside glucose items received LOINC codes in the measures’ glucose value set. Results recorded in mg/dL received the UCUM unit system and code. Values without a unit were left without one.</w:t>
      </w:r>
    </w:p>
    <w:p>
      <w:pPr>
        <w:numPr>
          <w:ilvl w:val="0"/>
          <w:numId w:val="1002"/>
        </w:numPr>
        <w:pStyle w:val="Compact"/>
      </w:pPr>
      <w:r>
        <w:rPr>
          <w:b/>
        </w:rPr>
        <w:t xml:space="preserve">Diagnoses.</w:t>
      </w:r>
      <w:r>
        <w:t xml:space="preserve"> </w:t>
      </w:r>
      <w:r>
        <w:t xml:space="preserve">Encounter diagnoses, from the hospital and the emergency department, received dotted ICD-10-CM (or ICD-9-CM) codes, a link from their encounter to each of the stay’s diagnoses, an onset at the admission time (a technical stand-in, not a clinical date) and an active clinical status. Billed diagnoses are conditions present during the stay, and CMS’s shared library ignores conditions that are neither active nor resolved, so without the status no diagnosis could ever count. This was found by the independent implementation on the open demonstration data (deviation 3).</w:t>
      </w:r>
    </w:p>
    <w:p>
      <w:pPr>
        <w:numPr>
          <w:ilvl w:val="0"/>
          <w:numId w:val="1002"/>
        </w:numPr>
        <w:pStyle w:val="Compact"/>
      </w:pPr>
      <w:r>
        <w:rPr>
          <w:b/>
        </w:rPr>
        <w:t xml:space="preserve">Discharge.</w:t>
      </w:r>
      <w:r>
        <w:t xml:space="preserve"> </w:t>
      </w:r>
      <w:r>
        <w:t xml:space="preserve">Hospice discharges were mapped to the standard hospice disposition code. Comfort care was not created, because no source record exists for it, so the comfort-care exclusion cannot fire in this data.</w:t>
      </w:r>
    </w:p>
    <w:p>
      <w:pPr>
        <w:numPr>
          <w:ilvl w:val="0"/>
          <w:numId w:val="1002"/>
        </w:numPr>
        <w:pStyle w:val="Compact"/>
      </w:pPr>
      <w:r>
        <w:rPr>
          <w:b/>
        </w:rPr>
        <w:t xml:space="preserve">Profiles.</w:t>
      </w:r>
      <w:r>
        <w:t xml:space="preserve"> </w:t>
      </w:r>
      <w:r>
        <w:t xml:space="preserve">Every resource the measures retrieve was labeled with its QI-Core profile.</w:t>
      </w:r>
    </w:p>
    <w:p>
      <w:pPr>
        <w:numPr>
          <w:ilvl w:val="0"/>
          <w:numId w:val="1002"/>
        </w:numPr>
        <w:pStyle w:val="Compact"/>
      </w:pPr>
      <w:r>
        <w:rPr>
          <w:b/>
        </w:rPr>
        <w:t xml:space="preserve">Medications.</w:t>
      </w:r>
      <w:r>
        <w:t xml:space="preserve"> </w:t>
      </w:r>
      <w:r>
        <w:t xml:space="preserve">Medication administrations from the electronic medication administration record (eMAR) were linked to the National Drug Code (NDC) of their prescription, mapped to RxNorm (release of 5 October 2026) and moved from brand concepts to the generic clinical drugs and packs that both medication value sets list. Administrations without a usable NDC, ICU infusion items, and mixtures containing a value-set drug were decided by review (Supplementary Methods 4). Medication status was kept as exported (</w:t>
      </w:r>
      <w:r>
        <w:t xml:space="preserve">“</w:t>
      </w:r>
      <w:r>
        <w:t xml:space="preserve">completed</w:t>
      </w:r>
      <w:r>
        <w:t xml:space="preserve">”</w:t>
      </w:r>
      <w:r>
        <w:t xml:space="preserve"> </w:t>
      </w:r>
      <w:r>
        <w:t xml:space="preserve">for every administration).</w:t>
      </w:r>
    </w:p>
    <w:p>
      <w:pPr>
        <w:pStyle w:val="FirstParagraph"/>
      </w:pPr>
      <w:r>
        <w:t xml:space="preserve">The open demonstration data, which are public, were used to develop and check every mapping step before it was applied to the credentialed data.</w:t>
      </w:r>
    </w:p>
    <w:p>
      <w:pPr>
        <w:pStyle w:val="Heading3"/>
      </w:pPr>
      <w:bookmarkStart w:id="25" w:name="medication-review-and-recall-audit"/>
      <w:r>
        <w:t xml:space="preserve">4. Medication review and recall audit</w:t>
      </w:r>
      <w:bookmarkEnd w:id="25"/>
    </w:p>
    <w:p>
      <w:pPr>
        <w:pStyle w:val="FirstParagraph"/>
      </w:pPr>
      <w:r>
        <w:t xml:space="preserve">The review worklist for the first audit round held 1,418 entries. Of these, 971 were excluded codes: the 671 of high volume, which together cover 12,467,954 administrations in the 2017–2019 years, and a random sample of 300 of low volume (58,943 administrations). The other 447 needed judgment: 103 entries whose NDC did not map, 282 without an NDC, 54 mixtures containing a value-set drug and 8 ICU infusion items. For each entry the reviewer (the author) decided whether it is a glucose-lowering drug (</w:t>
      </w:r>
      <w:r>
        <w:t xml:space="preserve">“</w:t>
      </w:r>
      <w:r>
        <w:t xml:space="preserve">map</w:t>
      </w:r>
      <w:r>
        <w:t xml:space="preserve">”</w:t>
      </w:r>
      <w:r>
        <w:t xml:space="preserve"> </w:t>
      </w:r>
      <w:r>
        <w:t xml:space="preserve">or</w:t>
      </w:r>
      <w:r>
        <w:t xml:space="preserve"> </w:t>
      </w:r>
      <w:r>
        <w:t xml:space="preserve">“</w:t>
      </w:r>
      <w:r>
        <w:t xml:space="preserve">possible</w:t>
      </w:r>
      <w:r>
        <w:t xml:space="preserve">”</w:t>
      </w:r>
      <w:r>
        <w:t xml:space="preserve">, with its RxNorm product) or not (</w:t>
      </w:r>
      <w:r>
        <w:t xml:space="preserve">“</w:t>
      </w:r>
      <w:r>
        <w:t xml:space="preserve">no</w:t>
      </w:r>
      <w:r>
        <w:t xml:space="preserve">”</w:t>
      </w:r>
      <w:r>
        <w:t xml:space="preserve">), without seeing the model’s answers. No external pharmacist was available (deviation 5).</w:t>
      </w:r>
    </w:p>
    <w:p>
      <w:pPr>
        <w:pStyle w:val="BodyText"/>
      </w:pPr>
      <w:r>
        <w:t xml:space="preserve">The registered audit continues until a round finds no relevant miss in its random sample. A miss is relevant when a code decided</w:t>
      </w:r>
      <w:r>
        <w:t xml:space="preserve"> </w:t>
      </w:r>
      <w:r>
        <w:t xml:space="preserve">“</w:t>
      </w:r>
      <w:r>
        <w:t xml:space="preserve">map</w:t>
      </w:r>
      <w:r>
        <w:t xml:space="preserve">”</w:t>
      </w:r>
      <w:r>
        <w:t xml:space="preserve"> </w:t>
      </w:r>
      <w:r>
        <w:t xml:space="preserve">or</w:t>
      </w:r>
      <w:r>
        <w:t xml:space="preserve"> </w:t>
      </w:r>
      <w:r>
        <w:t xml:space="preserve">“</w:t>
      </w:r>
      <w:r>
        <w:t xml:space="preserve">possible</w:t>
      </w:r>
      <w:r>
        <w:t xml:space="preserve">”</w:t>
      </w:r>
      <w:r>
        <w:t xml:space="preserve"> </w:t>
      </w:r>
      <w:r>
        <w:t xml:space="preserve">has a value-set product.</w:t>
      </w:r>
    </w:p>
    <w:p>
      <w:pPr>
        <w:numPr>
          <w:ilvl w:val="0"/>
          <w:numId w:val="1003"/>
        </w:numPr>
        <w:pStyle w:val="Compact"/>
      </w:pPr>
      <w:r>
        <w:rPr>
          <w:b/>
        </w:rPr>
        <w:t xml:space="preserve">Round 1.</w:t>
      </w:r>
      <w:r>
        <w:t xml:space="preserve"> </w:t>
      </w:r>
      <w:r>
        <w:t xml:space="preserve">The reviewer found no glucose-lowering drug among the 971 excluded codes. Comparison with the model-proposed mapping (Supplementary Methods 12) raised ten disagreements on excluded codes. On adjudication, one was an insulin product the reviewer had decided</w:t>
      </w:r>
      <w:r>
        <w:t xml:space="preserve"> </w:t>
      </w:r>
      <w:r>
        <w:t xml:space="preserve">“</w:t>
      </w:r>
      <w:r>
        <w:t xml:space="preserve">no</w:t>
      </w:r>
      <w:r>
        <w:t xml:space="preserve">”</w:t>
      </w:r>
      <w:r>
        <w:t xml:space="preserve"> </w:t>
      </w:r>
      <w:r>
        <w:t xml:space="preserve">(5,725 administrations in 2017–2019), so round 1 was not clean.</w:t>
      </w:r>
    </w:p>
    <w:p>
      <w:pPr>
        <w:numPr>
          <w:ilvl w:val="0"/>
          <w:numId w:val="1003"/>
        </w:numPr>
        <w:pStyle w:val="Compact"/>
      </w:pPr>
      <w:r>
        <w:rPr>
          <w:b/>
        </w:rPr>
        <w:t xml:space="preserve">Round 2.</w:t>
      </w:r>
      <w:r>
        <w:t xml:space="preserve"> </w:t>
      </w:r>
      <w:r>
        <w:t xml:space="preserve">All 19 remaining excluded codes flagged by drug-name words, plus a fresh random 300 codes from the remaining tail. The widened search found 14 glucose-lowering codes, 11 of them with value-set products (2,641 administrations), which were added (those decided</w:t>
      </w:r>
      <w:r>
        <w:t xml:space="preserve"> </w:t>
      </w:r>
      <w:r>
        <w:t xml:space="preserve">“</w:t>
      </w:r>
      <w:r>
        <w:t xml:space="preserve">map</w:t>
      </w:r>
      <w:r>
        <w:t xml:space="preserve">”</w:t>
      </w:r>
      <w:r>
        <w:t xml:space="preserve"> </w:t>
      </w:r>
      <w:r>
        <w:t xml:space="preserve">to the baseline, and those decided</w:t>
      </w:r>
      <w:r>
        <w:t xml:space="preserve"> </w:t>
      </w:r>
      <w:r>
        <w:t xml:space="preserve">“</w:t>
      </w:r>
      <w:r>
        <w:t xml:space="preserve">possible</w:t>
      </w:r>
      <w:r>
        <w:t xml:space="preserve">”</w:t>
      </w:r>
      <w:r>
        <w:t xml:space="preserve"> </w:t>
      </w:r>
      <w:r>
        <w:t xml:space="preserve">to the liberal mapping only). The fresh random sample held 2 codes judged</w:t>
      </w:r>
      <w:r>
        <w:t xml:space="preserve"> </w:t>
      </w:r>
      <w:r>
        <w:t xml:space="preserve">“</w:t>
      </w:r>
      <w:r>
        <w:t xml:space="preserve">possible</w:t>
      </w:r>
      <w:r>
        <w:t xml:space="preserve">”</w:t>
      </w:r>
      <w:r>
        <w:t xml:space="preserve"> </w:t>
      </w:r>
      <w:r>
        <w:t xml:space="preserve">with a value-set product (770 administrations), so round 2 was not clean either.</w:t>
      </w:r>
    </w:p>
    <w:p>
      <w:pPr>
        <w:numPr>
          <w:ilvl w:val="0"/>
          <w:numId w:val="1003"/>
        </w:numPr>
        <w:pStyle w:val="Compact"/>
      </w:pPr>
      <w:r>
        <w:rPr>
          <w:b/>
        </w:rPr>
        <w:t xml:space="preserve">Round 3.</w:t>
      </w:r>
      <w:r>
        <w:t xml:space="preserve"> </w:t>
      </w:r>
      <w:r>
        <w:t xml:space="preserve">Every remaining code with a word whose first four letters match the ingredient or brand name of a value-set drug (86 codes), plus a fresh random 300. None was glucose-lowering. An earlier build of this round, with broader name stems (397 flagged codes and 294 random codes), had also been reviewed; it found one more code with a value-set product (644 administrations, CMS871 only), which was added, and left 11 broadly flagged codes undecided.</w:t>
      </w:r>
    </w:p>
    <w:p>
      <w:pPr>
        <w:pStyle w:val="FirstParagraph"/>
      </w:pPr>
      <w:r>
        <w:t xml:space="preserve">No glucose-lowering code was found in the final random sample of 300 codes from the unflagged tail, so the one-sided 95% upper bound on the share of remaining tail codes that are relevant is 1.0%. In total, the review and audit added to the baseline mapping 18 entries matched by local code (8 from round 1, 9 from round 2 and 1 from the earlier round-3 build) and 179 entries matched by name (47 RxNorm products), and dropped 24 mixtures. The liberal mapping (c) also takes the entries decided</w:t>
      </w:r>
      <w:r>
        <w:t xml:space="preserve"> </w:t>
      </w:r>
      <w:r>
        <w:t xml:space="preserve">“</w:t>
      </w:r>
      <w:r>
        <w:t xml:space="preserve">possible</w:t>
      </w:r>
      <w:r>
        <w:t xml:space="preserve">”</w:t>
      </w:r>
      <w:r>
        <w:t xml:space="preserve">, for 26 entries by local code and 279 by name (62 products) in all.</w:t>
      </w:r>
    </w:p>
    <w:p>
      <w:pPr>
        <w:pStyle w:val="Heading3"/>
      </w:pPr>
      <w:bookmarkStart w:id="26" w:name="medication-status"/>
      <w:r>
        <w:t xml:space="preserve">5. Medication status</w:t>
      </w:r>
      <w:bookmarkEnd w:id="26"/>
    </w:p>
    <w:p>
      <w:pPr>
        <w:pStyle w:val="FirstParagraph"/>
      </w:pPr>
      <w:r>
        <w:t xml:space="preserve">MIMIC-IV-on-FHIR writes every administration as</w:t>
      </w:r>
      <w:r>
        <w:t xml:space="preserve"> </w:t>
      </w:r>
      <w:r>
        <w:t xml:space="preserve">“</w:t>
      </w:r>
      <w:r>
        <w:t xml:space="preserve">completed</w:t>
      </w:r>
      <w:r>
        <w:t xml:space="preserve">”</w:t>
      </w:r>
      <w:r>
        <w:t xml:space="preserve">, including doses whose recorded eMAR event says they were not given, and for some eMAR detail rows it writes</w:t>
      </w:r>
      <w:r>
        <w:t xml:space="preserve"> </w:t>
      </w:r>
      <w:r>
        <w:t xml:space="preserve">“</w:t>
      </w:r>
      <w:r>
        <w:t xml:space="preserve">completed</w:t>
      </w:r>
      <w:r>
        <w:t xml:space="preserve">”</w:t>
      </w:r>
      <w:r>
        <w:t xml:space="preserve"> </w:t>
      </w:r>
      <w:r>
        <w:t xml:space="preserve">administrations with no event at all. A status table assigned a FHIR status to each of the 36 eMAR event types present in the export (for example, started and restarted as in progress, the stopped family as stopped, not given as not done); it was reviewed by the author. The corrected-status scenarios use this table. Administrations without an event cannot be classified, so they count as doses in the upper bound and not in the lower bound; explicitly not-given doses are excluded from both (deviation 2).</w:t>
      </w:r>
    </w:p>
    <w:p>
      <w:pPr>
        <w:pStyle w:val="Heading3"/>
      </w:pPr>
      <w:bookmarkStart w:id="27" w:name="slicing-and-the-scaled-pipeline"/>
      <w:r>
        <w:t xml:space="preserve">6. Slicing and the scaled pipeline</w:t>
      </w:r>
      <w:bookmarkEnd w:id="27"/>
    </w:p>
    <w:p>
      <w:pPr>
        <w:pStyle w:val="FirstParagraph"/>
      </w:pPr>
      <w:r>
        <w:rPr>
          <w:b/>
        </w:rPr>
        <w:t xml:space="preserve">Filter.</w:t>
      </w:r>
      <w:r>
        <w:t xml:space="preserve"> </w:t>
      </w:r>
      <w:r>
        <w:t xml:space="preserve">A filter built from the data requirements that fqm-execution generates for each measure keeps only the resource types, and for coded resources only the value sets, that the measures can retrieve.</w:t>
      </w:r>
    </w:p>
    <w:p>
      <w:pPr>
        <w:pStyle w:val="BodyText"/>
      </w:pPr>
      <w:r>
        <w:rPr>
          <w:b/>
        </w:rPr>
        <w:t xml:space="preserve">Slice.</w:t>
      </w:r>
      <w:r>
        <w:t xml:space="preserve"> </w:t>
      </w:r>
      <w:r>
        <w:t xml:space="preserve">For each stay, the slice holds the patient’s filtered resources whose times overlap a window from 24 hours before the start of the hospitalization to one hour after discharge. The start is the earliest of the admission, an observation encounter ending one hour or less before it, and an emergency visit ending one hour or less before that, which is the measures’ own definition. The slice also holds the patient resource, the patient’s conditions (whose relevance the logic decides by onset), resources without any time, and shared location and organization resources. The window covers the 24-hour lookback from a low glucose to a dose in CMS816 and the period from one hour before the start used by CMS871’s exclusion. Whether this is enough is not assumed: it is the hypothesis of the equivalence test.</w:t>
      </w:r>
    </w:p>
    <w:p>
      <w:pPr>
        <w:pStyle w:val="BodyText"/>
      </w:pPr>
      <w:r>
        <w:rPr>
          <w:b/>
        </w:rPr>
        <w:t xml:space="preserve">Implementation.</w:t>
      </w:r>
      <w:r>
        <w:t xml:space="preserve"> </w:t>
      </w:r>
      <w:r>
        <w:t xml:space="preserve">The filter and slice are written in SQL that runs unchanged on DuckDB (locally, on the open demonstration data) and on Amazon Athena (on the credentialed data). On the demonstration data the two backends produced byte-identical slices. A manifest records, for each stay, a fingerprint of its slice, its measurement year, the batch it belongs to (all of a patient’s stays go to the same batch) and the registered workload metric. Workers run on a short-lived Amazon EKS cluster of m7i.large nodes (2 vCPU, 8 GiB). Each worker reads a batch, evaluates its stays with the unmodified engine, writes one result line per stay to object storage, and on restart skips stays already written, so each stay is written exactly once. A watchdog stops all nodes when spend reaches a cost cap or the cluster reaches a maximum age. Nothing in the pipeline is specific to one cloud provider except the storage and query services, which have open equivalents.</w:t>
      </w:r>
    </w:p>
    <w:p>
      <w:pPr>
        <w:pStyle w:val="BodyText"/>
      </w:pPr>
      <w:r>
        <w:rPr>
          <w:b/>
        </w:rPr>
        <w:t xml:space="preserve">Batching.</w:t>
      </w:r>
      <w:r>
        <w:t xml:space="preserve"> </w:t>
      </w:r>
      <w:r>
        <w:t xml:space="preserve">The full run and the readiness runs evaluated up to 20 stays per engine call, which removes most of the engine’s per-call setup time for light stays. Before it was used, batching was shown to give identical results to one stay per call on all 2,000 stays of the equivalence sample (deviation 6). The registered timing runs used one stay per call.</w:t>
      </w:r>
    </w:p>
    <w:p>
      <w:pPr>
        <w:pStyle w:val="Heading3"/>
      </w:pPr>
      <w:bookmarkStart w:id="28" w:name="equivalence-test"/>
      <w:r>
        <w:t xml:space="preserve">7. Equivalence test</w:t>
      </w:r>
      <w:bookmarkEnd w:id="28"/>
    </w:p>
    <w:p>
      <w:pPr>
        <w:pStyle w:val="FirstParagraph"/>
      </w:pPr>
      <w:r>
        <w:t xml:space="preserve">The registered sample was 2,000 stays: 1,500 drawn at random from all stays and 125 from each of four groups where slicing could go wrong: the highest measure workload, emergency or observation time just before admission, readmission within 24 hours of a previous discharge, and stays that span a year boundary. For every stay and both measures, the comparison covered the initial population, denominator, denominator exclusion, numerator and numerator exclusion, and for CMS871 the number of eligible days and of hyperglycemic days. Any single difference counts as a failure of the method.</w:t>
      </w:r>
    </w:p>
    <w:p>
      <w:pPr>
        <w:pStyle w:val="BodyText"/>
      </w:pPr>
      <w:r>
        <w:t xml:space="preserve">The reference side was the unmodified engine on each patient’s complete record. On whole records some patient-years ran for more than 16 CPU-hours, so a stopping rule was fixed before any comparison (deviation 4). Patient-year groups still running when the cluster reached its cost cap (about US$75) were stopped; 5 of 64 batches were stopped, with lower bounds on their runtime of 34 to 51 hours. Fewer than 10 stays per measure therefore have no whole-record result, and the comparison covers the other 1,994. With 0 discordant of 1,994, the 95% Wilson upper bound on the discordance rate is 0.19%.[32]</w:t>
      </w:r>
    </w:p>
    <w:p>
      <w:pPr>
        <w:pStyle w:val="BodyText"/>
      </w:pPr>
      <w:r>
        <w:t xml:space="preserve">The fault test reran the sliced pipeline while two worker pods were deleted (at 95 and 159 seconds) and one node was terminated (at 275 seconds). Both failed attempts were retried, the replacement node took over, and the results were identical for all 2,000 stays, with no stay written twice.</w:t>
      </w:r>
    </w:p>
    <w:p>
      <w:pPr>
        <w:pStyle w:val="Heading3"/>
      </w:pPr>
      <w:bookmarkStart w:id="29" w:name="independent-implementation"/>
      <w:r>
        <w:t xml:space="preserve">8. Independent implementation</w:t>
      </w:r>
      <w:bookmarkEnd w:id="29"/>
    </w:p>
    <w:p>
      <w:pPr>
        <w:pStyle w:val="FirstParagraph"/>
      </w:pPr>
      <w:r>
        <w:t xml:space="preserve">Both measures were written in Python from CMS’s human-readable specifications, without a CQL engine. In four places the written text and the CQL logic differ, and in each the logic was followed:</w:t>
      </w:r>
    </w:p>
    <w:p>
      <w:pPr>
        <w:numPr>
          <w:ilvl w:val="0"/>
          <w:numId w:val="1004"/>
        </w:numPr>
        <w:pStyle w:val="Compact"/>
      </w:pPr>
      <w:r>
        <w:rPr>
          <w:b/>
        </w:rPr>
        <w:t xml:space="preserve">Diabetes diagnosis (CMS871).</w:t>
      </w:r>
      <w:r>
        <w:t xml:space="preserve"> </w:t>
      </w:r>
      <w:r>
        <w:t xml:space="preserve">The text counts any diabetes diagnosis of the patient that starts before the end of the stay; the logic counts only a diagnosis linked to this encounter or on the problem list.</w:t>
      </w:r>
    </w:p>
    <w:p>
      <w:pPr>
        <w:numPr>
          <w:ilvl w:val="0"/>
          <w:numId w:val="1004"/>
        </w:numPr>
        <w:pStyle w:val="Compact"/>
      </w:pPr>
      <w:r>
        <w:rPr>
          <w:b/>
        </w:rPr>
        <w:t xml:space="preserve">Prevalence (CMS871).</w:t>
      </w:r>
      <w:r>
        <w:t xml:space="preserve"> </w:t>
      </w:r>
      <w:r>
        <w:t xml:space="preserve">The text counts a diagnosis with an onset; CMS’s shared library also requires the condition to be clinically active or to have an abatement, and otherwise never counts it.</w:t>
      </w:r>
    </w:p>
    <w:p>
      <w:pPr>
        <w:numPr>
          <w:ilvl w:val="0"/>
          <w:numId w:val="1004"/>
        </w:numPr>
        <w:pStyle w:val="Compact"/>
      </w:pPr>
      <w:r>
        <w:rPr>
          <w:b/>
        </w:rPr>
        <w:t xml:space="preserve">Early glucose above 600 mg/dL (CMS871 exclusion).</w:t>
      </w:r>
      <w:r>
        <w:t xml:space="preserve"> </w:t>
      </w:r>
      <w:r>
        <w:t xml:space="preserve">The text excludes a stay with any glucose above 600 mg/dL from one hour before to six hours after the start; the logic uses only the first glucose test in that window.</w:t>
      </w:r>
    </w:p>
    <w:p>
      <w:pPr>
        <w:numPr>
          <w:ilvl w:val="0"/>
          <w:numId w:val="1004"/>
        </w:numPr>
        <w:pStyle w:val="Compact"/>
      </w:pPr>
      <w:r>
        <w:rPr>
          <w:b/>
        </w:rPr>
        <w:t xml:space="preserve">Medication during the stay (CMS871).</w:t>
      </w:r>
      <w:r>
        <w:t xml:space="preserve"> </w:t>
      </w:r>
      <w:r>
        <w:t xml:space="preserve">The text asks whether an administration falls in the stay; the logic requires the whole administration period to lie in the stay, so an administration whose period has no end never counts.</w:t>
      </w:r>
    </w:p>
    <w:p>
      <w:pPr>
        <w:pStyle w:val="FirstParagraph"/>
      </w:pPr>
      <w:r>
        <w:t xml:space="preserve">The implementation was compared with the engine stay by stay on whole records for the 2,000-stay sample (1,994 of 1,994 identical for each measure) and on slices for all 88,234 cohort stays (all identical).</w:t>
      </w:r>
    </w:p>
    <w:p>
      <w:pPr>
        <w:pStyle w:val="Heading3"/>
      </w:pPr>
      <w:bookmarkStart w:id="30" w:name="runtime-cost-and-workload"/>
      <w:r>
        <w:t xml:space="preserve">9. Runtime, cost and workload</w:t>
      </w:r>
      <w:bookmarkEnd w:id="30"/>
    </w:p>
    <w:p>
      <w:pPr>
        <w:pStyle w:val="FirstParagraph"/>
      </w:pPr>
      <w:r>
        <w:t xml:space="preserve">The 2,000-stay sample was run five times on newly started nodes and five times on nodes already in use, on 8 nodes. The registered extension to ten repeats if run-to-run variation exceeded 10% was not needed (coefficients of variation 3.2% and 3.8%). It was then run on 1, 2, 4 and 8 nodes, and all 431,231 stays were run once. Each run recorded wall time, per-stay engine time, CPU time per node and peak memory. Node cost is node-hours at the on-demand price for m7i.large in us-west-2; the managed-cluster fee and query charges are given separately.</w:t>
      </w:r>
    </w:p>
    <w:p>
      <w:pPr>
        <w:pStyle w:val="BodyText"/>
      </w:pPr>
      <w:r>
        <w:t xml:space="preserve">The registered workload metric predicts each stay’s engine time from its slice: for CMS816, the number of glucose results times the number of CMS816 administrations; for CMS871, (3d + 1) times the number of glucose results plus the number of CMS871 administrations, where d is the number of evaluated days (at most 10). A regression of log engine time on log(1 + workload), fitted on 70% of the timing-sample stays and tested on the other 30% (a fixed random split), gave a held-out R² of 0.75 for CMS816 and 0.52 for CMS871, with median absolute errors of 18% and 21%. The metric was used to balance batches by predicted time; scheduling does not change any result.</w:t>
      </w:r>
    </w:p>
    <w:p>
      <w:pPr>
        <w:pStyle w:val="Heading3"/>
      </w:pPr>
      <w:bookmarkStart w:id="31" w:name="readiness-checks-and-problem-injection"/>
      <w:r>
        <w:t xml:space="preserve">10. Readiness checks and problem injection</w:t>
      </w:r>
      <w:bookmarkEnd w:id="31"/>
    </w:p>
    <w:p>
      <w:pPr>
        <w:pStyle w:val="FirstParagraph"/>
      </w:pPr>
      <w:r>
        <w:t xml:space="preserve">Checks were generated from the measures’ data requirements (resource type, profile, value set, status) and from what the logic reads beyond them (units, timing, links between records, drug term level), each tied to the expression that uses the data (Table 1). They were applied to every record the measures use in the cohort, as exported and after mapping (Supplementary Table S2). For the detection test, each of seven problems was injected into 1%, 10% and 50% of the records it applies to, with fixed, nested random seeds, so that each larger rate contains the smaller (Supplementary Table S3).</w:t>
      </w:r>
    </w:p>
    <w:p>
      <w:pPr>
        <w:pStyle w:val="Heading3"/>
      </w:pPr>
      <w:bookmarkStart w:id="32" w:name="X0653f328228c0b55aa8c4e81ebbd022ef61fc0a"/>
      <w:r>
        <w:t xml:space="preserve">11. Effect of data problems and mapping choices</w:t>
      </w:r>
      <w:bookmarkEnd w:id="32"/>
    </w:p>
    <w:p>
      <w:pPr>
        <w:pStyle w:val="FirstParagraph"/>
      </w:pPr>
      <w:r>
        <w:t xml:space="preserve">For each mapping variant and scenario, the slices of all cohort stays were rebuilt and compared with the baseline by their fingerprints; only stays whose slice changed were rerun, and every other stay kept its baseline result, which is exact because the engine is deterministic. Results were compared with the baseline for each population, for CMS871’s eligible and hyperglycemic days, and for every named expression in the measure logic (Supplementary Table S4).</w:t>
      </w:r>
    </w:p>
    <w:p>
      <w:pPr>
        <w:pStyle w:val="BodyText"/>
      </w:pPr>
      <w:r>
        <w:t xml:space="preserve">Rates: CMS816 is stays with a severe hypoglycemic event per denominator stay; CMS871 is hyperglycemic days per 100 eligible days in the measure population (denominator minus exclusions). Intervals for each rate and difference come from a stay-level bootstrap with 2,000 resamples, in which each stay receives the same Poisson(1) weight in the baseline and the scenario, so that the comparison is paired;[34] CMS816 rates also carry a Wilson interval, which is the one reported. Counts from 1 to 9 are shown as &lt;10.</w:t>
      </w:r>
    </w:p>
    <w:p>
      <w:pPr>
        <w:pStyle w:val="BodyText"/>
      </w:pPr>
      <w:r>
        <w:t xml:space="preserve">The two exploratory scenarios (deviation 6) were defined before any of their results existed. In the first, stays of the observation class were typed as inpatient admissions. In the second, bedside glucose results with a number but no unit were given mg/dL, the unit of their item in MIMIC-IV’s own item dictionary.</w:t>
      </w:r>
    </w:p>
    <w:p>
      <w:pPr>
        <w:pStyle w:val="Heading3"/>
      </w:pPr>
      <w:bookmarkStart w:id="33" w:name="Xc673e252a9ddb1e8cc166697592e1d3786fed9a"/>
      <w:r>
        <w:t xml:space="preserve">12. Model-proposed medication mapping (mapping d)</w:t>
      </w:r>
      <w:bookmarkEnd w:id="33"/>
    </w:p>
    <w:p>
      <w:pPr>
        <w:pStyle w:val="FirstParagraph"/>
      </w:pPr>
      <w:r>
        <w:t xml:space="preserve">An open-weight language model, gpt-oss-120b, was run through Amazon Bedrock in the author’s own account in us-west-2, with model invocation logging off; the script stops if logging is on. The model is a parameter of the script, so any other model offered through the same interface can be used without code changes. For each of the 1,418 worklist entries, the model received the same question and rules as the reviewer, the entry’s local names and codes, and a list of candidate RxNorm products found from the words in the drug’s name. It answered with a decision (</w:t>
      </w:r>
      <w:r>
        <w:t xml:space="preserve">“</w:t>
      </w:r>
      <w:r>
        <w:t xml:space="preserve">map</w:t>
      </w:r>
      <w:r>
        <w:t xml:space="preserve">”</w:t>
      </w:r>
      <w:r>
        <w:t xml:space="preserve">,</w:t>
      </w:r>
      <w:r>
        <w:t xml:space="preserve"> </w:t>
      </w:r>
      <w:r>
        <w:t xml:space="preserve">“</w:t>
      </w:r>
      <w:r>
        <w:t xml:space="preserve">possible</w:t>
      </w:r>
      <w:r>
        <w:t xml:space="preserve">”</w:t>
      </w:r>
      <w:r>
        <w:t xml:space="preserve"> </w:t>
      </w:r>
      <w:r>
        <w:t xml:space="preserve">or</w:t>
      </w:r>
      <w:r>
        <w:t xml:space="preserve"> </w:t>
      </w:r>
      <w:r>
        <w:t xml:space="preserve">“</w:t>
      </w:r>
      <w:r>
        <w:t xml:space="preserve">no</w:t>
      </w:r>
      <w:r>
        <w:t xml:space="preserve">”</w:t>
      </w:r>
      <w:r>
        <w:t xml:space="preserve">), one RxNorm product and a confidence (high, medium or low), in a fixed format that software can check. It never saw the reviewer’s decisions, the worklist flags or value-set membership. Every proposed product was checked against the retrieved candidates and against current RxNorm; one answer outside the candidates was dropped. Mapping d uses the model’s</w:t>
      </w:r>
      <w:r>
        <w:t xml:space="preserve"> </w:t>
      </w:r>
      <w:r>
        <w:t xml:space="preserve">“</w:t>
      </w:r>
      <w:r>
        <w:t xml:space="preserve">map</w:t>
      </w:r>
      <w:r>
        <w:t xml:space="preserve">”</w:t>
      </w:r>
      <w:r>
        <w:t xml:space="preserve"> </w:t>
      </w:r>
      <w:r>
        <w:t xml:space="preserve">answers with a valid product, with no person in the loop, and drops the mixtures the model answered</w:t>
      </w:r>
      <w:r>
        <w:t xml:space="preserve"> </w:t>
      </w:r>
      <w:r>
        <w:t xml:space="preserve">“</w:t>
      </w:r>
      <w:r>
        <w:t xml:space="preserve">no</w:t>
      </w:r>
      <w:r>
        <w:t xml:space="preserve">”</w:t>
      </w:r>
      <w:r>
        <w:t xml:space="preserve"> </w:t>
      </w:r>
      <w:r>
        <w:t xml:space="preserve">for.</w:t>
      </w:r>
    </w:p>
    <w:p>
      <w:pPr>
        <w:pStyle w:val="BodyText"/>
      </w:pPr>
      <w:r>
        <w:t xml:space="preserve">Agreement with the reviewer was scored per entry as the same decision for the measures: both excluded the entry, or both included it with the same CMS816 and CMS871 value-set membership (Supplementary Table S6). The author adjudicated the ten disagreements on excluded codes. In nine the reviewer was right. Six were drugs that do not lower glucose, but whose linked prescription carried the NDC of an insulin or sulfonylurea product; this mismatch between an administration and its order is in the source data, and the model took it at face value. Two were ICU fluid-volume charting items, and one was another false alarm. In one the model was right (Supplementary Methods 4). The link mismatch is itself a readiness problem, since it can attach glucose-lowering codes to administrations of other drugs; it was not quantified in this study.</w:t>
      </w:r>
    </w:p>
    <w:p>
      <w:pPr>
        <w:pStyle w:val="Heading3"/>
      </w:pPr>
      <w:bookmarkStart w:id="34" w:name="profile-test-exploratory"/>
      <w:r>
        <w:t xml:space="preserve">13. Profile test (exploratory)</w:t>
      </w:r>
      <w:bookmarkEnd w:id="34"/>
    </w:p>
    <w:p>
      <w:pPr>
        <w:pStyle w:val="FirstParagraph"/>
      </w:pPr>
      <w:r>
        <w:t xml:space="preserve">On CMS’s test cases, only the declared profile of each resource was changed, with fqm-execution’s profile filter on (the default) and off. With every resource labeled with its US Core 6.1.0 profile, or with no profile, the engine stopped with an error on every case, because no patient record carried the QI-Core patient profile. With the patient labeled QI-Core and every other resource labeled US Core (a mixed arm added after the first dry run, deviation 1), every case that CMS expects to count returned zero with no error: 22 of 22 for CMS816 and 25 of 25 for CMS871. With the filter off, all arms reproduced CMS’s expected results, but the filter then no longer separates resources of the same type that differ only by profile, which the test cases do not exercise. At full scale, profiles missing from results and administrations, with the patient still labeled, left CMS871 with 8,675 stays at a rate of zero and emptied CMS816, again without an error.</w:t>
      </w:r>
    </w:p>
    <w:p>
      <w:pPr>
        <w:pStyle w:val="Heading3"/>
      </w:pPr>
      <w:bookmarkStart w:id="35" w:name="fhir-profile-validation-exploratory"/>
      <w:r>
        <w:t xml:space="preserve">14. FHIR profile validation (exploratory)</w:t>
      </w:r>
      <w:bookmarkEnd w:id="35"/>
    </w:p>
    <w:p>
      <w:pPr>
        <w:pStyle w:val="FirstParagraph"/>
      </w:pPr>
      <w:r>
        <w:t xml:space="preserve">Example records were taken from the open demonstration data after the baseline mapping, one for each problem that changed the results: a bedside glucose result without a unit, a completed medication administration, an encounter diagnosis, an encounter typed as observation, and an inpatient encounter with its diagnosis links removed. A patient record and two controls were added: a laboratory glucose result in UCUM units and an inpatient encounter with its links. Each was validated with the HL7 FHIR validator 7.0.1 against QI-Core 6.0.0 with terminology checks off. Every problem record passed with no errors. The only error, on the laboratory control, concerned a MIMIC-specific extension unknown to the validator and is unrelated to the measures.</w:t>
      </w:r>
    </w:p>
    <w:p>
      <w:pPr>
        <w:pStyle w:val="Heading3"/>
      </w:pPr>
      <w:bookmarkStart w:id="36" w:name="completeness-across-hospitals-eicu"/>
      <w:r>
        <w:t xml:space="preserve">15. Completeness across hospitals (eICU)</w:t>
      </w:r>
      <w:bookmarkEnd w:id="36"/>
    </w:p>
    <w:p>
      <w:pPr>
        <w:pStyle w:val="FirstParagraph"/>
      </w:pPr>
      <w:r>
        <w:t xml:space="preserve">The eICU Collaborative Research Database 2.0 holds ICU stays from 208 US hospitals in 2014–2015.[35,36] For 200,234 adult stays (age 18 or older), SQL computed, per hospital, the share of stays with any glucose result, a bedside glucose, a laboratory glucose, insulin ordered or infused, a diabetes diagnosis or history, and a comfort-care or end-of-life note. Hospitals with fewer than 10 eligible stays were pooled. Funnel plots with 95% and 99.8% limits around the overall share show whether hospitals vary more than chance would allow (Supplementary Figure S1);[37] summaries use the 175 hospitals with at least 100 stays. Glucose in eICU is stored in mg/dL throughout, so units are not a problem there; what varies is whether a hospital’s data feed carries the element at all.</w:t>
      </w:r>
    </w:p>
    <w:p>
      <w:pPr>
        <w:pStyle w:val="Heading2"/>
      </w:pPr>
      <w:bookmarkStart w:id="37" w:name="supplementary-tables"/>
      <w:r>
        <w:t xml:space="preserve">SUPPLEMENTARY TABLES</w:t>
      </w:r>
      <w:bookmarkEnd w:id="37"/>
    </w:p>
    <w:p>
      <w:pPr>
        <w:pStyle w:val="FirstParagraph"/>
      </w:pPr>
      <w:r>
        <w:rPr>
          <w:b/>
        </w:rPr>
        <w:t xml:space="preserve">Supplementary Table S1.</w:t>
      </w:r>
      <w:r>
        <w:t xml:space="preserve"> </w:t>
      </w:r>
      <w:r>
        <w:t xml:space="preserve">Deviations from the registration, in the order they were decided. Each was recorded before the results it affects were computed. Section numbers refer to the registration (doi:10.17605/OSF.IO/JHKVT); the full text of each deviation is public on the OSF project.</w:t>
      </w:r>
    </w:p>
    <w:tbl>
      <w:tblPr>
        <w:tblStyle w:val="Table"/>
        <w:tblW w:type="dxa" w:w="9360"/>
        <w:tblLook w:firstRow="1"/>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544"/>
        <w:gridCol w:w="1028"/>
        <w:gridCol w:w="1414"/>
        <w:gridCol w:w="2381"/>
        <w:gridCol w:w="1995"/>
        <w:gridCol w:w="1995"/>
      </w:tblGrid>
      <w:tr>
        <w:trPr>
          <w:cnfStyle w:firstRow="1"/>
        </w:trPr>
        <w:tc>
          <w:tcPr>
            <w:tcW w:type="dxa" w:w="545"/>
            <w:tcBorders>
              <w:bottom w:val="single"/>
            </w:tcBorders>
            <w:vAlign w:val="bottom"/>
          </w:tcPr>
          <w:p>
            <w:pPr>
              <w:pStyle w:val="Compact"/>
              <w:spacing w:line="240" w:lineRule="auto" w:after="0"/>
              <w:jc w:val="left"/>
            </w:pPr>
            <w:r>
              <w:rPr>
                <w:sz w:val="18"/>
              </w:rPr>
              <w:t xml:space="preserve">No.</w:t>
            </w:r>
          </w:p>
        </w:tc>
        <w:tc>
          <w:tcPr>
            <w:tcW w:type="dxa" w:w="1028"/>
            <w:tcBorders>
              <w:bottom w:val="single"/>
            </w:tcBorders>
            <w:vAlign w:val="bottom"/>
          </w:tcPr>
          <w:p>
            <w:pPr>
              <w:pStyle w:val="Compact"/>
              <w:spacing w:line="240" w:lineRule="auto" w:after="0"/>
              <w:jc w:val="left"/>
            </w:pPr>
            <w:r>
              <w:rPr>
                <w:sz w:val="18"/>
              </w:rPr>
              <w:t xml:space="preserve">Date (2026)</w:t>
            </w:r>
          </w:p>
        </w:tc>
        <w:tc>
          <w:tcPr>
            <w:tcW w:type="dxa" w:w="1415"/>
            <w:tcBorders>
              <w:bottom w:val="single"/>
            </w:tcBorders>
            <w:vAlign w:val="bottom"/>
          </w:tcPr>
          <w:p>
            <w:pPr>
              <w:pStyle w:val="Compact"/>
              <w:spacing w:line="240" w:lineRule="auto" w:after="0"/>
              <w:jc w:val="left"/>
            </w:pPr>
            <w:r>
              <w:rPr>
                <w:sz w:val="18"/>
              </w:rPr>
              <w:t xml:space="preserve">Registration section</w:t>
            </w:r>
          </w:p>
        </w:tc>
        <w:tc>
          <w:tcPr>
            <w:tcW w:type="dxa" w:w="2382"/>
            <w:tcBorders>
              <w:bottom w:val="single"/>
            </w:tcBorders>
            <w:vAlign w:val="bottom"/>
          </w:tcPr>
          <w:p>
            <w:pPr>
              <w:pStyle w:val="Compact"/>
              <w:spacing w:line="240" w:lineRule="auto" w:after="0"/>
              <w:jc w:val="left"/>
            </w:pPr>
            <w:r>
              <w:rPr>
                <w:sz w:val="18"/>
              </w:rPr>
              <w:t xml:space="preserve">What changed</w:t>
            </w:r>
          </w:p>
        </w:tc>
        <w:tc>
          <w:tcPr>
            <w:tcW w:type="dxa" w:w="1995"/>
            <w:tcBorders>
              <w:bottom w:val="single"/>
            </w:tcBorders>
            <w:vAlign w:val="bottom"/>
          </w:tcPr>
          <w:p>
            <w:pPr>
              <w:pStyle w:val="Compact"/>
              <w:spacing w:line="240" w:lineRule="auto" w:after="0"/>
              <w:jc w:val="left"/>
            </w:pPr>
            <w:r>
              <w:rPr>
                <w:sz w:val="18"/>
              </w:rPr>
              <w:t xml:space="preserve">Why</w:t>
            </w:r>
          </w:p>
        </w:tc>
        <w:tc>
          <w:tcPr>
            <w:tcW w:type="dxa" w:w="1995"/>
            <w:tcBorders>
              <w:bottom w:val="single"/>
            </w:tcBorders>
            <w:vAlign w:val="bottom"/>
          </w:tcPr>
          <w:p>
            <w:pPr>
              <w:pStyle w:val="Compact"/>
              <w:spacing w:line="240" w:lineRule="auto" w:after="0"/>
              <w:jc w:val="left"/>
            </w:pPr>
            <w:r>
              <w:rPr>
                <w:sz w:val="18"/>
              </w:rPr>
              <w:t xml:space="preserve">Possible effect</w:t>
            </w:r>
          </w:p>
        </w:tc>
      </w:tr>
      <w:tr>
        <w:tc>
          <w:tcPr>
            <w:tcW w:type="dxa" w:w="545"/>
          </w:tcPr>
          <w:p>
            <w:pPr>
              <w:pStyle w:val="Compact"/>
              <w:spacing w:line="240" w:lineRule="auto" w:after="0"/>
              <w:jc w:val="left"/>
            </w:pPr>
            <w:r>
              <w:rPr>
                <w:sz w:val="18"/>
              </w:rPr>
              <w:t xml:space="preserve">1</w:t>
            </w:r>
          </w:p>
        </w:tc>
        <w:tc>
          <w:tcPr>
            <w:tcW w:type="dxa" w:w="1028"/>
          </w:tcPr>
          <w:p>
            <w:pPr>
              <w:pStyle w:val="Compact"/>
              <w:spacing w:line="240" w:lineRule="auto" w:after="0"/>
              <w:jc w:val="left"/>
            </w:pPr>
            <w:r>
              <w:rPr>
                <w:sz w:val="18"/>
              </w:rPr>
              <w:t xml:space="preserve">8 Oct</w:t>
            </w:r>
          </w:p>
        </w:tc>
        <w:tc>
          <w:tcPr>
            <w:tcW w:type="dxa" w:w="1415"/>
          </w:tcPr>
          <w:p>
            <w:pPr>
              <w:pStyle w:val="Compact"/>
              <w:spacing w:line="240" w:lineRule="auto" w:after="0"/>
              <w:jc w:val="left"/>
            </w:pPr>
            <w:r>
              <w:rPr>
                <w:sz w:val="18"/>
              </w:rPr>
              <w:t xml:space="preserve">4.4</w:t>
            </w:r>
          </w:p>
        </w:tc>
        <w:tc>
          <w:tcPr>
            <w:tcW w:type="dxa" w:w="2382"/>
          </w:tcPr>
          <w:p>
            <w:pPr>
              <w:pStyle w:val="Compact"/>
              <w:spacing w:line="240" w:lineRule="auto" w:after="0"/>
              <w:jc w:val="left"/>
            </w:pPr>
            <w:r>
              <w:rPr>
                <w:sz w:val="18"/>
              </w:rPr>
              <w:t xml:space="preserve">A mixed arm was added to the exploratory profile test: the patient keeps its QI-Core profile and only the other resources are relabeled with US Core profiles.</w:t>
            </w:r>
          </w:p>
        </w:tc>
        <w:tc>
          <w:tcPr>
            <w:tcW w:type="dxa" w:w="1995"/>
          </w:tcPr>
          <w:p>
            <w:pPr>
              <w:pStyle w:val="Compact"/>
              <w:spacing w:line="240" w:lineRule="auto" w:after="0"/>
              <w:jc w:val="left"/>
            </w:pPr>
            <w:r>
              <w:rPr>
                <w:sz w:val="18"/>
              </w:rPr>
              <w:t xml:space="preserve">On the first dry run the all-US-Core arm failed loudly; a partial conversion is the case that can fail silently.</w:t>
            </w:r>
          </w:p>
        </w:tc>
        <w:tc>
          <w:tcPr>
            <w:tcW w:type="dxa" w:w="1995"/>
          </w:tcPr>
          <w:p>
            <w:pPr>
              <w:pStyle w:val="Compact"/>
              <w:spacing w:line="240" w:lineRule="auto" w:after="0"/>
              <w:jc w:val="left"/>
            </w:pPr>
            <w:r>
              <w:rPr>
                <w:sz w:val="18"/>
              </w:rPr>
              <w:t xml:space="preserve">None on registered outcomes; one exploratory result added.</w:t>
            </w:r>
          </w:p>
        </w:tc>
      </w:tr>
      <w:tr>
        <w:tc>
          <w:tcPr>
            <w:tcW w:type="dxa" w:w="545"/>
          </w:tcPr>
          <w:p>
            <w:pPr>
              <w:pStyle w:val="Compact"/>
              <w:spacing w:line="240" w:lineRule="auto" w:after="0"/>
              <w:jc w:val="left"/>
            </w:pPr>
            <w:r>
              <w:rPr>
                <w:sz w:val="18"/>
              </w:rPr>
              <w:t xml:space="preserve">2</w:t>
            </w:r>
          </w:p>
        </w:tc>
        <w:tc>
          <w:tcPr>
            <w:tcW w:type="dxa" w:w="1028"/>
          </w:tcPr>
          <w:p>
            <w:pPr>
              <w:pStyle w:val="Compact"/>
              <w:spacing w:line="240" w:lineRule="auto" w:after="0"/>
              <w:jc w:val="left"/>
            </w:pPr>
            <w:r>
              <w:rPr>
                <w:sz w:val="18"/>
              </w:rPr>
              <w:t xml:space="preserve">9 Oct</w:t>
            </w:r>
          </w:p>
        </w:tc>
        <w:tc>
          <w:tcPr>
            <w:tcW w:type="dxa" w:w="1415"/>
          </w:tcPr>
          <w:p>
            <w:pPr>
              <w:pStyle w:val="Compact"/>
              <w:spacing w:line="240" w:lineRule="auto" w:after="0"/>
              <w:jc w:val="left"/>
            </w:pPr>
            <w:r>
              <w:rPr>
                <w:sz w:val="18"/>
              </w:rPr>
              <w:t xml:space="preserve">4.4, 4.5</w:t>
            </w:r>
          </w:p>
        </w:tc>
        <w:tc>
          <w:tcPr>
            <w:tcW w:type="dxa" w:w="2382"/>
          </w:tcPr>
          <w:p>
            <w:pPr>
              <w:pStyle w:val="Compact"/>
              <w:spacing w:line="240" w:lineRule="auto" w:after="0"/>
              <w:jc w:val="left"/>
            </w:pPr>
            <w:r>
              <w:rPr>
                <w:sz w:val="18"/>
              </w:rPr>
              <w:t xml:space="preserve">Medication administration status named as a readiness problem, with endpoints as exported and corrected (from the recorded eMAR event through a reviewed table), and one sensitivity run (baseline with corrected status). The same day, the corrected endpoint was split into lower and upper bounds.</w:t>
            </w:r>
          </w:p>
        </w:tc>
        <w:tc>
          <w:tcPr>
            <w:tcW w:type="dxa" w:w="1995"/>
          </w:tcPr>
          <w:p>
            <w:pPr>
              <w:pStyle w:val="Compact"/>
              <w:spacing w:line="240" w:lineRule="auto" w:after="0"/>
              <w:jc w:val="left"/>
            </w:pPr>
            <w:r>
              <w:rPr>
                <w:sz w:val="18"/>
              </w:rPr>
              <w:t xml:space="preserve">Every administration is exported as</w:t>
            </w:r>
            <w:r>
              <w:rPr>
                <w:sz w:val="18"/>
              </w:rPr>
              <w:t xml:space="preserve"> </w:t>
            </w:r>
            <w:r>
              <w:rPr>
                <w:sz w:val="18"/>
              </w:rPr>
              <w:t xml:space="preserve">“</w:t>
            </w:r>
            <w:r>
              <w:rPr>
                <w:sz w:val="18"/>
              </w:rPr>
              <w:t xml:space="preserve">completed</w:t>
            </w:r>
            <w:r>
              <w:rPr>
                <w:sz w:val="18"/>
              </w:rPr>
              <w:t xml:space="preserve">”</w:t>
            </w:r>
            <w:r>
              <w:rPr>
                <w:sz w:val="18"/>
              </w:rPr>
              <w:t xml:space="preserve">, including doses recorded as not given; some have no event at all and cannot be classified.</w:t>
            </w:r>
          </w:p>
        </w:tc>
        <w:tc>
          <w:tcPr>
            <w:tcW w:type="dxa" w:w="1995"/>
          </w:tcPr>
          <w:p>
            <w:pPr>
              <w:pStyle w:val="Compact"/>
              <w:spacing w:line="240" w:lineRule="auto" w:after="0"/>
              <w:jc w:val="left"/>
            </w:pPr>
            <w:r>
              <w:rPr>
                <w:sz w:val="18"/>
              </w:rPr>
              <w:t xml:space="preserve">None on registered outcomes or the baseline; one endpoint and one sensitivity run, each reported as a range. The status table was reviewed by the author, not a pharmacist.</w:t>
            </w:r>
          </w:p>
        </w:tc>
      </w:tr>
      <w:tr>
        <w:tc>
          <w:tcPr>
            <w:tcW w:type="dxa" w:w="545"/>
          </w:tcPr>
          <w:p>
            <w:pPr>
              <w:pStyle w:val="Compact"/>
              <w:spacing w:line="240" w:lineRule="auto" w:after="0"/>
              <w:jc w:val="left"/>
            </w:pPr>
            <w:r>
              <w:rPr>
                <w:sz w:val="18"/>
              </w:rPr>
              <w:t xml:space="preserve">3</w:t>
            </w:r>
          </w:p>
        </w:tc>
        <w:tc>
          <w:tcPr>
            <w:tcW w:type="dxa" w:w="1028"/>
          </w:tcPr>
          <w:p>
            <w:pPr>
              <w:pStyle w:val="Compact"/>
              <w:spacing w:line="240" w:lineRule="auto" w:after="0"/>
              <w:jc w:val="left"/>
            </w:pPr>
            <w:r>
              <w:rPr>
                <w:sz w:val="18"/>
              </w:rPr>
              <w:t xml:space="preserve">9 Oct</w:t>
            </w:r>
          </w:p>
        </w:tc>
        <w:tc>
          <w:tcPr>
            <w:tcW w:type="dxa" w:w="1415"/>
          </w:tcPr>
          <w:p>
            <w:pPr>
              <w:pStyle w:val="Compact"/>
              <w:spacing w:line="240" w:lineRule="auto" w:after="0"/>
              <w:jc w:val="left"/>
            </w:pPr>
            <w:r>
              <w:rPr>
                <w:sz w:val="18"/>
              </w:rPr>
              <w:t xml:space="preserve">4.2</w:t>
            </w:r>
          </w:p>
        </w:tc>
        <w:tc>
          <w:tcPr>
            <w:tcW w:type="dxa" w:w="2382"/>
          </w:tcPr>
          <w:p>
            <w:pPr>
              <w:pStyle w:val="Compact"/>
              <w:spacing w:line="240" w:lineRule="auto" w:after="0"/>
              <w:jc w:val="left"/>
            </w:pPr>
            <w:r>
              <w:rPr>
                <w:sz w:val="18"/>
              </w:rPr>
              <w:t xml:space="preserve">The baseline mapping made precise: values stay as exported and only the structure the measures need is added (dotted ICD-10-CM codes, encounter-to-diagnosis links, onset at admission, QI-Core profiles). One added value: an active clinical status for billed diagnoses. Hospice discharges mapped; comfort care not created.</w:t>
            </w:r>
          </w:p>
        </w:tc>
        <w:tc>
          <w:tcPr>
            <w:tcW w:type="dxa" w:w="1995"/>
          </w:tcPr>
          <w:p>
            <w:pPr>
              <w:pStyle w:val="Compact"/>
              <w:spacing w:line="240" w:lineRule="auto" w:after="0"/>
              <w:jc w:val="left"/>
            </w:pPr>
            <w:r>
              <w:rPr>
                <w:sz w:val="18"/>
              </w:rPr>
              <w:t xml:space="preserve">As exported, CMS871’s diabetes-diagnosis path and both exclusions could never fire; CMS’s shared library ignores conditions without an active or resolved status.</w:t>
            </w:r>
          </w:p>
        </w:tc>
        <w:tc>
          <w:tcPr>
            <w:tcW w:type="dxa" w:w="1995"/>
          </w:tcPr>
          <w:p>
            <w:pPr>
              <w:pStyle w:val="Compact"/>
              <w:spacing w:line="240" w:lineRule="auto" w:after="0"/>
              <w:jc w:val="left"/>
            </w:pPr>
            <w:r>
              <w:rPr>
                <w:sz w:val="18"/>
              </w:rPr>
              <w:t xml:space="preserve">Registered outcomes unchanged; the baseline includes the diabetes-diagnosis path and the hospice exclusion.</w:t>
            </w:r>
          </w:p>
        </w:tc>
      </w:tr>
      <w:tr>
        <w:tc>
          <w:tcPr>
            <w:tcW w:type="dxa" w:w="545"/>
          </w:tcPr>
          <w:p>
            <w:pPr>
              <w:pStyle w:val="Compact"/>
              <w:spacing w:line="240" w:lineRule="auto" w:after="0"/>
              <w:jc w:val="left"/>
            </w:pPr>
            <w:r>
              <w:rPr>
                <w:sz w:val="18"/>
              </w:rPr>
              <w:t xml:space="preserve">4</w:t>
            </w:r>
          </w:p>
        </w:tc>
        <w:tc>
          <w:tcPr>
            <w:tcW w:type="dxa" w:w="1028"/>
          </w:tcPr>
          <w:p>
            <w:pPr>
              <w:pStyle w:val="Compact"/>
              <w:spacing w:line="240" w:lineRule="auto" w:after="0"/>
              <w:jc w:val="left"/>
            </w:pPr>
            <w:r>
              <w:rPr>
                <w:sz w:val="18"/>
              </w:rPr>
              <w:t xml:space="preserve">11 Oct (amended 12 Oct)</w:t>
            </w:r>
          </w:p>
        </w:tc>
        <w:tc>
          <w:tcPr>
            <w:tcW w:type="dxa" w:w="1415"/>
          </w:tcPr>
          <w:p>
            <w:pPr>
              <w:pStyle w:val="Compact"/>
              <w:spacing w:line="240" w:lineRule="auto" w:after="0"/>
              <w:jc w:val="left"/>
            </w:pPr>
            <w:r>
              <w:rPr>
                <w:sz w:val="18"/>
              </w:rPr>
              <w:t xml:space="preserve">4.3, 4.3.1</w:t>
            </w:r>
          </w:p>
        </w:tc>
        <w:tc>
          <w:tcPr>
            <w:tcW w:type="dxa" w:w="2382"/>
          </w:tcPr>
          <w:p>
            <w:pPr>
              <w:pStyle w:val="Compact"/>
              <w:spacing w:line="240" w:lineRule="auto" w:after="0"/>
              <w:jc w:val="left"/>
            </w:pPr>
            <w:r>
              <w:rPr>
                <w:sz w:val="18"/>
              </w:rPr>
              <w:t xml:space="preserve">Stopping rule for the unmodified engine on whole records: patient-year groups still running at the cluster’s cost cap (about US$75) or 72 hours were stopped and reported as not completed, with CPU time as a lower bound on runtime. Amended for evaluations interrupted by the infrastructure (longest uninterrupted attempt reported).</w:t>
            </w:r>
          </w:p>
        </w:tc>
        <w:tc>
          <w:tcPr>
            <w:tcW w:type="dxa" w:w="1995"/>
          </w:tcPr>
          <w:p>
            <w:pPr>
              <w:pStyle w:val="Compact"/>
              <w:spacing w:line="240" w:lineRule="auto" w:after="0"/>
              <w:jc w:val="left"/>
            </w:pPr>
            <w:r>
              <w:rPr>
                <w:sz w:val="18"/>
              </w:rPr>
              <w:t xml:space="preserve">Single patient-years ran for more than 16 CPU-hours, far above the pilot’s prediction; without a limit the reference side could have used the whole study budget.</w:t>
            </w:r>
          </w:p>
        </w:tc>
        <w:tc>
          <w:tcPr>
            <w:tcW w:type="dxa" w:w="1995"/>
          </w:tcPr>
          <w:p>
            <w:pPr>
              <w:pStyle w:val="Compact"/>
              <w:spacing w:line="240" w:lineRule="auto" w:after="0"/>
              <w:jc w:val="left"/>
            </w:pPr>
            <w:r>
              <w:rPr>
                <w:sz w:val="18"/>
              </w:rPr>
              <w:t xml:space="preserve">Fewer than 10 stays per measure were stopped; the equivalence result covers the other 1,994.</w:t>
            </w:r>
          </w:p>
        </w:tc>
      </w:tr>
      <w:tr>
        <w:tc>
          <w:tcPr>
            <w:tcW w:type="dxa" w:w="545"/>
          </w:tcPr>
          <w:p>
            <w:pPr>
              <w:pStyle w:val="Compact"/>
              <w:spacing w:line="240" w:lineRule="auto" w:after="0"/>
              <w:jc w:val="left"/>
            </w:pPr>
            <w:r>
              <w:rPr>
                <w:sz w:val="18"/>
              </w:rPr>
              <w:t xml:space="preserve">5</w:t>
            </w:r>
          </w:p>
        </w:tc>
        <w:tc>
          <w:tcPr>
            <w:tcW w:type="dxa" w:w="1028"/>
          </w:tcPr>
          <w:p>
            <w:pPr>
              <w:pStyle w:val="Compact"/>
              <w:spacing w:line="240" w:lineRule="auto" w:after="0"/>
              <w:jc w:val="left"/>
            </w:pPr>
            <w:r>
              <w:rPr>
                <w:sz w:val="18"/>
              </w:rPr>
              <w:t xml:space="preserve">13 Oct</w:t>
            </w:r>
          </w:p>
        </w:tc>
        <w:tc>
          <w:tcPr>
            <w:tcW w:type="dxa" w:w="1415"/>
          </w:tcPr>
          <w:p>
            <w:pPr>
              <w:pStyle w:val="Compact"/>
              <w:spacing w:line="240" w:lineRule="auto" w:after="0"/>
              <w:jc w:val="left"/>
            </w:pPr>
            <w:r>
              <w:rPr>
                <w:sz w:val="18"/>
              </w:rPr>
              <w:t xml:space="preserve">4.2, 9</w:t>
            </w:r>
          </w:p>
        </w:tc>
        <w:tc>
          <w:tcPr>
            <w:tcW w:type="dxa" w:w="2382"/>
          </w:tcPr>
          <w:p>
            <w:pPr>
              <w:pStyle w:val="Compact"/>
              <w:spacing w:line="240" w:lineRule="auto" w:after="0"/>
              <w:jc w:val="left"/>
            </w:pPr>
            <w:r>
              <w:rPr>
                <w:sz w:val="18"/>
              </w:rPr>
              <w:t xml:space="preserve">(a) The medication recall audit was done by the author, not an external pharmacist (the registration requires human review). (b) The audit was given an end: three rounds of widening search, with the remaining miss rate reported as a one-sided 95% upper bound instead of a fourth round.</w:t>
            </w:r>
          </w:p>
        </w:tc>
        <w:tc>
          <w:tcPr>
            <w:tcW w:type="dxa" w:w="1995"/>
          </w:tcPr>
          <w:p>
            <w:pPr>
              <w:pStyle w:val="Compact"/>
              <w:spacing w:line="240" w:lineRule="auto" w:after="0"/>
              <w:jc w:val="left"/>
            </w:pPr>
            <w:r>
              <w:rPr>
                <w:sz w:val="18"/>
              </w:rPr>
              <w:t xml:space="preserve">One-week schedule; no external reviewer available. Each round costs reviewer time while the remaining codes are low-volume.</w:t>
            </w:r>
          </w:p>
        </w:tc>
        <w:tc>
          <w:tcPr>
            <w:tcW w:type="dxa" w:w="1995"/>
          </w:tcPr>
          <w:p>
            <w:pPr>
              <w:pStyle w:val="Compact"/>
              <w:spacing w:line="240" w:lineRule="auto" w:after="0"/>
              <w:jc w:val="left"/>
            </w:pPr>
            <w:r>
              <w:rPr>
                <w:sz w:val="18"/>
              </w:rPr>
              <w:t xml:space="preserve">(a) Possible reviewer error, partly checked against the model-proposed mapping, whose disagreements were adjudicated. (b) Small; remaining misses are low-volume codes.</w:t>
            </w:r>
          </w:p>
        </w:tc>
      </w:tr>
      <w:tr>
        <w:tc>
          <w:tcPr>
            <w:tcW w:type="dxa" w:w="545"/>
          </w:tcPr>
          <w:p>
            <w:pPr>
              <w:pStyle w:val="Compact"/>
              <w:spacing w:line="240" w:lineRule="auto" w:after="0"/>
              <w:jc w:val="left"/>
            </w:pPr>
            <w:r>
              <w:rPr>
                <w:sz w:val="18"/>
              </w:rPr>
              <w:t xml:space="preserve">6</w:t>
            </w:r>
          </w:p>
        </w:tc>
        <w:tc>
          <w:tcPr>
            <w:tcW w:type="dxa" w:w="1028"/>
          </w:tcPr>
          <w:p>
            <w:pPr>
              <w:pStyle w:val="Compact"/>
              <w:spacing w:line="240" w:lineRule="auto" w:after="0"/>
              <w:jc w:val="left"/>
            </w:pPr>
            <w:r>
              <w:rPr>
                <w:sz w:val="18"/>
              </w:rPr>
              <w:t xml:space="preserve">14 Oct</w:t>
            </w:r>
          </w:p>
        </w:tc>
        <w:tc>
          <w:tcPr>
            <w:tcW w:type="dxa" w:w="1415"/>
          </w:tcPr>
          <w:p>
            <w:pPr>
              <w:pStyle w:val="Compact"/>
              <w:spacing w:line="240" w:lineRule="auto" w:after="0"/>
              <w:jc w:val="left"/>
            </w:pPr>
            <w:r>
              <w:rPr>
                <w:sz w:val="18"/>
              </w:rPr>
              <w:t xml:space="preserve">4.3.1, 4.4, 4.5</w:t>
            </w:r>
          </w:p>
        </w:tc>
        <w:tc>
          <w:tcPr>
            <w:tcW w:type="dxa" w:w="2382"/>
          </w:tcPr>
          <w:p>
            <w:pPr>
              <w:pStyle w:val="Compact"/>
              <w:spacing w:line="240" w:lineRule="auto" w:after="0"/>
              <w:jc w:val="left"/>
            </w:pPr>
            <w:r>
              <w:rPr>
                <w:sz w:val="18"/>
              </w:rPr>
              <w:t xml:space="preserve">Two exploratory scenarios added before any of their results existed: observation-class stays typed as inpatient, and bedside glucose results without a unit given mg/dL. Separately, the full run evaluated up to 20 stays per engine call, shown identical to one stay per call on the 2,000-stay sample before use.</w:t>
            </w:r>
          </w:p>
        </w:tc>
        <w:tc>
          <w:tcPr>
            <w:tcW w:type="dxa" w:w="1995"/>
          </w:tcPr>
          <w:p>
            <w:pPr>
              <w:pStyle w:val="Compact"/>
              <w:spacing w:line="240" w:lineRule="auto" w:after="0"/>
              <w:jc w:val="left"/>
            </w:pPr>
            <w:r>
              <w:rPr>
                <w:sz w:val="18"/>
              </w:rPr>
              <w:t xml:space="preserve">The first readiness results showed that 61% of cohort stays were observation-typed and 25.7% of glucose results could not be compared with the thresholds. Batching cuts per-call setup time.</w:t>
            </w:r>
          </w:p>
        </w:tc>
        <w:tc>
          <w:tcPr>
            <w:tcW w:type="dxa" w:w="1995"/>
          </w:tcPr>
          <w:p>
            <w:pPr>
              <w:pStyle w:val="Compact"/>
              <w:spacing w:line="240" w:lineRule="auto" w:after="0"/>
              <w:jc w:val="left"/>
            </w:pPr>
            <w:r>
              <w:rPr>
                <w:sz w:val="18"/>
              </w:rPr>
              <w:t xml:space="preserve">None on registered outcomes; the full run’s wall time reflects batching.</w:t>
            </w:r>
          </w:p>
        </w:tc>
      </w:tr>
      <w:tr>
        <w:tc>
          <w:tcPr>
            <w:tcW w:type="dxa" w:w="545"/>
          </w:tcPr>
          <w:p>
            <w:pPr>
              <w:pStyle w:val="Compact"/>
              <w:spacing w:line="240" w:lineRule="auto" w:after="0"/>
              <w:jc w:val="left"/>
            </w:pPr>
            <w:r>
              <w:rPr>
                <w:sz w:val="18"/>
              </w:rPr>
              <w:t xml:space="preserve">7</w:t>
            </w:r>
          </w:p>
        </w:tc>
        <w:tc>
          <w:tcPr>
            <w:tcW w:type="dxa" w:w="1028"/>
          </w:tcPr>
          <w:p>
            <w:pPr>
              <w:pStyle w:val="Compact"/>
              <w:spacing w:line="240" w:lineRule="auto" w:after="0"/>
              <w:jc w:val="left"/>
            </w:pPr>
            <w:r>
              <w:rPr>
                <w:sz w:val="18"/>
              </w:rPr>
              <w:t xml:space="preserve">14 Oct</w:t>
            </w:r>
          </w:p>
        </w:tc>
        <w:tc>
          <w:tcPr>
            <w:tcW w:type="dxa" w:w="1415"/>
          </w:tcPr>
          <w:p>
            <w:pPr>
              <w:pStyle w:val="Compact"/>
              <w:spacing w:line="240" w:lineRule="auto" w:after="0"/>
              <w:jc w:val="left"/>
            </w:pPr>
            <w:r>
              <w:rPr>
                <w:sz w:val="18"/>
              </w:rPr>
              <w:t xml:space="preserve">4.3.1, 4.5, 7</w:t>
            </w:r>
          </w:p>
        </w:tc>
        <w:tc>
          <w:tcPr>
            <w:tcW w:type="dxa" w:w="2382"/>
          </w:tcPr>
          <w:p>
            <w:pPr>
              <w:pStyle w:val="Compact"/>
              <w:spacing w:line="240" w:lineRule="auto" w:after="0"/>
              <w:jc w:val="left"/>
            </w:pPr>
            <w:r>
              <w:rPr>
                <w:sz w:val="18"/>
              </w:rPr>
              <w:t xml:space="preserve">Four analyses not run for time, following the study plan’s order for cutting work, each dropped before it was started: the single-server deployment profile; the HAPI FHIR engine comparison on the 2,000-stay sample; the sensitivity analysis on 2014–2016 stays and stays straddling 2016/2017; impact curves for injected problems other than diagnosis links and drug term level.</w:t>
            </w:r>
          </w:p>
        </w:tc>
        <w:tc>
          <w:tcPr>
            <w:tcW w:type="dxa" w:w="1995"/>
          </w:tcPr>
          <w:p>
            <w:pPr>
              <w:pStyle w:val="Compact"/>
              <w:spacing w:line="240" w:lineRule="auto" w:after="0"/>
              <w:jc w:val="left"/>
            </w:pPr>
            <w:r>
              <w:rPr>
                <w:sz w:val="18"/>
              </w:rPr>
              <w:t xml:space="preserve">Time: the preprint was due by 20 October 2026. The 1-node scaling run partly covers a single-machine deployment.</w:t>
            </w:r>
          </w:p>
        </w:tc>
        <w:tc>
          <w:tcPr>
            <w:tcW w:type="dxa" w:w="1995"/>
          </w:tcPr>
          <w:p>
            <w:pPr>
              <w:pStyle w:val="Compact"/>
              <w:spacing w:line="240" w:lineRule="auto" w:after="0"/>
              <w:jc w:val="left"/>
            </w:pPr>
            <w:r>
              <w:rPr>
                <w:sz w:val="18"/>
              </w:rPr>
              <w:t xml:space="preserve">None on the primary outcomes; fewer secondary and sensitivity results. Items 1 and 3 are planned for a later version.</w:t>
            </w:r>
          </w:p>
        </w:tc>
      </w:tr>
    </w:tbl>
    <w:p>
      <w:pPr>
        <w:pStyle w:val="BodyText"/>
      </w:pPr>
      <w:r>
        <w:rPr>
          <w:b/>
        </w:rPr>
        <w:t xml:space="preserve">Supplementary Table S2.</w:t>
      </w:r>
      <w:r>
        <w:t xml:space="preserve"> </w:t>
      </w:r>
      <w:r>
        <w:t xml:space="preserve">Records failing each check in the 2017–2019 cohort (88,234 stays), as exported and after the baseline mapping. Every record the measures use is checked: glucose results, administrations of drugs in either measure’s value set, diabetes diagnoses and stay encounters. Only applicable check and record pairs are shown. For stay encounters the code check asks for any SNOMED CT encounter type (an observation-typed stay is correctly mapped); whether the type is inpatient is the last row. The two eMAR checks are specific to MIMIC’s medication record and are not changed by mapping.</w:t>
      </w:r>
    </w:p>
    <w:tbl>
      <w:tblPr>
        <w:tblStyle w:val="Table"/>
        <w:tblW w:type="dxa" w:w="9360"/>
        <w:tblLook w:firstRow="1"/>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3141"/>
        <w:gridCol w:w="2265"/>
        <w:gridCol w:w="1062"/>
        <w:gridCol w:w="1718"/>
        <w:gridCol w:w="1171"/>
      </w:tblGrid>
      <w:tr>
        <w:trPr>
          <w:cnfStyle w:firstRow="1"/>
        </w:trPr>
        <w:tc>
          <w:tcPr>
            <w:tcW w:type="dxa" w:w="3142"/>
            <w:tcBorders>
              <w:bottom w:val="single"/>
            </w:tcBorders>
            <w:vAlign w:val="bottom"/>
          </w:tcPr>
          <w:p>
            <w:pPr>
              <w:pStyle w:val="Compact"/>
              <w:spacing w:line="240" w:lineRule="auto" w:after="0"/>
              <w:jc w:val="left"/>
            </w:pPr>
            <w:r>
              <w:rPr>
                <w:sz w:val="18"/>
              </w:rPr>
              <w:t xml:space="preserve">Check</w:t>
            </w:r>
          </w:p>
        </w:tc>
        <w:tc>
          <w:tcPr>
            <w:tcW w:type="dxa" w:w="2266"/>
            <w:tcBorders>
              <w:bottom w:val="single"/>
            </w:tcBorders>
            <w:vAlign w:val="bottom"/>
          </w:tcPr>
          <w:p>
            <w:pPr>
              <w:pStyle w:val="Compact"/>
              <w:spacing w:line="240" w:lineRule="auto" w:after="0"/>
              <w:jc w:val="left"/>
            </w:pPr>
            <w:r>
              <w:rPr>
                <w:sz w:val="18"/>
              </w:rPr>
              <w:t xml:space="preserve">Records</w:t>
            </w:r>
          </w:p>
        </w:tc>
        <w:tc>
          <w:tcPr>
            <w:tcW w:type="dxa" w:w="1062"/>
            <w:tcBorders>
              <w:bottom w:val="single"/>
            </w:tcBorders>
            <w:vAlign w:val="bottom"/>
          </w:tcPr>
          <w:p>
            <w:pPr>
              <w:pStyle w:val="Compact"/>
              <w:spacing w:line="240" w:lineRule="auto" w:after="0"/>
              <w:jc w:val="right"/>
            </w:pPr>
            <w:r>
              <w:rPr>
                <w:sz w:val="18"/>
              </w:rPr>
              <w:t xml:space="preserve">Records checked</w:t>
            </w:r>
          </w:p>
        </w:tc>
        <w:tc>
          <w:tcPr>
            <w:tcW w:type="dxa" w:w="1719"/>
            <w:tcBorders>
              <w:bottom w:val="single"/>
            </w:tcBorders>
            <w:vAlign w:val="bottom"/>
          </w:tcPr>
          <w:p>
            <w:pPr>
              <w:pStyle w:val="Compact"/>
              <w:spacing w:line="240" w:lineRule="auto" w:after="0"/>
              <w:jc w:val="right"/>
            </w:pPr>
            <w:r>
              <w:rPr>
                <w:sz w:val="18"/>
              </w:rPr>
              <w:t xml:space="preserve">As exported: failing (%)</w:t>
            </w:r>
          </w:p>
        </w:tc>
        <w:tc>
          <w:tcPr>
            <w:tcW w:type="dxa" w:w="1172"/>
            <w:tcBorders>
              <w:bottom w:val="single"/>
            </w:tcBorders>
            <w:vAlign w:val="bottom"/>
          </w:tcPr>
          <w:p>
            <w:pPr>
              <w:pStyle w:val="Compact"/>
              <w:spacing w:line="240" w:lineRule="auto" w:after="0"/>
              <w:jc w:val="right"/>
            </w:pPr>
            <w:r>
              <w:rPr>
                <w:sz w:val="18"/>
              </w:rPr>
              <w:t xml:space="preserve">After mapping: failing (%)</w:t>
            </w:r>
          </w:p>
        </w:tc>
      </w:tr>
      <w:tr>
        <w:tc>
          <w:tcPr>
            <w:tcW w:type="dxa" w:w="3142"/>
          </w:tcPr>
          <w:p>
            <w:pPr>
              <w:pStyle w:val="Compact"/>
              <w:spacing w:line="240" w:lineRule="auto" w:after="0"/>
              <w:jc w:val="left"/>
            </w:pPr>
            <w:r>
              <w:rPr>
                <w:sz w:val="18"/>
              </w:rPr>
              <w:t xml:space="preserve">QI-Core profile declared</w:t>
            </w:r>
          </w:p>
        </w:tc>
        <w:tc>
          <w:tcPr>
            <w:tcW w:type="dxa" w:w="2266"/>
          </w:tcPr>
          <w:p>
            <w:pPr>
              <w:pStyle w:val="Compact"/>
              <w:spacing w:line="240" w:lineRule="auto" w:after="0"/>
              <w:jc w:val="left"/>
            </w:pPr>
            <w:r>
              <w:rPr>
                <w:sz w:val="18"/>
              </w:rPr>
              <w:t xml:space="preserve">Glucose results</w:t>
            </w:r>
          </w:p>
        </w:tc>
        <w:tc>
          <w:tcPr>
            <w:tcW w:type="dxa" w:w="1062"/>
          </w:tcPr>
          <w:p>
            <w:pPr>
              <w:pStyle w:val="Compact"/>
              <w:spacing w:line="240" w:lineRule="auto" w:after="0"/>
              <w:jc w:val="right"/>
            </w:pPr>
            <w:r>
              <w:rPr>
                <w:sz w:val="18"/>
              </w:rPr>
              <w:t xml:space="preserve">824,809</w:t>
            </w:r>
          </w:p>
        </w:tc>
        <w:tc>
          <w:tcPr>
            <w:tcW w:type="dxa" w:w="1719"/>
          </w:tcPr>
          <w:p>
            <w:pPr>
              <w:pStyle w:val="Compact"/>
              <w:spacing w:line="240" w:lineRule="auto" w:after="0"/>
              <w:jc w:val="right"/>
            </w:pPr>
            <w:r>
              <w:rPr>
                <w:sz w:val="18"/>
              </w:rPr>
              <w:t xml:space="preserve">824,809 (100.0)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QI-Core profile declared</w:t>
            </w:r>
          </w:p>
        </w:tc>
        <w:tc>
          <w:tcPr>
            <w:tcW w:type="dxa" w:w="2266"/>
          </w:tcPr>
          <w:p>
            <w:pPr>
              <w:pStyle w:val="Compact"/>
              <w:spacing w:line="240" w:lineRule="auto" w:after="0"/>
              <w:jc w:val="left"/>
            </w:pPr>
            <w:r>
              <w:rPr>
                <w:sz w:val="18"/>
              </w:rPr>
              <w:t xml:space="preserve">CMS816 drug administrations</w:t>
            </w:r>
          </w:p>
        </w:tc>
        <w:tc>
          <w:tcPr>
            <w:tcW w:type="dxa" w:w="1062"/>
          </w:tcPr>
          <w:p>
            <w:pPr>
              <w:pStyle w:val="Compact"/>
              <w:spacing w:line="240" w:lineRule="auto" w:after="0"/>
              <w:jc w:val="right"/>
            </w:pPr>
            <w:r>
              <w:rPr>
                <w:sz w:val="18"/>
              </w:rPr>
              <w:t xml:space="preserve">549,409</w:t>
            </w:r>
          </w:p>
        </w:tc>
        <w:tc>
          <w:tcPr>
            <w:tcW w:type="dxa" w:w="1719"/>
          </w:tcPr>
          <w:p>
            <w:pPr>
              <w:pStyle w:val="Compact"/>
              <w:spacing w:line="240" w:lineRule="auto" w:after="0"/>
              <w:jc w:val="right"/>
            </w:pPr>
            <w:r>
              <w:rPr>
                <w:sz w:val="18"/>
              </w:rPr>
              <w:t xml:space="preserve">549,409 (100.0)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QI-Core profile declared</w:t>
            </w:r>
          </w:p>
        </w:tc>
        <w:tc>
          <w:tcPr>
            <w:tcW w:type="dxa" w:w="2266"/>
          </w:tcPr>
          <w:p>
            <w:pPr>
              <w:pStyle w:val="Compact"/>
              <w:spacing w:line="240" w:lineRule="auto" w:after="0"/>
              <w:jc w:val="left"/>
            </w:pPr>
            <w:r>
              <w:rPr>
                <w:sz w:val="18"/>
              </w:rPr>
              <w:t xml:space="preserve">CMS871 drug administrations</w:t>
            </w:r>
          </w:p>
        </w:tc>
        <w:tc>
          <w:tcPr>
            <w:tcW w:type="dxa" w:w="1062"/>
          </w:tcPr>
          <w:p>
            <w:pPr>
              <w:pStyle w:val="Compact"/>
              <w:spacing w:line="240" w:lineRule="auto" w:after="0"/>
              <w:jc w:val="right"/>
            </w:pPr>
            <w:r>
              <w:rPr>
                <w:sz w:val="18"/>
              </w:rPr>
              <w:t xml:space="preserve">568,742</w:t>
            </w:r>
          </w:p>
        </w:tc>
        <w:tc>
          <w:tcPr>
            <w:tcW w:type="dxa" w:w="1719"/>
          </w:tcPr>
          <w:p>
            <w:pPr>
              <w:pStyle w:val="Compact"/>
              <w:spacing w:line="240" w:lineRule="auto" w:after="0"/>
              <w:jc w:val="right"/>
            </w:pPr>
            <w:r>
              <w:rPr>
                <w:sz w:val="18"/>
              </w:rPr>
              <w:t xml:space="preserve">568,742 (100.0)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QI-Core profile declared</w:t>
            </w:r>
          </w:p>
        </w:tc>
        <w:tc>
          <w:tcPr>
            <w:tcW w:type="dxa" w:w="2266"/>
          </w:tcPr>
          <w:p>
            <w:pPr>
              <w:pStyle w:val="Compact"/>
              <w:spacing w:line="240" w:lineRule="auto" w:after="0"/>
              <w:jc w:val="left"/>
            </w:pPr>
            <w:r>
              <w:rPr>
                <w:sz w:val="18"/>
              </w:rPr>
              <w:t xml:space="preserve">Diabetes diagnoses</w:t>
            </w:r>
          </w:p>
        </w:tc>
        <w:tc>
          <w:tcPr>
            <w:tcW w:type="dxa" w:w="1062"/>
          </w:tcPr>
          <w:p>
            <w:pPr>
              <w:pStyle w:val="Compact"/>
              <w:spacing w:line="240" w:lineRule="auto" w:after="0"/>
              <w:jc w:val="right"/>
            </w:pPr>
            <w:r>
              <w:rPr>
                <w:sz w:val="18"/>
              </w:rPr>
              <w:t xml:space="preserve">52,623</w:t>
            </w:r>
          </w:p>
        </w:tc>
        <w:tc>
          <w:tcPr>
            <w:tcW w:type="dxa" w:w="1719"/>
          </w:tcPr>
          <w:p>
            <w:pPr>
              <w:pStyle w:val="Compact"/>
              <w:spacing w:line="240" w:lineRule="auto" w:after="0"/>
              <w:jc w:val="right"/>
            </w:pPr>
            <w:r>
              <w:rPr>
                <w:sz w:val="18"/>
              </w:rPr>
              <w:t xml:space="preserve">52,623 (100.0)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QI-Core profile declared</w:t>
            </w:r>
          </w:p>
        </w:tc>
        <w:tc>
          <w:tcPr>
            <w:tcW w:type="dxa" w:w="2266"/>
          </w:tcPr>
          <w:p>
            <w:pPr>
              <w:pStyle w:val="Compact"/>
              <w:spacing w:line="240" w:lineRule="auto" w:after="0"/>
              <w:jc w:val="left"/>
            </w:pPr>
            <w:r>
              <w:rPr>
                <w:sz w:val="18"/>
              </w:rPr>
              <w:t xml:space="preserve">Stay encounters</w:t>
            </w:r>
          </w:p>
        </w:tc>
        <w:tc>
          <w:tcPr>
            <w:tcW w:type="dxa" w:w="1062"/>
          </w:tcPr>
          <w:p>
            <w:pPr>
              <w:pStyle w:val="Compact"/>
              <w:spacing w:line="240" w:lineRule="auto" w:after="0"/>
              <w:jc w:val="right"/>
            </w:pPr>
            <w:r>
              <w:rPr>
                <w:sz w:val="18"/>
              </w:rPr>
              <w:t xml:space="preserve">88,234</w:t>
            </w:r>
          </w:p>
        </w:tc>
        <w:tc>
          <w:tcPr>
            <w:tcW w:type="dxa" w:w="1719"/>
          </w:tcPr>
          <w:p>
            <w:pPr>
              <w:pStyle w:val="Compact"/>
              <w:spacing w:line="240" w:lineRule="auto" w:after="0"/>
              <w:jc w:val="right"/>
            </w:pPr>
            <w:r>
              <w:rPr>
                <w:sz w:val="18"/>
              </w:rPr>
              <w:t xml:space="preserve">88,234 (100.0)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Code in the measure’s value set</w:t>
            </w:r>
          </w:p>
        </w:tc>
        <w:tc>
          <w:tcPr>
            <w:tcW w:type="dxa" w:w="2266"/>
          </w:tcPr>
          <w:p>
            <w:pPr>
              <w:pStyle w:val="Compact"/>
              <w:spacing w:line="240" w:lineRule="auto" w:after="0"/>
              <w:jc w:val="left"/>
            </w:pPr>
            <w:r>
              <w:rPr>
                <w:sz w:val="18"/>
              </w:rPr>
              <w:t xml:space="preserve">Glucose results</w:t>
            </w:r>
          </w:p>
        </w:tc>
        <w:tc>
          <w:tcPr>
            <w:tcW w:type="dxa" w:w="1062"/>
          </w:tcPr>
          <w:p>
            <w:pPr>
              <w:pStyle w:val="Compact"/>
              <w:spacing w:line="240" w:lineRule="auto" w:after="0"/>
              <w:jc w:val="right"/>
            </w:pPr>
            <w:r>
              <w:rPr>
                <w:sz w:val="18"/>
              </w:rPr>
              <w:t xml:space="preserve">824,809</w:t>
            </w:r>
          </w:p>
        </w:tc>
        <w:tc>
          <w:tcPr>
            <w:tcW w:type="dxa" w:w="1719"/>
          </w:tcPr>
          <w:p>
            <w:pPr>
              <w:pStyle w:val="Compact"/>
              <w:spacing w:line="240" w:lineRule="auto" w:after="0"/>
              <w:jc w:val="right"/>
            </w:pPr>
            <w:r>
              <w:rPr>
                <w:sz w:val="18"/>
              </w:rPr>
              <w:t xml:space="preserve">824,809 (100.0)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Code in the measure’s value set</w:t>
            </w:r>
          </w:p>
        </w:tc>
        <w:tc>
          <w:tcPr>
            <w:tcW w:type="dxa" w:w="2266"/>
          </w:tcPr>
          <w:p>
            <w:pPr>
              <w:pStyle w:val="Compact"/>
              <w:spacing w:line="240" w:lineRule="auto" w:after="0"/>
              <w:jc w:val="left"/>
            </w:pPr>
            <w:r>
              <w:rPr>
                <w:sz w:val="18"/>
              </w:rPr>
              <w:t xml:space="preserve">CMS816 drug administrations</w:t>
            </w:r>
          </w:p>
        </w:tc>
        <w:tc>
          <w:tcPr>
            <w:tcW w:type="dxa" w:w="1062"/>
          </w:tcPr>
          <w:p>
            <w:pPr>
              <w:pStyle w:val="Compact"/>
              <w:spacing w:line="240" w:lineRule="auto" w:after="0"/>
              <w:jc w:val="right"/>
            </w:pPr>
            <w:r>
              <w:rPr>
                <w:sz w:val="18"/>
              </w:rPr>
              <w:t xml:space="preserve">549,409</w:t>
            </w:r>
          </w:p>
        </w:tc>
        <w:tc>
          <w:tcPr>
            <w:tcW w:type="dxa" w:w="1719"/>
          </w:tcPr>
          <w:p>
            <w:pPr>
              <w:pStyle w:val="Compact"/>
              <w:spacing w:line="240" w:lineRule="auto" w:after="0"/>
              <w:jc w:val="right"/>
            </w:pPr>
            <w:r>
              <w:rPr>
                <w:sz w:val="18"/>
              </w:rPr>
              <w:t xml:space="preserve">549,409 (100.0)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Code in the measure’s value set</w:t>
            </w:r>
          </w:p>
        </w:tc>
        <w:tc>
          <w:tcPr>
            <w:tcW w:type="dxa" w:w="2266"/>
          </w:tcPr>
          <w:p>
            <w:pPr>
              <w:pStyle w:val="Compact"/>
              <w:spacing w:line="240" w:lineRule="auto" w:after="0"/>
              <w:jc w:val="left"/>
            </w:pPr>
            <w:r>
              <w:rPr>
                <w:sz w:val="18"/>
              </w:rPr>
              <w:t xml:space="preserve">CMS871 drug administrations</w:t>
            </w:r>
          </w:p>
        </w:tc>
        <w:tc>
          <w:tcPr>
            <w:tcW w:type="dxa" w:w="1062"/>
          </w:tcPr>
          <w:p>
            <w:pPr>
              <w:pStyle w:val="Compact"/>
              <w:spacing w:line="240" w:lineRule="auto" w:after="0"/>
              <w:jc w:val="right"/>
            </w:pPr>
            <w:r>
              <w:rPr>
                <w:sz w:val="18"/>
              </w:rPr>
              <w:t xml:space="preserve">568,742</w:t>
            </w:r>
          </w:p>
        </w:tc>
        <w:tc>
          <w:tcPr>
            <w:tcW w:type="dxa" w:w="1719"/>
          </w:tcPr>
          <w:p>
            <w:pPr>
              <w:pStyle w:val="Compact"/>
              <w:spacing w:line="240" w:lineRule="auto" w:after="0"/>
              <w:jc w:val="right"/>
            </w:pPr>
            <w:r>
              <w:rPr>
                <w:sz w:val="18"/>
              </w:rPr>
              <w:t xml:space="preserve">568,742 (100.0)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Code in the measure’s value set</w:t>
            </w:r>
          </w:p>
        </w:tc>
        <w:tc>
          <w:tcPr>
            <w:tcW w:type="dxa" w:w="2266"/>
          </w:tcPr>
          <w:p>
            <w:pPr>
              <w:pStyle w:val="Compact"/>
              <w:spacing w:line="240" w:lineRule="auto" w:after="0"/>
              <w:jc w:val="left"/>
            </w:pPr>
            <w:r>
              <w:rPr>
                <w:sz w:val="18"/>
              </w:rPr>
              <w:t xml:space="preserve">Diabetes diagnoses</w:t>
            </w:r>
          </w:p>
        </w:tc>
        <w:tc>
          <w:tcPr>
            <w:tcW w:type="dxa" w:w="1062"/>
          </w:tcPr>
          <w:p>
            <w:pPr>
              <w:pStyle w:val="Compact"/>
              <w:spacing w:line="240" w:lineRule="auto" w:after="0"/>
              <w:jc w:val="right"/>
            </w:pPr>
            <w:r>
              <w:rPr>
                <w:sz w:val="18"/>
              </w:rPr>
              <w:t xml:space="preserve">52,623</w:t>
            </w:r>
          </w:p>
        </w:tc>
        <w:tc>
          <w:tcPr>
            <w:tcW w:type="dxa" w:w="1719"/>
          </w:tcPr>
          <w:p>
            <w:pPr>
              <w:pStyle w:val="Compact"/>
              <w:spacing w:line="240" w:lineRule="auto" w:after="0"/>
              <w:jc w:val="right"/>
            </w:pPr>
            <w:r>
              <w:rPr>
                <w:sz w:val="18"/>
              </w:rPr>
              <w:t xml:space="preserve">52,623 (100.0)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Code in the measure’s value set</w:t>
            </w:r>
          </w:p>
        </w:tc>
        <w:tc>
          <w:tcPr>
            <w:tcW w:type="dxa" w:w="2266"/>
          </w:tcPr>
          <w:p>
            <w:pPr>
              <w:pStyle w:val="Compact"/>
              <w:spacing w:line="240" w:lineRule="auto" w:after="0"/>
              <w:jc w:val="left"/>
            </w:pPr>
            <w:r>
              <w:rPr>
                <w:sz w:val="18"/>
              </w:rPr>
              <w:t xml:space="preserve">Stay encounters</w:t>
            </w:r>
          </w:p>
        </w:tc>
        <w:tc>
          <w:tcPr>
            <w:tcW w:type="dxa" w:w="1062"/>
          </w:tcPr>
          <w:p>
            <w:pPr>
              <w:pStyle w:val="Compact"/>
              <w:spacing w:line="240" w:lineRule="auto" w:after="0"/>
              <w:jc w:val="right"/>
            </w:pPr>
            <w:r>
              <w:rPr>
                <w:sz w:val="18"/>
              </w:rPr>
              <w:t xml:space="preserve">88,234</w:t>
            </w:r>
          </w:p>
        </w:tc>
        <w:tc>
          <w:tcPr>
            <w:tcW w:type="dxa" w:w="1719"/>
          </w:tcPr>
          <w:p>
            <w:pPr>
              <w:pStyle w:val="Compact"/>
              <w:spacing w:line="240" w:lineRule="auto" w:after="0"/>
              <w:jc w:val="right"/>
            </w:pPr>
            <w:r>
              <w:rPr>
                <w:sz w:val="18"/>
              </w:rPr>
              <w:t xml:space="preserve">23,240 (26.3)</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Drug code at the value set’s term level</w:t>
            </w:r>
          </w:p>
        </w:tc>
        <w:tc>
          <w:tcPr>
            <w:tcW w:type="dxa" w:w="2266"/>
          </w:tcPr>
          <w:p>
            <w:pPr>
              <w:pStyle w:val="Compact"/>
              <w:spacing w:line="240" w:lineRule="auto" w:after="0"/>
              <w:jc w:val="left"/>
            </w:pPr>
            <w:r>
              <w:rPr>
                <w:sz w:val="18"/>
              </w:rPr>
              <w:t xml:space="preserve">CMS816 drug administrations</w:t>
            </w:r>
          </w:p>
        </w:tc>
        <w:tc>
          <w:tcPr>
            <w:tcW w:type="dxa" w:w="1062"/>
          </w:tcPr>
          <w:p>
            <w:pPr>
              <w:pStyle w:val="Compact"/>
              <w:spacing w:line="240" w:lineRule="auto" w:after="0"/>
              <w:jc w:val="right"/>
            </w:pPr>
            <w:r>
              <w:rPr>
                <w:sz w:val="18"/>
              </w:rPr>
              <w:t xml:space="preserve">549,409</w:t>
            </w:r>
          </w:p>
        </w:tc>
        <w:tc>
          <w:tcPr>
            <w:tcW w:type="dxa" w:w="1719"/>
          </w:tcPr>
          <w:p>
            <w:pPr>
              <w:pStyle w:val="Compact"/>
              <w:spacing w:line="240" w:lineRule="auto" w:after="0"/>
              <w:jc w:val="right"/>
            </w:pPr>
            <w:r>
              <w:rPr>
                <w:sz w:val="18"/>
              </w:rPr>
              <w:t xml:space="preserve">not applicable (no RxNorm code)</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Drug code at the value set’s term level</w:t>
            </w:r>
          </w:p>
        </w:tc>
        <w:tc>
          <w:tcPr>
            <w:tcW w:type="dxa" w:w="2266"/>
          </w:tcPr>
          <w:p>
            <w:pPr>
              <w:pStyle w:val="Compact"/>
              <w:spacing w:line="240" w:lineRule="auto" w:after="0"/>
              <w:jc w:val="left"/>
            </w:pPr>
            <w:r>
              <w:rPr>
                <w:sz w:val="18"/>
              </w:rPr>
              <w:t xml:space="preserve">CMS871 drug administrations</w:t>
            </w:r>
          </w:p>
        </w:tc>
        <w:tc>
          <w:tcPr>
            <w:tcW w:type="dxa" w:w="1062"/>
          </w:tcPr>
          <w:p>
            <w:pPr>
              <w:pStyle w:val="Compact"/>
              <w:spacing w:line="240" w:lineRule="auto" w:after="0"/>
              <w:jc w:val="right"/>
            </w:pPr>
            <w:r>
              <w:rPr>
                <w:sz w:val="18"/>
              </w:rPr>
              <w:t xml:space="preserve">568,742</w:t>
            </w:r>
          </w:p>
        </w:tc>
        <w:tc>
          <w:tcPr>
            <w:tcW w:type="dxa" w:w="1719"/>
          </w:tcPr>
          <w:p>
            <w:pPr>
              <w:pStyle w:val="Compact"/>
              <w:spacing w:line="240" w:lineRule="auto" w:after="0"/>
              <w:jc w:val="right"/>
            </w:pPr>
            <w:r>
              <w:rPr>
                <w:sz w:val="18"/>
              </w:rPr>
              <w:t xml:space="preserve">not applicable (no RxNorm code)</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Glucose value comparable in mg/dL</w:t>
            </w:r>
          </w:p>
        </w:tc>
        <w:tc>
          <w:tcPr>
            <w:tcW w:type="dxa" w:w="2266"/>
          </w:tcPr>
          <w:p>
            <w:pPr>
              <w:pStyle w:val="Compact"/>
              <w:spacing w:line="240" w:lineRule="auto" w:after="0"/>
              <w:jc w:val="left"/>
            </w:pPr>
            <w:r>
              <w:rPr>
                <w:sz w:val="18"/>
              </w:rPr>
              <w:t xml:space="preserve">Glucose results</w:t>
            </w:r>
          </w:p>
        </w:tc>
        <w:tc>
          <w:tcPr>
            <w:tcW w:type="dxa" w:w="1062"/>
          </w:tcPr>
          <w:p>
            <w:pPr>
              <w:pStyle w:val="Compact"/>
              <w:spacing w:line="240" w:lineRule="auto" w:after="0"/>
              <w:jc w:val="right"/>
            </w:pPr>
            <w:r>
              <w:rPr>
                <w:sz w:val="18"/>
              </w:rPr>
              <w:t xml:space="preserve">824,809</w:t>
            </w:r>
          </w:p>
        </w:tc>
        <w:tc>
          <w:tcPr>
            <w:tcW w:type="dxa" w:w="1719"/>
          </w:tcPr>
          <w:p>
            <w:pPr>
              <w:pStyle w:val="Compact"/>
              <w:spacing w:line="240" w:lineRule="auto" w:after="0"/>
              <w:jc w:val="right"/>
            </w:pPr>
            <w:r>
              <w:rPr>
                <w:sz w:val="18"/>
              </w:rPr>
              <w:t xml:space="preserve">824,809 (100.0)</w:t>
            </w:r>
          </w:p>
        </w:tc>
        <w:tc>
          <w:tcPr>
            <w:tcW w:type="dxa" w:w="1172"/>
          </w:tcPr>
          <w:p>
            <w:pPr>
              <w:pStyle w:val="Compact"/>
              <w:spacing w:line="240" w:lineRule="auto" w:after="0"/>
              <w:jc w:val="right"/>
            </w:pPr>
            <w:r>
              <w:rPr>
                <w:sz w:val="18"/>
              </w:rPr>
              <w:t xml:space="preserve">211,894 (25.7)</w:t>
            </w:r>
          </w:p>
        </w:tc>
      </w:tr>
      <w:tr>
        <w:tc>
          <w:tcPr>
            <w:tcW w:type="dxa" w:w="3142"/>
          </w:tcPr>
          <w:p>
            <w:pPr>
              <w:pStyle w:val="Compact"/>
              <w:spacing w:line="240" w:lineRule="auto" w:after="0"/>
              <w:jc w:val="left"/>
            </w:pPr>
            <w:r>
              <w:rPr>
                <w:sz w:val="18"/>
              </w:rPr>
              <w:t xml:space="preserve">Status the measure accepts</w:t>
            </w:r>
          </w:p>
        </w:tc>
        <w:tc>
          <w:tcPr>
            <w:tcW w:type="dxa" w:w="2266"/>
          </w:tcPr>
          <w:p>
            <w:pPr>
              <w:pStyle w:val="Compact"/>
              <w:spacing w:line="240" w:lineRule="auto" w:after="0"/>
              <w:jc w:val="left"/>
            </w:pPr>
            <w:r>
              <w:rPr>
                <w:sz w:val="18"/>
              </w:rPr>
              <w:t xml:space="preserve">Glucose results</w:t>
            </w:r>
          </w:p>
        </w:tc>
        <w:tc>
          <w:tcPr>
            <w:tcW w:type="dxa" w:w="1062"/>
          </w:tcPr>
          <w:p>
            <w:pPr>
              <w:pStyle w:val="Compact"/>
              <w:spacing w:line="240" w:lineRule="auto" w:after="0"/>
              <w:jc w:val="right"/>
            </w:pPr>
            <w:r>
              <w:rPr>
                <w:sz w:val="18"/>
              </w:rPr>
              <w:t xml:space="preserve">824,809</w:t>
            </w:r>
          </w:p>
        </w:tc>
        <w:tc>
          <w:tcPr>
            <w:tcW w:type="dxa" w:w="1719"/>
          </w:tcPr>
          <w:p>
            <w:pPr>
              <w:pStyle w:val="Compact"/>
              <w:spacing w:line="240" w:lineRule="auto" w:after="0"/>
              <w:jc w:val="right"/>
            </w:pPr>
            <w:r>
              <w:rPr>
                <w:sz w:val="18"/>
              </w:rPr>
              <w:t xml:space="preserve">0 (0.0)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Status the measure accepts</w:t>
            </w:r>
          </w:p>
        </w:tc>
        <w:tc>
          <w:tcPr>
            <w:tcW w:type="dxa" w:w="2266"/>
          </w:tcPr>
          <w:p>
            <w:pPr>
              <w:pStyle w:val="Compact"/>
              <w:spacing w:line="240" w:lineRule="auto" w:after="0"/>
              <w:jc w:val="left"/>
            </w:pPr>
            <w:r>
              <w:rPr>
                <w:sz w:val="18"/>
              </w:rPr>
              <w:t xml:space="preserve">CMS816 drug administrations</w:t>
            </w:r>
          </w:p>
        </w:tc>
        <w:tc>
          <w:tcPr>
            <w:tcW w:type="dxa" w:w="1062"/>
          </w:tcPr>
          <w:p>
            <w:pPr>
              <w:pStyle w:val="Compact"/>
              <w:spacing w:line="240" w:lineRule="auto" w:after="0"/>
              <w:jc w:val="right"/>
            </w:pPr>
            <w:r>
              <w:rPr>
                <w:sz w:val="18"/>
              </w:rPr>
              <w:t xml:space="preserve">549,409</w:t>
            </w:r>
          </w:p>
        </w:tc>
        <w:tc>
          <w:tcPr>
            <w:tcW w:type="dxa" w:w="1719"/>
          </w:tcPr>
          <w:p>
            <w:pPr>
              <w:pStyle w:val="Compact"/>
              <w:spacing w:line="240" w:lineRule="auto" w:after="0"/>
              <w:jc w:val="right"/>
            </w:pPr>
            <w:r>
              <w:rPr>
                <w:sz w:val="18"/>
              </w:rPr>
              <w:t xml:space="preserve">0 (0.0)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Status the measure accepts</w:t>
            </w:r>
          </w:p>
        </w:tc>
        <w:tc>
          <w:tcPr>
            <w:tcW w:type="dxa" w:w="2266"/>
          </w:tcPr>
          <w:p>
            <w:pPr>
              <w:pStyle w:val="Compact"/>
              <w:spacing w:line="240" w:lineRule="auto" w:after="0"/>
              <w:jc w:val="left"/>
            </w:pPr>
            <w:r>
              <w:rPr>
                <w:sz w:val="18"/>
              </w:rPr>
              <w:t xml:space="preserve">CMS871 drug administrations</w:t>
            </w:r>
          </w:p>
        </w:tc>
        <w:tc>
          <w:tcPr>
            <w:tcW w:type="dxa" w:w="1062"/>
          </w:tcPr>
          <w:p>
            <w:pPr>
              <w:pStyle w:val="Compact"/>
              <w:spacing w:line="240" w:lineRule="auto" w:after="0"/>
              <w:jc w:val="right"/>
            </w:pPr>
            <w:r>
              <w:rPr>
                <w:sz w:val="18"/>
              </w:rPr>
              <w:t xml:space="preserve">568,742</w:t>
            </w:r>
          </w:p>
        </w:tc>
        <w:tc>
          <w:tcPr>
            <w:tcW w:type="dxa" w:w="1719"/>
          </w:tcPr>
          <w:p>
            <w:pPr>
              <w:pStyle w:val="Compact"/>
              <w:spacing w:line="240" w:lineRule="auto" w:after="0"/>
              <w:jc w:val="right"/>
            </w:pPr>
            <w:r>
              <w:rPr>
                <w:sz w:val="18"/>
              </w:rPr>
              <w:t xml:space="preserve">0 (0.0)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Status the measure accepts</w:t>
            </w:r>
          </w:p>
        </w:tc>
        <w:tc>
          <w:tcPr>
            <w:tcW w:type="dxa" w:w="2266"/>
          </w:tcPr>
          <w:p>
            <w:pPr>
              <w:pStyle w:val="Compact"/>
              <w:spacing w:line="240" w:lineRule="auto" w:after="0"/>
              <w:jc w:val="left"/>
            </w:pPr>
            <w:r>
              <w:rPr>
                <w:sz w:val="18"/>
              </w:rPr>
              <w:t xml:space="preserve">Diabetes diagnoses</w:t>
            </w:r>
          </w:p>
        </w:tc>
        <w:tc>
          <w:tcPr>
            <w:tcW w:type="dxa" w:w="1062"/>
          </w:tcPr>
          <w:p>
            <w:pPr>
              <w:pStyle w:val="Compact"/>
              <w:spacing w:line="240" w:lineRule="auto" w:after="0"/>
              <w:jc w:val="right"/>
            </w:pPr>
            <w:r>
              <w:rPr>
                <w:sz w:val="18"/>
              </w:rPr>
              <w:t xml:space="preserve">52,623</w:t>
            </w:r>
          </w:p>
        </w:tc>
        <w:tc>
          <w:tcPr>
            <w:tcW w:type="dxa" w:w="1719"/>
          </w:tcPr>
          <w:p>
            <w:pPr>
              <w:pStyle w:val="Compact"/>
              <w:spacing w:line="240" w:lineRule="auto" w:after="0"/>
              <w:jc w:val="right"/>
            </w:pPr>
            <w:r>
              <w:rPr>
                <w:sz w:val="18"/>
              </w:rPr>
              <w:t xml:space="preserve">52,623 (100.0)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Status the measure accepts</w:t>
            </w:r>
          </w:p>
        </w:tc>
        <w:tc>
          <w:tcPr>
            <w:tcW w:type="dxa" w:w="2266"/>
          </w:tcPr>
          <w:p>
            <w:pPr>
              <w:pStyle w:val="Compact"/>
              <w:spacing w:line="240" w:lineRule="auto" w:after="0"/>
              <w:jc w:val="left"/>
            </w:pPr>
            <w:r>
              <w:rPr>
                <w:sz w:val="18"/>
              </w:rPr>
              <w:t xml:space="preserve">Stay encounters</w:t>
            </w:r>
          </w:p>
        </w:tc>
        <w:tc>
          <w:tcPr>
            <w:tcW w:type="dxa" w:w="1062"/>
          </w:tcPr>
          <w:p>
            <w:pPr>
              <w:pStyle w:val="Compact"/>
              <w:spacing w:line="240" w:lineRule="auto" w:after="0"/>
              <w:jc w:val="right"/>
            </w:pPr>
            <w:r>
              <w:rPr>
                <w:sz w:val="18"/>
              </w:rPr>
              <w:t xml:space="preserve">88,234</w:t>
            </w:r>
          </w:p>
        </w:tc>
        <w:tc>
          <w:tcPr>
            <w:tcW w:type="dxa" w:w="1719"/>
          </w:tcPr>
          <w:p>
            <w:pPr>
              <w:pStyle w:val="Compact"/>
              <w:spacing w:line="240" w:lineRule="auto" w:after="0"/>
              <w:jc w:val="right"/>
            </w:pPr>
            <w:r>
              <w:rPr>
                <w:sz w:val="18"/>
              </w:rPr>
              <w:t xml:space="preserve">0 (0.0)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Time element present</w:t>
            </w:r>
          </w:p>
        </w:tc>
        <w:tc>
          <w:tcPr>
            <w:tcW w:type="dxa" w:w="2266"/>
          </w:tcPr>
          <w:p>
            <w:pPr>
              <w:pStyle w:val="Compact"/>
              <w:spacing w:line="240" w:lineRule="auto" w:after="0"/>
              <w:jc w:val="left"/>
            </w:pPr>
            <w:r>
              <w:rPr>
                <w:sz w:val="18"/>
              </w:rPr>
              <w:t xml:space="preserve">Glucose results</w:t>
            </w:r>
          </w:p>
        </w:tc>
        <w:tc>
          <w:tcPr>
            <w:tcW w:type="dxa" w:w="1062"/>
          </w:tcPr>
          <w:p>
            <w:pPr>
              <w:pStyle w:val="Compact"/>
              <w:spacing w:line="240" w:lineRule="auto" w:after="0"/>
              <w:jc w:val="right"/>
            </w:pPr>
            <w:r>
              <w:rPr>
                <w:sz w:val="18"/>
              </w:rPr>
              <w:t xml:space="preserve">824,809</w:t>
            </w:r>
          </w:p>
        </w:tc>
        <w:tc>
          <w:tcPr>
            <w:tcW w:type="dxa" w:w="1719"/>
          </w:tcPr>
          <w:p>
            <w:pPr>
              <w:pStyle w:val="Compact"/>
              <w:spacing w:line="240" w:lineRule="auto" w:after="0"/>
              <w:jc w:val="right"/>
            </w:pPr>
            <w:r>
              <w:rPr>
                <w:sz w:val="18"/>
              </w:rPr>
              <w:t xml:space="preserve">0 (0.0)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Time element present</w:t>
            </w:r>
          </w:p>
        </w:tc>
        <w:tc>
          <w:tcPr>
            <w:tcW w:type="dxa" w:w="2266"/>
          </w:tcPr>
          <w:p>
            <w:pPr>
              <w:pStyle w:val="Compact"/>
              <w:spacing w:line="240" w:lineRule="auto" w:after="0"/>
              <w:jc w:val="left"/>
            </w:pPr>
            <w:r>
              <w:rPr>
                <w:sz w:val="18"/>
              </w:rPr>
              <w:t xml:space="preserve">CMS816 drug administrations</w:t>
            </w:r>
          </w:p>
        </w:tc>
        <w:tc>
          <w:tcPr>
            <w:tcW w:type="dxa" w:w="1062"/>
          </w:tcPr>
          <w:p>
            <w:pPr>
              <w:pStyle w:val="Compact"/>
              <w:spacing w:line="240" w:lineRule="auto" w:after="0"/>
              <w:jc w:val="right"/>
            </w:pPr>
            <w:r>
              <w:rPr>
                <w:sz w:val="18"/>
              </w:rPr>
              <w:t xml:space="preserve">549,409</w:t>
            </w:r>
          </w:p>
        </w:tc>
        <w:tc>
          <w:tcPr>
            <w:tcW w:type="dxa" w:w="1719"/>
          </w:tcPr>
          <w:p>
            <w:pPr>
              <w:pStyle w:val="Compact"/>
              <w:spacing w:line="240" w:lineRule="auto" w:after="0"/>
              <w:jc w:val="right"/>
            </w:pPr>
            <w:r>
              <w:rPr>
                <w:sz w:val="18"/>
              </w:rPr>
              <w:t xml:space="preserve">0 (0.0)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Time element present</w:t>
            </w:r>
          </w:p>
        </w:tc>
        <w:tc>
          <w:tcPr>
            <w:tcW w:type="dxa" w:w="2266"/>
          </w:tcPr>
          <w:p>
            <w:pPr>
              <w:pStyle w:val="Compact"/>
              <w:spacing w:line="240" w:lineRule="auto" w:after="0"/>
              <w:jc w:val="left"/>
            </w:pPr>
            <w:r>
              <w:rPr>
                <w:sz w:val="18"/>
              </w:rPr>
              <w:t xml:space="preserve">CMS871 drug administrations</w:t>
            </w:r>
          </w:p>
        </w:tc>
        <w:tc>
          <w:tcPr>
            <w:tcW w:type="dxa" w:w="1062"/>
          </w:tcPr>
          <w:p>
            <w:pPr>
              <w:pStyle w:val="Compact"/>
              <w:spacing w:line="240" w:lineRule="auto" w:after="0"/>
              <w:jc w:val="right"/>
            </w:pPr>
            <w:r>
              <w:rPr>
                <w:sz w:val="18"/>
              </w:rPr>
              <w:t xml:space="preserve">568,742</w:t>
            </w:r>
          </w:p>
        </w:tc>
        <w:tc>
          <w:tcPr>
            <w:tcW w:type="dxa" w:w="1719"/>
          </w:tcPr>
          <w:p>
            <w:pPr>
              <w:pStyle w:val="Compact"/>
              <w:spacing w:line="240" w:lineRule="auto" w:after="0"/>
              <w:jc w:val="right"/>
            </w:pPr>
            <w:r>
              <w:rPr>
                <w:sz w:val="18"/>
              </w:rPr>
              <w:t xml:space="preserve">0 (0.0)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Time element present</w:t>
            </w:r>
          </w:p>
        </w:tc>
        <w:tc>
          <w:tcPr>
            <w:tcW w:type="dxa" w:w="2266"/>
          </w:tcPr>
          <w:p>
            <w:pPr>
              <w:pStyle w:val="Compact"/>
              <w:spacing w:line="240" w:lineRule="auto" w:after="0"/>
              <w:jc w:val="left"/>
            </w:pPr>
            <w:r>
              <w:rPr>
                <w:sz w:val="18"/>
              </w:rPr>
              <w:t xml:space="preserve">Diabetes diagnoses</w:t>
            </w:r>
          </w:p>
        </w:tc>
        <w:tc>
          <w:tcPr>
            <w:tcW w:type="dxa" w:w="1062"/>
          </w:tcPr>
          <w:p>
            <w:pPr>
              <w:pStyle w:val="Compact"/>
              <w:spacing w:line="240" w:lineRule="auto" w:after="0"/>
              <w:jc w:val="right"/>
            </w:pPr>
            <w:r>
              <w:rPr>
                <w:sz w:val="18"/>
              </w:rPr>
              <w:t xml:space="preserve">52,623</w:t>
            </w:r>
          </w:p>
        </w:tc>
        <w:tc>
          <w:tcPr>
            <w:tcW w:type="dxa" w:w="1719"/>
          </w:tcPr>
          <w:p>
            <w:pPr>
              <w:pStyle w:val="Compact"/>
              <w:spacing w:line="240" w:lineRule="auto" w:after="0"/>
              <w:jc w:val="right"/>
            </w:pPr>
            <w:r>
              <w:rPr>
                <w:sz w:val="18"/>
              </w:rPr>
              <w:t xml:space="preserve">52,623 (100.0)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Time element present</w:t>
            </w:r>
          </w:p>
        </w:tc>
        <w:tc>
          <w:tcPr>
            <w:tcW w:type="dxa" w:w="2266"/>
          </w:tcPr>
          <w:p>
            <w:pPr>
              <w:pStyle w:val="Compact"/>
              <w:spacing w:line="240" w:lineRule="auto" w:after="0"/>
              <w:jc w:val="left"/>
            </w:pPr>
            <w:r>
              <w:rPr>
                <w:sz w:val="18"/>
              </w:rPr>
              <w:t xml:space="preserve">Stay encounters</w:t>
            </w:r>
          </w:p>
        </w:tc>
        <w:tc>
          <w:tcPr>
            <w:tcW w:type="dxa" w:w="1062"/>
          </w:tcPr>
          <w:p>
            <w:pPr>
              <w:pStyle w:val="Compact"/>
              <w:spacing w:line="240" w:lineRule="auto" w:after="0"/>
              <w:jc w:val="right"/>
            </w:pPr>
            <w:r>
              <w:rPr>
                <w:sz w:val="18"/>
              </w:rPr>
              <w:t xml:space="preserve">88,234</w:t>
            </w:r>
          </w:p>
        </w:tc>
        <w:tc>
          <w:tcPr>
            <w:tcW w:type="dxa" w:w="1719"/>
          </w:tcPr>
          <w:p>
            <w:pPr>
              <w:pStyle w:val="Compact"/>
              <w:spacing w:line="240" w:lineRule="auto" w:after="0"/>
              <w:jc w:val="right"/>
            </w:pPr>
            <w:r>
              <w:rPr>
                <w:sz w:val="18"/>
              </w:rPr>
              <w:t xml:space="preserve">0 (0.0)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Patient reference</w:t>
            </w:r>
          </w:p>
        </w:tc>
        <w:tc>
          <w:tcPr>
            <w:tcW w:type="dxa" w:w="2266"/>
          </w:tcPr>
          <w:p>
            <w:pPr>
              <w:pStyle w:val="Compact"/>
              <w:spacing w:line="240" w:lineRule="auto" w:after="0"/>
              <w:jc w:val="left"/>
            </w:pPr>
            <w:r>
              <w:rPr>
                <w:sz w:val="18"/>
              </w:rPr>
              <w:t xml:space="preserve">Glucose results</w:t>
            </w:r>
          </w:p>
        </w:tc>
        <w:tc>
          <w:tcPr>
            <w:tcW w:type="dxa" w:w="1062"/>
          </w:tcPr>
          <w:p>
            <w:pPr>
              <w:pStyle w:val="Compact"/>
              <w:spacing w:line="240" w:lineRule="auto" w:after="0"/>
              <w:jc w:val="right"/>
            </w:pPr>
            <w:r>
              <w:rPr>
                <w:sz w:val="18"/>
              </w:rPr>
              <w:t xml:space="preserve">824,809</w:t>
            </w:r>
          </w:p>
        </w:tc>
        <w:tc>
          <w:tcPr>
            <w:tcW w:type="dxa" w:w="1719"/>
          </w:tcPr>
          <w:p>
            <w:pPr>
              <w:pStyle w:val="Compact"/>
              <w:spacing w:line="240" w:lineRule="auto" w:after="0"/>
              <w:jc w:val="right"/>
            </w:pPr>
            <w:r>
              <w:rPr>
                <w:sz w:val="18"/>
              </w:rPr>
              <w:t xml:space="preserve">0 (0.0)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Patient reference</w:t>
            </w:r>
          </w:p>
        </w:tc>
        <w:tc>
          <w:tcPr>
            <w:tcW w:type="dxa" w:w="2266"/>
          </w:tcPr>
          <w:p>
            <w:pPr>
              <w:pStyle w:val="Compact"/>
              <w:spacing w:line="240" w:lineRule="auto" w:after="0"/>
              <w:jc w:val="left"/>
            </w:pPr>
            <w:r>
              <w:rPr>
                <w:sz w:val="18"/>
              </w:rPr>
              <w:t xml:space="preserve">CMS816 drug administrations</w:t>
            </w:r>
          </w:p>
        </w:tc>
        <w:tc>
          <w:tcPr>
            <w:tcW w:type="dxa" w:w="1062"/>
          </w:tcPr>
          <w:p>
            <w:pPr>
              <w:pStyle w:val="Compact"/>
              <w:spacing w:line="240" w:lineRule="auto" w:after="0"/>
              <w:jc w:val="right"/>
            </w:pPr>
            <w:r>
              <w:rPr>
                <w:sz w:val="18"/>
              </w:rPr>
              <w:t xml:space="preserve">549,409</w:t>
            </w:r>
          </w:p>
        </w:tc>
        <w:tc>
          <w:tcPr>
            <w:tcW w:type="dxa" w:w="1719"/>
          </w:tcPr>
          <w:p>
            <w:pPr>
              <w:pStyle w:val="Compact"/>
              <w:spacing w:line="240" w:lineRule="auto" w:after="0"/>
              <w:jc w:val="right"/>
            </w:pPr>
            <w:r>
              <w:rPr>
                <w:sz w:val="18"/>
              </w:rPr>
              <w:t xml:space="preserve">0 (0.0)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Patient reference</w:t>
            </w:r>
          </w:p>
        </w:tc>
        <w:tc>
          <w:tcPr>
            <w:tcW w:type="dxa" w:w="2266"/>
          </w:tcPr>
          <w:p>
            <w:pPr>
              <w:pStyle w:val="Compact"/>
              <w:spacing w:line="240" w:lineRule="auto" w:after="0"/>
              <w:jc w:val="left"/>
            </w:pPr>
            <w:r>
              <w:rPr>
                <w:sz w:val="18"/>
              </w:rPr>
              <w:t xml:space="preserve">CMS871 drug administrations</w:t>
            </w:r>
          </w:p>
        </w:tc>
        <w:tc>
          <w:tcPr>
            <w:tcW w:type="dxa" w:w="1062"/>
          </w:tcPr>
          <w:p>
            <w:pPr>
              <w:pStyle w:val="Compact"/>
              <w:spacing w:line="240" w:lineRule="auto" w:after="0"/>
              <w:jc w:val="right"/>
            </w:pPr>
            <w:r>
              <w:rPr>
                <w:sz w:val="18"/>
              </w:rPr>
              <w:t xml:space="preserve">568,742</w:t>
            </w:r>
          </w:p>
        </w:tc>
        <w:tc>
          <w:tcPr>
            <w:tcW w:type="dxa" w:w="1719"/>
          </w:tcPr>
          <w:p>
            <w:pPr>
              <w:pStyle w:val="Compact"/>
              <w:spacing w:line="240" w:lineRule="auto" w:after="0"/>
              <w:jc w:val="right"/>
            </w:pPr>
            <w:r>
              <w:rPr>
                <w:sz w:val="18"/>
              </w:rPr>
              <w:t xml:space="preserve">0 (0.0)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Patient reference</w:t>
            </w:r>
          </w:p>
        </w:tc>
        <w:tc>
          <w:tcPr>
            <w:tcW w:type="dxa" w:w="2266"/>
          </w:tcPr>
          <w:p>
            <w:pPr>
              <w:pStyle w:val="Compact"/>
              <w:spacing w:line="240" w:lineRule="auto" w:after="0"/>
              <w:jc w:val="left"/>
            </w:pPr>
            <w:r>
              <w:rPr>
                <w:sz w:val="18"/>
              </w:rPr>
              <w:t xml:space="preserve">Diabetes diagnoses</w:t>
            </w:r>
          </w:p>
        </w:tc>
        <w:tc>
          <w:tcPr>
            <w:tcW w:type="dxa" w:w="1062"/>
          </w:tcPr>
          <w:p>
            <w:pPr>
              <w:pStyle w:val="Compact"/>
              <w:spacing w:line="240" w:lineRule="auto" w:after="0"/>
              <w:jc w:val="right"/>
            </w:pPr>
            <w:r>
              <w:rPr>
                <w:sz w:val="18"/>
              </w:rPr>
              <w:t xml:space="preserve">52,623</w:t>
            </w:r>
          </w:p>
        </w:tc>
        <w:tc>
          <w:tcPr>
            <w:tcW w:type="dxa" w:w="1719"/>
          </w:tcPr>
          <w:p>
            <w:pPr>
              <w:pStyle w:val="Compact"/>
              <w:spacing w:line="240" w:lineRule="auto" w:after="0"/>
              <w:jc w:val="right"/>
            </w:pPr>
            <w:r>
              <w:rPr>
                <w:sz w:val="18"/>
              </w:rPr>
              <w:t xml:space="preserve">0 (0.0)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Patient reference</w:t>
            </w:r>
          </w:p>
        </w:tc>
        <w:tc>
          <w:tcPr>
            <w:tcW w:type="dxa" w:w="2266"/>
          </w:tcPr>
          <w:p>
            <w:pPr>
              <w:pStyle w:val="Compact"/>
              <w:spacing w:line="240" w:lineRule="auto" w:after="0"/>
              <w:jc w:val="left"/>
            </w:pPr>
            <w:r>
              <w:rPr>
                <w:sz w:val="18"/>
              </w:rPr>
              <w:t xml:space="preserve">Stay encounters</w:t>
            </w:r>
          </w:p>
        </w:tc>
        <w:tc>
          <w:tcPr>
            <w:tcW w:type="dxa" w:w="1062"/>
          </w:tcPr>
          <w:p>
            <w:pPr>
              <w:pStyle w:val="Compact"/>
              <w:spacing w:line="240" w:lineRule="auto" w:after="0"/>
              <w:jc w:val="right"/>
            </w:pPr>
            <w:r>
              <w:rPr>
                <w:sz w:val="18"/>
              </w:rPr>
              <w:t xml:space="preserve">88,234</w:t>
            </w:r>
          </w:p>
        </w:tc>
        <w:tc>
          <w:tcPr>
            <w:tcW w:type="dxa" w:w="1719"/>
          </w:tcPr>
          <w:p>
            <w:pPr>
              <w:pStyle w:val="Compact"/>
              <w:spacing w:line="240" w:lineRule="auto" w:after="0"/>
              <w:jc w:val="right"/>
            </w:pPr>
            <w:r>
              <w:rPr>
                <w:sz w:val="18"/>
              </w:rPr>
              <w:t xml:space="preserve">0 (0.0)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Encounter links its diabetes diagnoses</w:t>
            </w:r>
          </w:p>
        </w:tc>
        <w:tc>
          <w:tcPr>
            <w:tcW w:type="dxa" w:w="2266"/>
          </w:tcPr>
          <w:p>
            <w:pPr>
              <w:pStyle w:val="Compact"/>
              <w:spacing w:line="240" w:lineRule="auto" w:after="0"/>
              <w:jc w:val="left"/>
            </w:pPr>
            <w:r>
              <w:rPr>
                <w:sz w:val="18"/>
              </w:rPr>
              <w:t xml:space="preserve">Stay encounters</w:t>
            </w:r>
          </w:p>
        </w:tc>
        <w:tc>
          <w:tcPr>
            <w:tcW w:type="dxa" w:w="1062"/>
          </w:tcPr>
          <w:p>
            <w:pPr>
              <w:pStyle w:val="Compact"/>
              <w:spacing w:line="240" w:lineRule="auto" w:after="0"/>
              <w:jc w:val="right"/>
            </w:pPr>
            <w:r>
              <w:rPr>
                <w:sz w:val="18"/>
              </w:rPr>
              <w:t xml:space="preserve">22,187</w:t>
            </w:r>
          </w:p>
        </w:tc>
        <w:tc>
          <w:tcPr>
            <w:tcW w:type="dxa" w:w="1719"/>
          </w:tcPr>
          <w:p>
            <w:pPr>
              <w:pStyle w:val="Compact"/>
              <w:spacing w:line="240" w:lineRule="auto" w:after="0"/>
              <w:jc w:val="right"/>
            </w:pPr>
            <w:r>
              <w:rPr>
                <w:sz w:val="18"/>
              </w:rPr>
              <w:t xml:space="preserve">22,187 (100.0)</w:t>
            </w:r>
          </w:p>
        </w:tc>
        <w:tc>
          <w:tcPr>
            <w:tcW w:type="dxa" w:w="1172"/>
          </w:tcPr>
          <w:p>
            <w:pPr>
              <w:pStyle w:val="Compact"/>
              <w:spacing w:line="240" w:lineRule="auto" w:after="0"/>
              <w:jc w:val="right"/>
            </w:pPr>
            <w:r>
              <w:rPr>
                <w:sz w:val="18"/>
              </w:rPr>
              <w:t xml:space="preserve">0 (0.0)</w:t>
            </w:r>
          </w:p>
        </w:tc>
      </w:tr>
      <w:tr>
        <w:tc>
          <w:tcPr>
            <w:tcW w:type="dxa" w:w="3142"/>
          </w:tcPr>
          <w:p>
            <w:pPr>
              <w:pStyle w:val="Compact"/>
              <w:spacing w:line="240" w:lineRule="auto" w:after="0"/>
              <w:jc w:val="left"/>
            </w:pPr>
            <w:r>
              <w:rPr>
                <w:sz w:val="18"/>
              </w:rPr>
              <w:t xml:space="preserve">Administration status confirmed by an eMAR event (MIMIC)</w:t>
            </w:r>
          </w:p>
        </w:tc>
        <w:tc>
          <w:tcPr>
            <w:tcW w:type="dxa" w:w="2266"/>
          </w:tcPr>
          <w:p>
            <w:pPr>
              <w:pStyle w:val="Compact"/>
              <w:spacing w:line="240" w:lineRule="auto" w:after="0"/>
              <w:jc w:val="left"/>
            </w:pPr>
            <w:r>
              <w:rPr>
                <w:sz w:val="18"/>
              </w:rPr>
              <w:t xml:space="preserve">CMS816 drug administrations</w:t>
            </w:r>
          </w:p>
        </w:tc>
        <w:tc>
          <w:tcPr>
            <w:tcW w:type="dxa" w:w="1062"/>
          </w:tcPr>
          <w:p>
            <w:pPr>
              <w:pStyle w:val="Compact"/>
              <w:spacing w:line="240" w:lineRule="auto" w:after="0"/>
              <w:jc w:val="right"/>
            </w:pPr>
            <w:r>
              <w:rPr>
                <w:sz w:val="18"/>
              </w:rPr>
              <w:t xml:space="preserve">450,394</w:t>
            </w:r>
          </w:p>
        </w:tc>
        <w:tc>
          <w:tcPr>
            <w:tcW w:type="dxa" w:w="1719"/>
          </w:tcPr>
          <w:p>
            <w:pPr>
              <w:pStyle w:val="Compact"/>
              <w:spacing w:line="240" w:lineRule="auto" w:after="0"/>
              <w:jc w:val="right"/>
            </w:pPr>
            <w:r>
              <w:rPr>
                <w:sz w:val="18"/>
              </w:rPr>
              <w:t xml:space="preserve">32,337 (7.2)</w:t>
            </w:r>
          </w:p>
        </w:tc>
        <w:tc>
          <w:tcPr>
            <w:tcW w:type="dxa" w:w="1172"/>
          </w:tcPr>
          <w:p>
            <w:pPr>
              <w:pStyle w:val="Compact"/>
              <w:spacing w:line="240" w:lineRule="auto" w:after="0"/>
              <w:jc w:val="right"/>
            </w:pPr>
            <w:r>
              <w:rPr>
                <w:sz w:val="18"/>
              </w:rPr>
              <w:t xml:space="preserve">32,337 (7.2)</w:t>
            </w:r>
          </w:p>
        </w:tc>
      </w:tr>
      <w:tr>
        <w:tc>
          <w:tcPr>
            <w:tcW w:type="dxa" w:w="3142"/>
          </w:tcPr>
          <w:p>
            <w:pPr>
              <w:pStyle w:val="Compact"/>
              <w:spacing w:line="240" w:lineRule="auto" w:after="0"/>
              <w:jc w:val="left"/>
            </w:pPr>
            <w:r>
              <w:rPr>
                <w:sz w:val="18"/>
              </w:rPr>
              <w:t xml:space="preserve">Administration status confirmed by an eMAR event (MIMIC)</w:t>
            </w:r>
          </w:p>
        </w:tc>
        <w:tc>
          <w:tcPr>
            <w:tcW w:type="dxa" w:w="2266"/>
          </w:tcPr>
          <w:p>
            <w:pPr>
              <w:pStyle w:val="Compact"/>
              <w:spacing w:line="240" w:lineRule="auto" w:after="0"/>
              <w:jc w:val="left"/>
            </w:pPr>
            <w:r>
              <w:rPr>
                <w:sz w:val="18"/>
              </w:rPr>
              <w:t xml:space="preserve">CMS871 drug administrations</w:t>
            </w:r>
          </w:p>
        </w:tc>
        <w:tc>
          <w:tcPr>
            <w:tcW w:type="dxa" w:w="1062"/>
          </w:tcPr>
          <w:p>
            <w:pPr>
              <w:pStyle w:val="Compact"/>
              <w:spacing w:line="240" w:lineRule="auto" w:after="0"/>
              <w:jc w:val="right"/>
            </w:pPr>
            <w:r>
              <w:rPr>
                <w:sz w:val="18"/>
              </w:rPr>
              <w:t xml:space="preserve">469,727</w:t>
            </w:r>
          </w:p>
        </w:tc>
        <w:tc>
          <w:tcPr>
            <w:tcW w:type="dxa" w:w="1719"/>
          </w:tcPr>
          <w:p>
            <w:pPr>
              <w:pStyle w:val="Compact"/>
              <w:spacing w:line="240" w:lineRule="auto" w:after="0"/>
              <w:jc w:val="right"/>
            </w:pPr>
            <w:r>
              <w:rPr>
                <w:sz w:val="18"/>
              </w:rPr>
              <w:t xml:space="preserve">32,363 (6.9)</w:t>
            </w:r>
          </w:p>
        </w:tc>
        <w:tc>
          <w:tcPr>
            <w:tcW w:type="dxa" w:w="1172"/>
          </w:tcPr>
          <w:p>
            <w:pPr>
              <w:pStyle w:val="Compact"/>
              <w:spacing w:line="240" w:lineRule="auto" w:after="0"/>
              <w:jc w:val="right"/>
            </w:pPr>
            <w:r>
              <w:rPr>
                <w:sz w:val="18"/>
              </w:rPr>
              <w:t xml:space="preserve">32,363 (6.9)</w:t>
            </w:r>
          </w:p>
        </w:tc>
      </w:tr>
      <w:tr>
        <w:tc>
          <w:tcPr>
            <w:tcW w:type="dxa" w:w="3142"/>
          </w:tcPr>
          <w:p>
            <w:pPr>
              <w:pStyle w:val="Compact"/>
              <w:spacing w:line="240" w:lineRule="auto" w:after="0"/>
              <w:jc w:val="left"/>
            </w:pPr>
            <w:r>
              <w:rPr>
                <w:sz w:val="18"/>
              </w:rPr>
              <w:t xml:space="preserve">Status agrees with the eMAR event (MIMIC)</w:t>
            </w:r>
          </w:p>
        </w:tc>
        <w:tc>
          <w:tcPr>
            <w:tcW w:type="dxa" w:w="2266"/>
          </w:tcPr>
          <w:p>
            <w:pPr>
              <w:pStyle w:val="Compact"/>
              <w:spacing w:line="240" w:lineRule="auto" w:after="0"/>
              <w:jc w:val="left"/>
            </w:pPr>
            <w:r>
              <w:rPr>
                <w:sz w:val="18"/>
              </w:rPr>
              <w:t xml:space="preserve">CMS816 drug administrations</w:t>
            </w:r>
          </w:p>
        </w:tc>
        <w:tc>
          <w:tcPr>
            <w:tcW w:type="dxa" w:w="1062"/>
          </w:tcPr>
          <w:p>
            <w:pPr>
              <w:pStyle w:val="Compact"/>
              <w:spacing w:line="240" w:lineRule="auto" w:after="0"/>
              <w:jc w:val="right"/>
            </w:pPr>
            <w:r>
              <w:rPr>
                <w:sz w:val="18"/>
              </w:rPr>
              <w:t xml:space="preserve">418,057</w:t>
            </w:r>
          </w:p>
        </w:tc>
        <w:tc>
          <w:tcPr>
            <w:tcW w:type="dxa" w:w="1719"/>
          </w:tcPr>
          <w:p>
            <w:pPr>
              <w:pStyle w:val="Compact"/>
              <w:spacing w:line="240" w:lineRule="auto" w:after="0"/>
              <w:jc w:val="right"/>
            </w:pPr>
            <w:r>
              <w:rPr>
                <w:sz w:val="18"/>
              </w:rPr>
              <w:t xml:space="preserve">2,032 (0.5)</w:t>
            </w:r>
          </w:p>
        </w:tc>
        <w:tc>
          <w:tcPr>
            <w:tcW w:type="dxa" w:w="1172"/>
          </w:tcPr>
          <w:p>
            <w:pPr>
              <w:pStyle w:val="Compact"/>
              <w:spacing w:line="240" w:lineRule="auto" w:after="0"/>
              <w:jc w:val="right"/>
            </w:pPr>
            <w:r>
              <w:rPr>
                <w:sz w:val="18"/>
              </w:rPr>
              <w:t xml:space="preserve">2,032 (0.5)</w:t>
            </w:r>
          </w:p>
        </w:tc>
      </w:tr>
      <w:tr>
        <w:tc>
          <w:tcPr>
            <w:tcW w:type="dxa" w:w="3142"/>
          </w:tcPr>
          <w:p>
            <w:pPr>
              <w:pStyle w:val="Compact"/>
              <w:spacing w:line="240" w:lineRule="auto" w:after="0"/>
              <w:jc w:val="left"/>
            </w:pPr>
            <w:r>
              <w:rPr>
                <w:sz w:val="18"/>
              </w:rPr>
              <w:t xml:space="preserve">Status agrees with the eMAR event (MIMIC)</w:t>
            </w:r>
          </w:p>
        </w:tc>
        <w:tc>
          <w:tcPr>
            <w:tcW w:type="dxa" w:w="2266"/>
          </w:tcPr>
          <w:p>
            <w:pPr>
              <w:pStyle w:val="Compact"/>
              <w:spacing w:line="240" w:lineRule="auto" w:after="0"/>
              <w:jc w:val="left"/>
            </w:pPr>
            <w:r>
              <w:rPr>
                <w:sz w:val="18"/>
              </w:rPr>
              <w:t xml:space="preserve">CMS871 drug administrations</w:t>
            </w:r>
          </w:p>
        </w:tc>
        <w:tc>
          <w:tcPr>
            <w:tcW w:type="dxa" w:w="1062"/>
          </w:tcPr>
          <w:p>
            <w:pPr>
              <w:pStyle w:val="Compact"/>
              <w:spacing w:line="240" w:lineRule="auto" w:after="0"/>
              <w:jc w:val="right"/>
            </w:pPr>
            <w:r>
              <w:rPr>
                <w:sz w:val="18"/>
              </w:rPr>
              <w:t xml:space="preserve">437,364</w:t>
            </w:r>
          </w:p>
        </w:tc>
        <w:tc>
          <w:tcPr>
            <w:tcW w:type="dxa" w:w="1719"/>
          </w:tcPr>
          <w:p>
            <w:pPr>
              <w:pStyle w:val="Compact"/>
              <w:spacing w:line="240" w:lineRule="auto" w:after="0"/>
              <w:jc w:val="right"/>
            </w:pPr>
            <w:r>
              <w:rPr>
                <w:sz w:val="18"/>
              </w:rPr>
              <w:t xml:space="preserve">2,158 (0.5)</w:t>
            </w:r>
          </w:p>
        </w:tc>
        <w:tc>
          <w:tcPr>
            <w:tcW w:type="dxa" w:w="1172"/>
          </w:tcPr>
          <w:p>
            <w:pPr>
              <w:pStyle w:val="Compact"/>
              <w:spacing w:line="240" w:lineRule="auto" w:after="0"/>
              <w:jc w:val="right"/>
            </w:pPr>
            <w:r>
              <w:rPr>
                <w:sz w:val="18"/>
              </w:rPr>
              <w:t xml:space="preserve">2,158 (0.5)</w:t>
            </w:r>
          </w:p>
        </w:tc>
      </w:tr>
      <w:tr>
        <w:tc>
          <w:tcPr>
            <w:tcW w:type="dxa" w:w="3142"/>
          </w:tcPr>
          <w:p>
            <w:pPr>
              <w:pStyle w:val="Compact"/>
              <w:spacing w:line="240" w:lineRule="auto" w:after="0"/>
              <w:jc w:val="left"/>
            </w:pPr>
            <w:r>
              <w:rPr>
                <w:sz w:val="18"/>
              </w:rPr>
              <w:t xml:space="preserve">Stay typed as observation (information)</w:t>
            </w:r>
          </w:p>
        </w:tc>
        <w:tc>
          <w:tcPr>
            <w:tcW w:type="dxa" w:w="2266"/>
          </w:tcPr>
          <w:p>
            <w:pPr>
              <w:pStyle w:val="Compact"/>
              <w:spacing w:line="240" w:lineRule="auto" w:after="0"/>
              <w:jc w:val="left"/>
            </w:pPr>
            <w:r>
              <w:rPr>
                <w:sz w:val="18"/>
              </w:rPr>
              <w:t xml:space="preserve">Stay encounters</w:t>
            </w:r>
          </w:p>
        </w:tc>
        <w:tc>
          <w:tcPr>
            <w:tcW w:type="dxa" w:w="1062"/>
          </w:tcPr>
          <w:p>
            <w:pPr>
              <w:pStyle w:val="Compact"/>
              <w:spacing w:line="240" w:lineRule="auto" w:after="0"/>
              <w:jc w:val="right"/>
            </w:pPr>
            <w:r>
              <w:rPr>
                <w:sz w:val="18"/>
              </w:rPr>
              <w:t xml:space="preserve">88,234</w:t>
            </w:r>
          </w:p>
        </w:tc>
        <w:tc>
          <w:tcPr>
            <w:tcW w:type="dxa" w:w="1719"/>
          </w:tcPr>
          <w:p>
            <w:pPr>
              <w:pStyle w:val="Compact"/>
              <w:spacing w:line="240" w:lineRule="auto" w:after="0"/>
              <w:jc w:val="right"/>
            </w:pPr>
            <w:r>
              <w:rPr>
                <w:sz w:val="18"/>
              </w:rPr>
              <w:t xml:space="preserve">88,234 (100.0)</w:t>
            </w:r>
          </w:p>
        </w:tc>
        <w:tc>
          <w:tcPr>
            <w:tcW w:type="dxa" w:w="1172"/>
          </w:tcPr>
          <w:p>
            <w:pPr>
              <w:pStyle w:val="Compact"/>
              <w:spacing w:line="240" w:lineRule="auto" w:after="0"/>
              <w:jc w:val="right"/>
            </w:pPr>
            <w:r>
              <w:rPr>
                <w:sz w:val="18"/>
              </w:rPr>
              <w:t xml:space="preserve">53,762 (60.9)</w:t>
            </w:r>
          </w:p>
        </w:tc>
      </w:tr>
    </w:tbl>
    <w:p>
      <w:pPr>
        <w:pStyle w:val="BodyText"/>
      </w:pPr>
      <w:r>
        <w:rPr>
          <w:b/>
        </w:rPr>
        <w:t xml:space="preserve">Supplementary Table S3.</w:t>
      </w:r>
      <w:r>
        <w:t xml:space="preserve"> </w:t>
      </w:r>
      <w:r>
        <w:t xml:space="preserve">Detection of injected problems by the readiness checks in the 2017–2019 cohort. Each problem was injected into a random 1%, 10% or 50% of the records it applies to; a record counts as detected when the check for that problem flags it. Recall is detected injected records over injected records; precision is detected injected records over all flagged records. For glucose units, the 211,894 results that already failed the check after mapping (bedside results without a unit) are flagged at every rate and lower precision; every injected result was still found.</w:t>
      </w:r>
    </w:p>
    <w:tbl>
      <w:tblPr>
        <w:tblStyle w:val="Table"/>
        <w:tblW w:type="dxa" w:w="9360"/>
        <w:tblLook w:firstRow="1"/>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2038"/>
        <w:gridCol w:w="1481"/>
        <w:gridCol w:w="679"/>
        <w:gridCol w:w="1071"/>
        <w:gridCol w:w="973"/>
        <w:gridCol w:w="1071"/>
        <w:gridCol w:w="875"/>
        <w:gridCol w:w="1169"/>
      </w:tblGrid>
      <w:tr>
        <w:trPr>
          <w:cnfStyle w:firstRow="1"/>
        </w:trPr>
        <w:tc>
          <w:tcPr>
            <w:tcW w:type="dxa" w:w="2038"/>
            <w:tcBorders>
              <w:bottom w:val="single"/>
            </w:tcBorders>
            <w:vAlign w:val="bottom"/>
          </w:tcPr>
          <w:p>
            <w:pPr>
              <w:pStyle w:val="Compact"/>
              <w:spacing w:line="240" w:lineRule="auto" w:after="0"/>
              <w:jc w:val="left"/>
            </w:pPr>
            <w:r>
              <w:rPr>
                <w:sz w:val="16"/>
              </w:rPr>
              <w:t xml:space="preserve">Injected problem</w:t>
            </w:r>
          </w:p>
        </w:tc>
        <w:tc>
          <w:tcPr>
            <w:tcW w:type="dxa" w:w="1481"/>
            <w:tcBorders>
              <w:bottom w:val="single"/>
            </w:tcBorders>
            <w:vAlign w:val="bottom"/>
          </w:tcPr>
          <w:p>
            <w:pPr>
              <w:pStyle w:val="Compact"/>
              <w:spacing w:line="240" w:lineRule="auto" w:after="0"/>
              <w:jc w:val="left"/>
            </w:pPr>
            <w:r>
              <w:rPr>
                <w:sz w:val="16"/>
              </w:rPr>
              <w:t xml:space="preserve">Check</w:t>
            </w:r>
          </w:p>
        </w:tc>
        <w:tc>
          <w:tcPr>
            <w:tcW w:type="dxa" w:w="680"/>
            <w:tcBorders>
              <w:bottom w:val="single"/>
            </w:tcBorders>
            <w:vAlign w:val="bottom"/>
          </w:tcPr>
          <w:p>
            <w:pPr>
              <w:pStyle w:val="Compact"/>
              <w:spacing w:line="240" w:lineRule="auto" w:after="0"/>
              <w:jc w:val="right"/>
            </w:pPr>
            <w:r>
              <w:rPr>
                <w:sz w:val="16"/>
              </w:rPr>
              <w:t xml:space="preserve">Rate</w:t>
            </w:r>
          </w:p>
        </w:tc>
        <w:tc>
          <w:tcPr>
            <w:tcW w:type="dxa" w:w="1071"/>
            <w:tcBorders>
              <w:bottom w:val="single"/>
            </w:tcBorders>
            <w:vAlign w:val="bottom"/>
          </w:tcPr>
          <w:p>
            <w:pPr>
              <w:pStyle w:val="Compact"/>
              <w:spacing w:line="240" w:lineRule="auto" w:after="0"/>
              <w:jc w:val="right"/>
            </w:pPr>
            <w:r>
              <w:rPr>
                <w:sz w:val="16"/>
              </w:rPr>
              <w:t xml:space="preserve">Records injected</w:t>
            </w:r>
          </w:p>
        </w:tc>
        <w:tc>
          <w:tcPr>
            <w:tcW w:type="dxa" w:w="973"/>
            <w:tcBorders>
              <w:bottom w:val="single"/>
            </w:tcBorders>
            <w:vAlign w:val="bottom"/>
          </w:tcPr>
          <w:p>
            <w:pPr>
              <w:pStyle w:val="Compact"/>
              <w:spacing w:line="240" w:lineRule="auto" w:after="0"/>
              <w:jc w:val="right"/>
            </w:pPr>
            <w:r>
              <w:rPr>
                <w:sz w:val="16"/>
              </w:rPr>
              <w:t xml:space="preserve">Records flagged</w:t>
            </w:r>
          </w:p>
        </w:tc>
        <w:tc>
          <w:tcPr>
            <w:tcW w:type="dxa" w:w="1071"/>
            <w:tcBorders>
              <w:bottom w:val="single"/>
            </w:tcBorders>
            <w:vAlign w:val="bottom"/>
          </w:tcPr>
          <w:p>
            <w:pPr>
              <w:pStyle w:val="Compact"/>
              <w:spacing w:line="240" w:lineRule="auto" w:after="0"/>
              <w:jc w:val="right"/>
            </w:pPr>
            <w:r>
              <w:rPr>
                <w:sz w:val="16"/>
              </w:rPr>
              <w:t xml:space="preserve">Injected and flagged</w:t>
            </w:r>
          </w:p>
        </w:tc>
        <w:tc>
          <w:tcPr>
            <w:tcW w:type="dxa" w:w="876"/>
            <w:tcBorders>
              <w:bottom w:val="single"/>
            </w:tcBorders>
            <w:vAlign w:val="bottom"/>
          </w:tcPr>
          <w:p>
            <w:pPr>
              <w:pStyle w:val="Compact"/>
              <w:spacing w:line="240" w:lineRule="auto" w:after="0"/>
              <w:jc w:val="right"/>
            </w:pPr>
            <w:r>
              <w:rPr>
                <w:sz w:val="16"/>
              </w:rPr>
              <w:t xml:space="preserve">Recall</w:t>
            </w:r>
          </w:p>
        </w:tc>
        <w:tc>
          <w:tcPr>
            <w:tcW w:type="dxa" w:w="1169"/>
            <w:tcBorders>
              <w:bottom w:val="single"/>
            </w:tcBorders>
            <w:vAlign w:val="bottom"/>
          </w:tcPr>
          <w:p>
            <w:pPr>
              <w:pStyle w:val="Compact"/>
              <w:spacing w:line="240" w:lineRule="auto" w:after="0"/>
              <w:jc w:val="right"/>
            </w:pPr>
            <w:r>
              <w:rPr>
                <w:sz w:val="16"/>
              </w:rPr>
              <w:t xml:space="preserve">Precision</w:t>
            </w:r>
          </w:p>
        </w:tc>
      </w:tr>
      <w:tr>
        <w:tc>
          <w:tcPr>
            <w:tcW w:type="dxa" w:w="2038"/>
          </w:tcPr>
          <w:p>
            <w:pPr>
              <w:pStyle w:val="Compact"/>
              <w:spacing w:line="240" w:lineRule="auto" w:after="0"/>
              <w:jc w:val="left"/>
            </w:pPr>
            <w:r>
              <w:rPr>
                <w:sz w:val="16"/>
              </w:rPr>
              <w:t xml:space="preserve">Glucose result converted to mmol/L</w:t>
            </w:r>
          </w:p>
        </w:tc>
        <w:tc>
          <w:tcPr>
            <w:tcW w:type="dxa" w:w="1481"/>
          </w:tcPr>
          <w:p>
            <w:pPr>
              <w:pStyle w:val="Compact"/>
              <w:spacing w:line="240" w:lineRule="auto" w:after="0"/>
              <w:jc w:val="left"/>
            </w:pPr>
            <w:r>
              <w:rPr>
                <w:sz w:val="16"/>
              </w:rPr>
              <w:t xml:space="preserve">Glucose value comparable in mg/dL</w:t>
            </w:r>
          </w:p>
        </w:tc>
        <w:tc>
          <w:tcPr>
            <w:tcW w:type="dxa" w:w="680"/>
          </w:tcPr>
          <w:p>
            <w:pPr>
              <w:pStyle w:val="Compact"/>
              <w:spacing w:line="240" w:lineRule="auto" w:after="0"/>
              <w:jc w:val="right"/>
            </w:pPr>
            <w:r>
              <w:rPr>
                <w:sz w:val="16"/>
              </w:rPr>
              <w:t xml:space="preserve">1%</w:t>
            </w:r>
          </w:p>
        </w:tc>
        <w:tc>
          <w:tcPr>
            <w:tcW w:type="dxa" w:w="1071"/>
          </w:tcPr>
          <w:p>
            <w:pPr>
              <w:pStyle w:val="Compact"/>
              <w:spacing w:line="240" w:lineRule="auto" w:after="0"/>
              <w:jc w:val="right"/>
            </w:pPr>
            <w:r>
              <w:rPr>
                <w:sz w:val="16"/>
              </w:rPr>
              <w:t xml:space="preserve">6,068</w:t>
            </w:r>
          </w:p>
        </w:tc>
        <w:tc>
          <w:tcPr>
            <w:tcW w:type="dxa" w:w="973"/>
          </w:tcPr>
          <w:p>
            <w:pPr>
              <w:pStyle w:val="Compact"/>
              <w:spacing w:line="240" w:lineRule="auto" w:after="0"/>
              <w:jc w:val="right"/>
            </w:pPr>
            <w:r>
              <w:rPr>
                <w:sz w:val="16"/>
              </w:rPr>
              <w:t xml:space="preserve">217,962</w:t>
            </w:r>
          </w:p>
        </w:tc>
        <w:tc>
          <w:tcPr>
            <w:tcW w:type="dxa" w:w="1071"/>
          </w:tcPr>
          <w:p>
            <w:pPr>
              <w:pStyle w:val="Compact"/>
              <w:spacing w:line="240" w:lineRule="auto" w:after="0"/>
              <w:jc w:val="right"/>
            </w:pPr>
            <w:r>
              <w:rPr>
                <w:sz w:val="16"/>
              </w:rPr>
              <w:t xml:space="preserve">6,068</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0.03</w:t>
            </w:r>
          </w:p>
        </w:tc>
      </w:tr>
      <w:tr>
        <w:tc>
          <w:tcPr>
            <w:tcW w:type="dxa" w:w="2038"/>
          </w:tcPr>
          <w:p>
            <w:pPr>
              <w:pStyle w:val="Compact"/>
              <w:spacing w:line="240" w:lineRule="auto" w:after="0"/>
              <w:jc w:val="left"/>
            </w:pPr>
            <w:r>
              <w:rPr>
                <w:sz w:val="16"/>
              </w:rPr>
              <w:t xml:space="preserve">Glucose result converted to mmol/L</w:t>
            </w:r>
          </w:p>
        </w:tc>
        <w:tc>
          <w:tcPr>
            <w:tcW w:type="dxa" w:w="1481"/>
          </w:tcPr>
          <w:p>
            <w:pPr>
              <w:pStyle w:val="Compact"/>
              <w:spacing w:line="240" w:lineRule="auto" w:after="0"/>
              <w:jc w:val="left"/>
            </w:pPr>
            <w:r>
              <w:rPr>
                <w:sz w:val="16"/>
              </w:rPr>
              <w:t xml:space="preserve">Glucose value comparable in mg/dL</w:t>
            </w:r>
          </w:p>
        </w:tc>
        <w:tc>
          <w:tcPr>
            <w:tcW w:type="dxa" w:w="680"/>
          </w:tcPr>
          <w:p>
            <w:pPr>
              <w:pStyle w:val="Compact"/>
              <w:spacing w:line="240" w:lineRule="auto" w:after="0"/>
              <w:jc w:val="right"/>
            </w:pPr>
            <w:r>
              <w:rPr>
                <w:sz w:val="16"/>
              </w:rPr>
              <w:t xml:space="preserve">10%</w:t>
            </w:r>
          </w:p>
        </w:tc>
        <w:tc>
          <w:tcPr>
            <w:tcW w:type="dxa" w:w="1071"/>
          </w:tcPr>
          <w:p>
            <w:pPr>
              <w:pStyle w:val="Compact"/>
              <w:spacing w:line="240" w:lineRule="auto" w:after="0"/>
              <w:jc w:val="right"/>
            </w:pPr>
            <w:r>
              <w:rPr>
                <w:sz w:val="16"/>
              </w:rPr>
              <w:t xml:space="preserve">61,257</w:t>
            </w:r>
          </w:p>
        </w:tc>
        <w:tc>
          <w:tcPr>
            <w:tcW w:type="dxa" w:w="973"/>
          </w:tcPr>
          <w:p>
            <w:pPr>
              <w:pStyle w:val="Compact"/>
              <w:spacing w:line="240" w:lineRule="auto" w:after="0"/>
              <w:jc w:val="right"/>
            </w:pPr>
            <w:r>
              <w:rPr>
                <w:sz w:val="16"/>
              </w:rPr>
              <w:t xml:space="preserve">273,151</w:t>
            </w:r>
          </w:p>
        </w:tc>
        <w:tc>
          <w:tcPr>
            <w:tcW w:type="dxa" w:w="1071"/>
          </w:tcPr>
          <w:p>
            <w:pPr>
              <w:pStyle w:val="Compact"/>
              <w:spacing w:line="240" w:lineRule="auto" w:after="0"/>
              <w:jc w:val="right"/>
            </w:pPr>
            <w:r>
              <w:rPr>
                <w:sz w:val="16"/>
              </w:rPr>
              <w:t xml:space="preserve">61,257</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0.22</w:t>
            </w:r>
          </w:p>
        </w:tc>
      </w:tr>
      <w:tr>
        <w:tc>
          <w:tcPr>
            <w:tcW w:type="dxa" w:w="2038"/>
          </w:tcPr>
          <w:p>
            <w:pPr>
              <w:pStyle w:val="Compact"/>
              <w:spacing w:line="240" w:lineRule="auto" w:after="0"/>
              <w:jc w:val="left"/>
            </w:pPr>
            <w:r>
              <w:rPr>
                <w:sz w:val="16"/>
              </w:rPr>
              <w:t xml:space="preserve">Glucose result converted to mmol/L</w:t>
            </w:r>
          </w:p>
        </w:tc>
        <w:tc>
          <w:tcPr>
            <w:tcW w:type="dxa" w:w="1481"/>
          </w:tcPr>
          <w:p>
            <w:pPr>
              <w:pStyle w:val="Compact"/>
              <w:spacing w:line="240" w:lineRule="auto" w:after="0"/>
              <w:jc w:val="left"/>
            </w:pPr>
            <w:r>
              <w:rPr>
                <w:sz w:val="16"/>
              </w:rPr>
              <w:t xml:space="preserve">Glucose value comparable in mg/dL</w:t>
            </w:r>
          </w:p>
        </w:tc>
        <w:tc>
          <w:tcPr>
            <w:tcW w:type="dxa" w:w="680"/>
          </w:tcPr>
          <w:p>
            <w:pPr>
              <w:pStyle w:val="Compact"/>
              <w:spacing w:line="240" w:lineRule="auto" w:after="0"/>
              <w:jc w:val="right"/>
            </w:pPr>
            <w:r>
              <w:rPr>
                <w:sz w:val="16"/>
              </w:rPr>
              <w:t xml:space="preserve">50%</w:t>
            </w:r>
          </w:p>
        </w:tc>
        <w:tc>
          <w:tcPr>
            <w:tcW w:type="dxa" w:w="1071"/>
          </w:tcPr>
          <w:p>
            <w:pPr>
              <w:pStyle w:val="Compact"/>
              <w:spacing w:line="240" w:lineRule="auto" w:after="0"/>
              <w:jc w:val="right"/>
            </w:pPr>
            <w:r>
              <w:rPr>
                <w:sz w:val="16"/>
              </w:rPr>
              <w:t xml:space="preserve">306,783</w:t>
            </w:r>
          </w:p>
        </w:tc>
        <w:tc>
          <w:tcPr>
            <w:tcW w:type="dxa" w:w="973"/>
          </w:tcPr>
          <w:p>
            <w:pPr>
              <w:pStyle w:val="Compact"/>
              <w:spacing w:line="240" w:lineRule="auto" w:after="0"/>
              <w:jc w:val="right"/>
            </w:pPr>
            <w:r>
              <w:rPr>
                <w:sz w:val="16"/>
              </w:rPr>
              <w:t xml:space="preserve">518,677</w:t>
            </w:r>
          </w:p>
        </w:tc>
        <w:tc>
          <w:tcPr>
            <w:tcW w:type="dxa" w:w="1071"/>
          </w:tcPr>
          <w:p>
            <w:pPr>
              <w:pStyle w:val="Compact"/>
              <w:spacing w:line="240" w:lineRule="auto" w:after="0"/>
              <w:jc w:val="right"/>
            </w:pPr>
            <w:r>
              <w:rPr>
                <w:sz w:val="16"/>
              </w:rPr>
              <w:t xml:space="preserve">306,783</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0.59</w:t>
            </w:r>
          </w:p>
        </w:tc>
      </w:tr>
      <w:tr>
        <w:tc>
          <w:tcPr>
            <w:tcW w:type="dxa" w:w="2038"/>
          </w:tcPr>
          <w:p>
            <w:pPr>
              <w:pStyle w:val="Compact"/>
              <w:spacing w:line="240" w:lineRule="auto" w:after="0"/>
              <w:jc w:val="left"/>
            </w:pPr>
            <w:r>
              <w:rPr>
                <w:sz w:val="16"/>
              </w:rPr>
              <w:t xml:space="preserve">QI-Core profile removed</w:t>
            </w:r>
          </w:p>
        </w:tc>
        <w:tc>
          <w:tcPr>
            <w:tcW w:type="dxa" w:w="1481"/>
          </w:tcPr>
          <w:p>
            <w:pPr>
              <w:pStyle w:val="Compact"/>
              <w:spacing w:line="240" w:lineRule="auto" w:after="0"/>
              <w:jc w:val="left"/>
            </w:pPr>
            <w:r>
              <w:rPr>
                <w:sz w:val="16"/>
              </w:rPr>
              <w:t xml:space="preserve">QI-Core profile declared</w:t>
            </w:r>
          </w:p>
        </w:tc>
        <w:tc>
          <w:tcPr>
            <w:tcW w:type="dxa" w:w="680"/>
          </w:tcPr>
          <w:p>
            <w:pPr>
              <w:pStyle w:val="Compact"/>
              <w:spacing w:line="240" w:lineRule="auto" w:after="0"/>
              <w:jc w:val="right"/>
            </w:pPr>
            <w:r>
              <w:rPr>
                <w:sz w:val="16"/>
              </w:rPr>
              <w:t xml:space="preserve">1%</w:t>
            </w:r>
          </w:p>
        </w:tc>
        <w:tc>
          <w:tcPr>
            <w:tcW w:type="dxa" w:w="1071"/>
          </w:tcPr>
          <w:p>
            <w:pPr>
              <w:pStyle w:val="Compact"/>
              <w:spacing w:line="240" w:lineRule="auto" w:after="0"/>
              <w:jc w:val="right"/>
            </w:pPr>
            <w:r>
              <w:rPr>
                <w:sz w:val="16"/>
              </w:rPr>
              <w:t xml:space="preserve">19,459</w:t>
            </w:r>
          </w:p>
        </w:tc>
        <w:tc>
          <w:tcPr>
            <w:tcW w:type="dxa" w:w="973"/>
          </w:tcPr>
          <w:p>
            <w:pPr>
              <w:pStyle w:val="Compact"/>
              <w:spacing w:line="240" w:lineRule="auto" w:after="0"/>
              <w:jc w:val="right"/>
            </w:pPr>
            <w:r>
              <w:rPr>
                <w:sz w:val="16"/>
              </w:rPr>
              <w:t xml:space="preserve">19,459</w:t>
            </w:r>
          </w:p>
        </w:tc>
        <w:tc>
          <w:tcPr>
            <w:tcW w:type="dxa" w:w="1071"/>
          </w:tcPr>
          <w:p>
            <w:pPr>
              <w:pStyle w:val="Compact"/>
              <w:spacing w:line="240" w:lineRule="auto" w:after="0"/>
              <w:jc w:val="right"/>
            </w:pPr>
            <w:r>
              <w:rPr>
                <w:sz w:val="16"/>
              </w:rPr>
              <w:t xml:space="preserve">19,459</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QI-Core profile removed</w:t>
            </w:r>
          </w:p>
        </w:tc>
        <w:tc>
          <w:tcPr>
            <w:tcW w:type="dxa" w:w="1481"/>
          </w:tcPr>
          <w:p>
            <w:pPr>
              <w:pStyle w:val="Compact"/>
              <w:spacing w:line="240" w:lineRule="auto" w:after="0"/>
              <w:jc w:val="left"/>
            </w:pPr>
            <w:r>
              <w:rPr>
                <w:sz w:val="16"/>
              </w:rPr>
              <w:t xml:space="preserve">QI-Core profile declared</w:t>
            </w:r>
          </w:p>
        </w:tc>
        <w:tc>
          <w:tcPr>
            <w:tcW w:type="dxa" w:w="680"/>
          </w:tcPr>
          <w:p>
            <w:pPr>
              <w:pStyle w:val="Compact"/>
              <w:spacing w:line="240" w:lineRule="auto" w:after="0"/>
              <w:jc w:val="right"/>
            </w:pPr>
            <w:r>
              <w:rPr>
                <w:sz w:val="16"/>
              </w:rPr>
              <w:t xml:space="preserve">10%</w:t>
            </w:r>
          </w:p>
        </w:tc>
        <w:tc>
          <w:tcPr>
            <w:tcW w:type="dxa" w:w="1071"/>
          </w:tcPr>
          <w:p>
            <w:pPr>
              <w:pStyle w:val="Compact"/>
              <w:spacing w:line="240" w:lineRule="auto" w:after="0"/>
              <w:jc w:val="right"/>
            </w:pPr>
            <w:r>
              <w:rPr>
                <w:sz w:val="16"/>
              </w:rPr>
              <w:t xml:space="preserve">194,275</w:t>
            </w:r>
          </w:p>
        </w:tc>
        <w:tc>
          <w:tcPr>
            <w:tcW w:type="dxa" w:w="973"/>
          </w:tcPr>
          <w:p>
            <w:pPr>
              <w:pStyle w:val="Compact"/>
              <w:spacing w:line="240" w:lineRule="auto" w:after="0"/>
              <w:jc w:val="right"/>
            </w:pPr>
            <w:r>
              <w:rPr>
                <w:sz w:val="16"/>
              </w:rPr>
              <w:t xml:space="preserve">194,275</w:t>
            </w:r>
          </w:p>
        </w:tc>
        <w:tc>
          <w:tcPr>
            <w:tcW w:type="dxa" w:w="1071"/>
          </w:tcPr>
          <w:p>
            <w:pPr>
              <w:pStyle w:val="Compact"/>
              <w:spacing w:line="240" w:lineRule="auto" w:after="0"/>
              <w:jc w:val="right"/>
            </w:pPr>
            <w:r>
              <w:rPr>
                <w:sz w:val="16"/>
              </w:rPr>
              <w:t xml:space="preserve">194,275</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QI-Core profile removed</w:t>
            </w:r>
          </w:p>
        </w:tc>
        <w:tc>
          <w:tcPr>
            <w:tcW w:type="dxa" w:w="1481"/>
          </w:tcPr>
          <w:p>
            <w:pPr>
              <w:pStyle w:val="Compact"/>
              <w:spacing w:line="240" w:lineRule="auto" w:after="0"/>
              <w:jc w:val="left"/>
            </w:pPr>
            <w:r>
              <w:rPr>
                <w:sz w:val="16"/>
              </w:rPr>
              <w:t xml:space="preserve">QI-Core profile declared</w:t>
            </w:r>
          </w:p>
        </w:tc>
        <w:tc>
          <w:tcPr>
            <w:tcW w:type="dxa" w:w="680"/>
          </w:tcPr>
          <w:p>
            <w:pPr>
              <w:pStyle w:val="Compact"/>
              <w:spacing w:line="240" w:lineRule="auto" w:after="0"/>
              <w:jc w:val="right"/>
            </w:pPr>
            <w:r>
              <w:rPr>
                <w:sz w:val="16"/>
              </w:rPr>
              <w:t xml:space="preserve">50%</w:t>
            </w:r>
          </w:p>
        </w:tc>
        <w:tc>
          <w:tcPr>
            <w:tcW w:type="dxa" w:w="1071"/>
          </w:tcPr>
          <w:p>
            <w:pPr>
              <w:pStyle w:val="Compact"/>
              <w:spacing w:line="240" w:lineRule="auto" w:after="0"/>
              <w:jc w:val="right"/>
            </w:pPr>
            <w:r>
              <w:rPr>
                <w:sz w:val="16"/>
              </w:rPr>
              <w:t xml:space="preserve">970,727</w:t>
            </w:r>
          </w:p>
        </w:tc>
        <w:tc>
          <w:tcPr>
            <w:tcW w:type="dxa" w:w="973"/>
          </w:tcPr>
          <w:p>
            <w:pPr>
              <w:pStyle w:val="Compact"/>
              <w:spacing w:line="240" w:lineRule="auto" w:after="0"/>
              <w:jc w:val="right"/>
            </w:pPr>
            <w:r>
              <w:rPr>
                <w:sz w:val="16"/>
              </w:rPr>
              <w:t xml:space="preserve">970,727</w:t>
            </w:r>
          </w:p>
        </w:tc>
        <w:tc>
          <w:tcPr>
            <w:tcW w:type="dxa" w:w="1071"/>
          </w:tcPr>
          <w:p>
            <w:pPr>
              <w:pStyle w:val="Compact"/>
              <w:spacing w:line="240" w:lineRule="auto" w:after="0"/>
              <w:jc w:val="right"/>
            </w:pPr>
            <w:r>
              <w:rPr>
                <w:sz w:val="16"/>
              </w:rPr>
              <w:t xml:space="preserve">970,727</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Standard code removed (LOINC for results, RxNorm for administrations)</w:t>
            </w:r>
          </w:p>
        </w:tc>
        <w:tc>
          <w:tcPr>
            <w:tcW w:type="dxa" w:w="1481"/>
          </w:tcPr>
          <w:p>
            <w:pPr>
              <w:pStyle w:val="Compact"/>
              <w:spacing w:line="240" w:lineRule="auto" w:after="0"/>
              <w:jc w:val="left"/>
            </w:pPr>
            <w:r>
              <w:rPr>
                <w:sz w:val="16"/>
              </w:rPr>
              <w:t xml:space="preserve">Code in the measure’s value set</w:t>
            </w:r>
          </w:p>
        </w:tc>
        <w:tc>
          <w:tcPr>
            <w:tcW w:type="dxa" w:w="680"/>
          </w:tcPr>
          <w:p>
            <w:pPr>
              <w:pStyle w:val="Compact"/>
              <w:spacing w:line="240" w:lineRule="auto" w:after="0"/>
              <w:jc w:val="right"/>
            </w:pPr>
            <w:r>
              <w:rPr>
                <w:sz w:val="16"/>
              </w:rPr>
              <w:t xml:space="preserve">1%</w:t>
            </w:r>
          </w:p>
        </w:tc>
        <w:tc>
          <w:tcPr>
            <w:tcW w:type="dxa" w:w="1071"/>
          </w:tcPr>
          <w:p>
            <w:pPr>
              <w:pStyle w:val="Compact"/>
              <w:spacing w:line="240" w:lineRule="auto" w:after="0"/>
              <w:jc w:val="right"/>
            </w:pPr>
            <w:r>
              <w:rPr>
                <w:sz w:val="16"/>
              </w:rPr>
              <w:t xml:space="preserve">19,280</w:t>
            </w:r>
          </w:p>
        </w:tc>
        <w:tc>
          <w:tcPr>
            <w:tcW w:type="dxa" w:w="973"/>
          </w:tcPr>
          <w:p>
            <w:pPr>
              <w:pStyle w:val="Compact"/>
              <w:spacing w:line="240" w:lineRule="auto" w:after="0"/>
              <w:jc w:val="right"/>
            </w:pPr>
            <w:r>
              <w:rPr>
                <w:sz w:val="16"/>
              </w:rPr>
              <w:t xml:space="preserve">19,280</w:t>
            </w:r>
          </w:p>
        </w:tc>
        <w:tc>
          <w:tcPr>
            <w:tcW w:type="dxa" w:w="1071"/>
          </w:tcPr>
          <w:p>
            <w:pPr>
              <w:pStyle w:val="Compact"/>
              <w:spacing w:line="240" w:lineRule="auto" w:after="0"/>
              <w:jc w:val="right"/>
            </w:pPr>
            <w:r>
              <w:rPr>
                <w:sz w:val="16"/>
              </w:rPr>
              <w:t xml:space="preserve">19,280</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Standard code removed (LOINC for results, RxNorm for administrations)</w:t>
            </w:r>
          </w:p>
        </w:tc>
        <w:tc>
          <w:tcPr>
            <w:tcW w:type="dxa" w:w="1481"/>
          </w:tcPr>
          <w:p>
            <w:pPr>
              <w:pStyle w:val="Compact"/>
              <w:spacing w:line="240" w:lineRule="auto" w:after="0"/>
              <w:jc w:val="left"/>
            </w:pPr>
            <w:r>
              <w:rPr>
                <w:sz w:val="16"/>
              </w:rPr>
              <w:t xml:space="preserve">Code in the measure’s value set</w:t>
            </w:r>
          </w:p>
        </w:tc>
        <w:tc>
          <w:tcPr>
            <w:tcW w:type="dxa" w:w="680"/>
          </w:tcPr>
          <w:p>
            <w:pPr>
              <w:pStyle w:val="Compact"/>
              <w:spacing w:line="240" w:lineRule="auto" w:after="0"/>
              <w:jc w:val="right"/>
            </w:pPr>
            <w:r>
              <w:rPr>
                <w:sz w:val="16"/>
              </w:rPr>
              <w:t xml:space="preserve">10%</w:t>
            </w:r>
          </w:p>
        </w:tc>
        <w:tc>
          <w:tcPr>
            <w:tcW w:type="dxa" w:w="1071"/>
          </w:tcPr>
          <w:p>
            <w:pPr>
              <w:pStyle w:val="Compact"/>
              <w:spacing w:line="240" w:lineRule="auto" w:after="0"/>
              <w:jc w:val="right"/>
            </w:pPr>
            <w:r>
              <w:rPr>
                <w:sz w:val="16"/>
              </w:rPr>
              <w:t xml:space="preserve">194,022</w:t>
            </w:r>
          </w:p>
        </w:tc>
        <w:tc>
          <w:tcPr>
            <w:tcW w:type="dxa" w:w="973"/>
          </w:tcPr>
          <w:p>
            <w:pPr>
              <w:pStyle w:val="Compact"/>
              <w:spacing w:line="240" w:lineRule="auto" w:after="0"/>
              <w:jc w:val="right"/>
            </w:pPr>
            <w:r>
              <w:rPr>
                <w:sz w:val="16"/>
              </w:rPr>
              <w:t xml:space="preserve">194,022</w:t>
            </w:r>
          </w:p>
        </w:tc>
        <w:tc>
          <w:tcPr>
            <w:tcW w:type="dxa" w:w="1071"/>
          </w:tcPr>
          <w:p>
            <w:pPr>
              <w:pStyle w:val="Compact"/>
              <w:spacing w:line="240" w:lineRule="auto" w:after="0"/>
              <w:jc w:val="right"/>
            </w:pPr>
            <w:r>
              <w:rPr>
                <w:sz w:val="16"/>
              </w:rPr>
              <w:t xml:space="preserve">194,022</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Standard code removed (LOINC for results, RxNorm for administrations)</w:t>
            </w:r>
          </w:p>
        </w:tc>
        <w:tc>
          <w:tcPr>
            <w:tcW w:type="dxa" w:w="1481"/>
          </w:tcPr>
          <w:p>
            <w:pPr>
              <w:pStyle w:val="Compact"/>
              <w:spacing w:line="240" w:lineRule="auto" w:after="0"/>
              <w:jc w:val="left"/>
            </w:pPr>
            <w:r>
              <w:rPr>
                <w:sz w:val="16"/>
              </w:rPr>
              <w:t xml:space="preserve">Code in the measure’s value set</w:t>
            </w:r>
          </w:p>
        </w:tc>
        <w:tc>
          <w:tcPr>
            <w:tcW w:type="dxa" w:w="680"/>
          </w:tcPr>
          <w:p>
            <w:pPr>
              <w:pStyle w:val="Compact"/>
              <w:spacing w:line="240" w:lineRule="auto" w:after="0"/>
              <w:jc w:val="right"/>
            </w:pPr>
            <w:r>
              <w:rPr>
                <w:sz w:val="16"/>
              </w:rPr>
              <w:t xml:space="preserve">50%</w:t>
            </w:r>
          </w:p>
        </w:tc>
        <w:tc>
          <w:tcPr>
            <w:tcW w:type="dxa" w:w="1071"/>
          </w:tcPr>
          <w:p>
            <w:pPr>
              <w:pStyle w:val="Compact"/>
              <w:spacing w:line="240" w:lineRule="auto" w:after="0"/>
              <w:jc w:val="right"/>
            </w:pPr>
            <w:r>
              <w:rPr>
                <w:sz w:val="16"/>
              </w:rPr>
              <w:t xml:space="preserve">970,981</w:t>
            </w:r>
          </w:p>
        </w:tc>
        <w:tc>
          <w:tcPr>
            <w:tcW w:type="dxa" w:w="973"/>
          </w:tcPr>
          <w:p>
            <w:pPr>
              <w:pStyle w:val="Compact"/>
              <w:spacing w:line="240" w:lineRule="auto" w:after="0"/>
              <w:jc w:val="right"/>
            </w:pPr>
            <w:r>
              <w:rPr>
                <w:sz w:val="16"/>
              </w:rPr>
              <w:t xml:space="preserve">970,981</w:t>
            </w:r>
          </w:p>
        </w:tc>
        <w:tc>
          <w:tcPr>
            <w:tcW w:type="dxa" w:w="1071"/>
          </w:tcPr>
          <w:p>
            <w:pPr>
              <w:pStyle w:val="Compact"/>
              <w:spacing w:line="240" w:lineRule="auto" w:after="0"/>
              <w:jc w:val="right"/>
            </w:pPr>
            <w:r>
              <w:rPr>
                <w:sz w:val="16"/>
              </w:rPr>
              <w:t xml:space="preserve">970,981</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Drug code moved to the brand level</w:t>
            </w:r>
          </w:p>
        </w:tc>
        <w:tc>
          <w:tcPr>
            <w:tcW w:type="dxa" w:w="1481"/>
          </w:tcPr>
          <w:p>
            <w:pPr>
              <w:pStyle w:val="Compact"/>
              <w:spacing w:line="240" w:lineRule="auto" w:after="0"/>
              <w:jc w:val="left"/>
            </w:pPr>
            <w:r>
              <w:rPr>
                <w:sz w:val="16"/>
              </w:rPr>
              <w:t xml:space="preserve">Drug code at the value set’s term level</w:t>
            </w:r>
          </w:p>
        </w:tc>
        <w:tc>
          <w:tcPr>
            <w:tcW w:type="dxa" w:w="680"/>
          </w:tcPr>
          <w:p>
            <w:pPr>
              <w:pStyle w:val="Compact"/>
              <w:spacing w:line="240" w:lineRule="auto" w:after="0"/>
              <w:jc w:val="right"/>
            </w:pPr>
            <w:r>
              <w:rPr>
                <w:sz w:val="16"/>
              </w:rPr>
              <w:t xml:space="preserve">1%</w:t>
            </w:r>
          </w:p>
        </w:tc>
        <w:tc>
          <w:tcPr>
            <w:tcW w:type="dxa" w:w="1071"/>
          </w:tcPr>
          <w:p>
            <w:pPr>
              <w:pStyle w:val="Compact"/>
              <w:spacing w:line="240" w:lineRule="auto" w:after="0"/>
              <w:jc w:val="right"/>
            </w:pPr>
            <w:r>
              <w:rPr>
                <w:sz w:val="16"/>
              </w:rPr>
              <w:t xml:space="preserve">10,595</w:t>
            </w:r>
          </w:p>
        </w:tc>
        <w:tc>
          <w:tcPr>
            <w:tcW w:type="dxa" w:w="973"/>
          </w:tcPr>
          <w:p>
            <w:pPr>
              <w:pStyle w:val="Compact"/>
              <w:spacing w:line="240" w:lineRule="auto" w:after="0"/>
              <w:jc w:val="right"/>
            </w:pPr>
            <w:r>
              <w:rPr>
                <w:sz w:val="16"/>
              </w:rPr>
              <w:t xml:space="preserve">10,595</w:t>
            </w:r>
          </w:p>
        </w:tc>
        <w:tc>
          <w:tcPr>
            <w:tcW w:type="dxa" w:w="1071"/>
          </w:tcPr>
          <w:p>
            <w:pPr>
              <w:pStyle w:val="Compact"/>
              <w:spacing w:line="240" w:lineRule="auto" w:after="0"/>
              <w:jc w:val="right"/>
            </w:pPr>
            <w:r>
              <w:rPr>
                <w:sz w:val="16"/>
              </w:rPr>
              <w:t xml:space="preserve">10,595</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Drug code moved to the brand level</w:t>
            </w:r>
          </w:p>
        </w:tc>
        <w:tc>
          <w:tcPr>
            <w:tcW w:type="dxa" w:w="1481"/>
          </w:tcPr>
          <w:p>
            <w:pPr>
              <w:pStyle w:val="Compact"/>
              <w:spacing w:line="240" w:lineRule="auto" w:after="0"/>
              <w:jc w:val="left"/>
            </w:pPr>
            <w:r>
              <w:rPr>
                <w:sz w:val="16"/>
              </w:rPr>
              <w:t xml:space="preserve">Drug code at the value set’s term level</w:t>
            </w:r>
          </w:p>
        </w:tc>
        <w:tc>
          <w:tcPr>
            <w:tcW w:type="dxa" w:w="680"/>
          </w:tcPr>
          <w:p>
            <w:pPr>
              <w:pStyle w:val="Compact"/>
              <w:spacing w:line="240" w:lineRule="auto" w:after="0"/>
              <w:jc w:val="right"/>
            </w:pPr>
            <w:r>
              <w:rPr>
                <w:sz w:val="16"/>
              </w:rPr>
              <w:t xml:space="preserve">10%</w:t>
            </w:r>
          </w:p>
        </w:tc>
        <w:tc>
          <w:tcPr>
            <w:tcW w:type="dxa" w:w="1071"/>
          </w:tcPr>
          <w:p>
            <w:pPr>
              <w:pStyle w:val="Compact"/>
              <w:spacing w:line="240" w:lineRule="auto" w:after="0"/>
              <w:jc w:val="right"/>
            </w:pPr>
            <w:r>
              <w:rPr>
                <w:sz w:val="16"/>
              </w:rPr>
              <w:t xml:space="preserve">104,815</w:t>
            </w:r>
          </w:p>
        </w:tc>
        <w:tc>
          <w:tcPr>
            <w:tcW w:type="dxa" w:w="973"/>
          </w:tcPr>
          <w:p>
            <w:pPr>
              <w:pStyle w:val="Compact"/>
              <w:spacing w:line="240" w:lineRule="auto" w:after="0"/>
              <w:jc w:val="right"/>
            </w:pPr>
            <w:r>
              <w:rPr>
                <w:sz w:val="16"/>
              </w:rPr>
              <w:t xml:space="preserve">104,815</w:t>
            </w:r>
          </w:p>
        </w:tc>
        <w:tc>
          <w:tcPr>
            <w:tcW w:type="dxa" w:w="1071"/>
          </w:tcPr>
          <w:p>
            <w:pPr>
              <w:pStyle w:val="Compact"/>
              <w:spacing w:line="240" w:lineRule="auto" w:after="0"/>
              <w:jc w:val="right"/>
            </w:pPr>
            <w:r>
              <w:rPr>
                <w:sz w:val="16"/>
              </w:rPr>
              <w:t xml:space="preserve">104,815</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Drug code moved to the brand level</w:t>
            </w:r>
          </w:p>
        </w:tc>
        <w:tc>
          <w:tcPr>
            <w:tcW w:type="dxa" w:w="1481"/>
          </w:tcPr>
          <w:p>
            <w:pPr>
              <w:pStyle w:val="Compact"/>
              <w:spacing w:line="240" w:lineRule="auto" w:after="0"/>
              <w:jc w:val="left"/>
            </w:pPr>
            <w:r>
              <w:rPr>
                <w:sz w:val="16"/>
              </w:rPr>
              <w:t xml:space="preserve">Drug code at the value set’s term level</w:t>
            </w:r>
          </w:p>
        </w:tc>
        <w:tc>
          <w:tcPr>
            <w:tcW w:type="dxa" w:w="680"/>
          </w:tcPr>
          <w:p>
            <w:pPr>
              <w:pStyle w:val="Compact"/>
              <w:spacing w:line="240" w:lineRule="auto" w:after="0"/>
              <w:jc w:val="right"/>
            </w:pPr>
            <w:r>
              <w:rPr>
                <w:sz w:val="16"/>
              </w:rPr>
              <w:t xml:space="preserve">50%</w:t>
            </w:r>
          </w:p>
        </w:tc>
        <w:tc>
          <w:tcPr>
            <w:tcW w:type="dxa" w:w="1071"/>
          </w:tcPr>
          <w:p>
            <w:pPr>
              <w:pStyle w:val="Compact"/>
              <w:spacing w:line="240" w:lineRule="auto" w:after="0"/>
              <w:jc w:val="right"/>
            </w:pPr>
            <w:r>
              <w:rPr>
                <w:sz w:val="16"/>
              </w:rPr>
              <w:t xml:space="preserve">523,872</w:t>
            </w:r>
          </w:p>
        </w:tc>
        <w:tc>
          <w:tcPr>
            <w:tcW w:type="dxa" w:w="973"/>
          </w:tcPr>
          <w:p>
            <w:pPr>
              <w:pStyle w:val="Compact"/>
              <w:spacing w:line="240" w:lineRule="auto" w:after="0"/>
              <w:jc w:val="right"/>
            </w:pPr>
            <w:r>
              <w:rPr>
                <w:sz w:val="16"/>
              </w:rPr>
              <w:t xml:space="preserve">523,872</w:t>
            </w:r>
          </w:p>
        </w:tc>
        <w:tc>
          <w:tcPr>
            <w:tcW w:type="dxa" w:w="1071"/>
          </w:tcPr>
          <w:p>
            <w:pPr>
              <w:pStyle w:val="Compact"/>
              <w:spacing w:line="240" w:lineRule="auto" w:after="0"/>
              <w:jc w:val="right"/>
            </w:pPr>
            <w:r>
              <w:rPr>
                <w:sz w:val="16"/>
              </w:rPr>
              <w:t xml:space="preserve">523,872</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Encounter’s links to its diagnoses removed</w:t>
            </w:r>
          </w:p>
        </w:tc>
        <w:tc>
          <w:tcPr>
            <w:tcW w:type="dxa" w:w="1481"/>
          </w:tcPr>
          <w:p>
            <w:pPr>
              <w:pStyle w:val="Compact"/>
              <w:spacing w:line="240" w:lineRule="auto" w:after="0"/>
              <w:jc w:val="left"/>
            </w:pPr>
            <w:r>
              <w:rPr>
                <w:sz w:val="16"/>
              </w:rPr>
              <w:t xml:space="preserve">Encounter linked to its diagnoses</w:t>
            </w:r>
          </w:p>
        </w:tc>
        <w:tc>
          <w:tcPr>
            <w:tcW w:type="dxa" w:w="680"/>
          </w:tcPr>
          <w:p>
            <w:pPr>
              <w:pStyle w:val="Compact"/>
              <w:spacing w:line="240" w:lineRule="auto" w:after="0"/>
              <w:jc w:val="right"/>
            </w:pPr>
            <w:r>
              <w:rPr>
                <w:sz w:val="16"/>
              </w:rPr>
              <w:t xml:space="preserve">1%</w:t>
            </w:r>
          </w:p>
        </w:tc>
        <w:tc>
          <w:tcPr>
            <w:tcW w:type="dxa" w:w="1071"/>
          </w:tcPr>
          <w:p>
            <w:pPr>
              <w:pStyle w:val="Compact"/>
              <w:spacing w:line="240" w:lineRule="auto" w:after="0"/>
              <w:jc w:val="right"/>
            </w:pPr>
            <w:r>
              <w:rPr>
                <w:sz w:val="16"/>
              </w:rPr>
              <w:t xml:space="preserve">216</w:t>
            </w:r>
          </w:p>
        </w:tc>
        <w:tc>
          <w:tcPr>
            <w:tcW w:type="dxa" w:w="973"/>
          </w:tcPr>
          <w:p>
            <w:pPr>
              <w:pStyle w:val="Compact"/>
              <w:spacing w:line="240" w:lineRule="auto" w:after="0"/>
              <w:jc w:val="right"/>
            </w:pPr>
            <w:r>
              <w:rPr>
                <w:sz w:val="16"/>
              </w:rPr>
              <w:t xml:space="preserve">216</w:t>
            </w:r>
          </w:p>
        </w:tc>
        <w:tc>
          <w:tcPr>
            <w:tcW w:type="dxa" w:w="1071"/>
          </w:tcPr>
          <w:p>
            <w:pPr>
              <w:pStyle w:val="Compact"/>
              <w:spacing w:line="240" w:lineRule="auto" w:after="0"/>
              <w:jc w:val="right"/>
            </w:pPr>
            <w:r>
              <w:rPr>
                <w:sz w:val="16"/>
              </w:rPr>
              <w:t xml:space="preserve">216</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Encounter’s links to its diagnoses removed</w:t>
            </w:r>
          </w:p>
        </w:tc>
        <w:tc>
          <w:tcPr>
            <w:tcW w:type="dxa" w:w="1481"/>
          </w:tcPr>
          <w:p>
            <w:pPr>
              <w:pStyle w:val="Compact"/>
              <w:spacing w:line="240" w:lineRule="auto" w:after="0"/>
              <w:jc w:val="left"/>
            </w:pPr>
            <w:r>
              <w:rPr>
                <w:sz w:val="16"/>
              </w:rPr>
              <w:t xml:space="preserve">Encounter linked to its diagnoses</w:t>
            </w:r>
          </w:p>
        </w:tc>
        <w:tc>
          <w:tcPr>
            <w:tcW w:type="dxa" w:w="680"/>
          </w:tcPr>
          <w:p>
            <w:pPr>
              <w:pStyle w:val="Compact"/>
              <w:spacing w:line="240" w:lineRule="auto" w:after="0"/>
              <w:jc w:val="right"/>
            </w:pPr>
            <w:r>
              <w:rPr>
                <w:sz w:val="16"/>
              </w:rPr>
              <w:t xml:space="preserve">10%</w:t>
            </w:r>
          </w:p>
        </w:tc>
        <w:tc>
          <w:tcPr>
            <w:tcW w:type="dxa" w:w="1071"/>
          </w:tcPr>
          <w:p>
            <w:pPr>
              <w:pStyle w:val="Compact"/>
              <w:spacing w:line="240" w:lineRule="auto" w:after="0"/>
              <w:jc w:val="right"/>
            </w:pPr>
            <w:r>
              <w:rPr>
                <w:sz w:val="16"/>
              </w:rPr>
              <w:t xml:space="preserve">2,213</w:t>
            </w:r>
          </w:p>
        </w:tc>
        <w:tc>
          <w:tcPr>
            <w:tcW w:type="dxa" w:w="973"/>
          </w:tcPr>
          <w:p>
            <w:pPr>
              <w:pStyle w:val="Compact"/>
              <w:spacing w:line="240" w:lineRule="auto" w:after="0"/>
              <w:jc w:val="right"/>
            </w:pPr>
            <w:r>
              <w:rPr>
                <w:sz w:val="16"/>
              </w:rPr>
              <w:t xml:space="preserve">2,213</w:t>
            </w:r>
          </w:p>
        </w:tc>
        <w:tc>
          <w:tcPr>
            <w:tcW w:type="dxa" w:w="1071"/>
          </w:tcPr>
          <w:p>
            <w:pPr>
              <w:pStyle w:val="Compact"/>
              <w:spacing w:line="240" w:lineRule="auto" w:after="0"/>
              <w:jc w:val="right"/>
            </w:pPr>
            <w:r>
              <w:rPr>
                <w:sz w:val="16"/>
              </w:rPr>
              <w:t xml:space="preserve">2,213</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Encounter’s links to its diagnoses removed</w:t>
            </w:r>
          </w:p>
        </w:tc>
        <w:tc>
          <w:tcPr>
            <w:tcW w:type="dxa" w:w="1481"/>
          </w:tcPr>
          <w:p>
            <w:pPr>
              <w:pStyle w:val="Compact"/>
              <w:spacing w:line="240" w:lineRule="auto" w:after="0"/>
              <w:jc w:val="left"/>
            </w:pPr>
            <w:r>
              <w:rPr>
                <w:sz w:val="16"/>
              </w:rPr>
              <w:t xml:space="preserve">Encounter linked to its diagnoses</w:t>
            </w:r>
          </w:p>
        </w:tc>
        <w:tc>
          <w:tcPr>
            <w:tcW w:type="dxa" w:w="680"/>
          </w:tcPr>
          <w:p>
            <w:pPr>
              <w:pStyle w:val="Compact"/>
              <w:spacing w:line="240" w:lineRule="auto" w:after="0"/>
              <w:jc w:val="right"/>
            </w:pPr>
            <w:r>
              <w:rPr>
                <w:sz w:val="16"/>
              </w:rPr>
              <w:t xml:space="preserve">50%</w:t>
            </w:r>
          </w:p>
        </w:tc>
        <w:tc>
          <w:tcPr>
            <w:tcW w:type="dxa" w:w="1071"/>
          </w:tcPr>
          <w:p>
            <w:pPr>
              <w:pStyle w:val="Compact"/>
              <w:spacing w:line="240" w:lineRule="auto" w:after="0"/>
              <w:jc w:val="right"/>
            </w:pPr>
            <w:r>
              <w:rPr>
                <w:sz w:val="16"/>
              </w:rPr>
              <w:t xml:space="preserve">11,098</w:t>
            </w:r>
          </w:p>
        </w:tc>
        <w:tc>
          <w:tcPr>
            <w:tcW w:type="dxa" w:w="973"/>
          </w:tcPr>
          <w:p>
            <w:pPr>
              <w:pStyle w:val="Compact"/>
              <w:spacing w:line="240" w:lineRule="auto" w:after="0"/>
              <w:jc w:val="right"/>
            </w:pPr>
            <w:r>
              <w:rPr>
                <w:sz w:val="16"/>
              </w:rPr>
              <w:t xml:space="preserve">11,098</w:t>
            </w:r>
          </w:p>
        </w:tc>
        <w:tc>
          <w:tcPr>
            <w:tcW w:type="dxa" w:w="1071"/>
          </w:tcPr>
          <w:p>
            <w:pPr>
              <w:pStyle w:val="Compact"/>
              <w:spacing w:line="240" w:lineRule="auto" w:after="0"/>
              <w:jc w:val="right"/>
            </w:pPr>
            <w:r>
              <w:rPr>
                <w:sz w:val="16"/>
              </w:rPr>
              <w:t xml:space="preserve">11,098</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Status set to unknown</w:t>
            </w:r>
          </w:p>
        </w:tc>
        <w:tc>
          <w:tcPr>
            <w:tcW w:type="dxa" w:w="1481"/>
          </w:tcPr>
          <w:p>
            <w:pPr>
              <w:pStyle w:val="Compact"/>
              <w:spacing w:line="240" w:lineRule="auto" w:after="0"/>
              <w:jc w:val="left"/>
            </w:pPr>
            <w:r>
              <w:rPr>
                <w:sz w:val="16"/>
              </w:rPr>
              <w:t xml:space="preserve">Status the measure accepts</w:t>
            </w:r>
          </w:p>
        </w:tc>
        <w:tc>
          <w:tcPr>
            <w:tcW w:type="dxa" w:w="680"/>
          </w:tcPr>
          <w:p>
            <w:pPr>
              <w:pStyle w:val="Compact"/>
              <w:spacing w:line="240" w:lineRule="auto" w:after="0"/>
              <w:jc w:val="right"/>
            </w:pPr>
            <w:r>
              <w:rPr>
                <w:sz w:val="16"/>
              </w:rPr>
              <w:t xml:space="preserve">1%</w:t>
            </w:r>
          </w:p>
        </w:tc>
        <w:tc>
          <w:tcPr>
            <w:tcW w:type="dxa" w:w="1071"/>
          </w:tcPr>
          <w:p>
            <w:pPr>
              <w:pStyle w:val="Compact"/>
              <w:spacing w:line="240" w:lineRule="auto" w:after="0"/>
              <w:jc w:val="right"/>
            </w:pPr>
            <w:r>
              <w:rPr>
                <w:sz w:val="16"/>
              </w:rPr>
              <w:t xml:space="preserve">19,274</w:t>
            </w:r>
          </w:p>
        </w:tc>
        <w:tc>
          <w:tcPr>
            <w:tcW w:type="dxa" w:w="973"/>
          </w:tcPr>
          <w:p>
            <w:pPr>
              <w:pStyle w:val="Compact"/>
              <w:spacing w:line="240" w:lineRule="auto" w:after="0"/>
              <w:jc w:val="right"/>
            </w:pPr>
            <w:r>
              <w:rPr>
                <w:sz w:val="16"/>
              </w:rPr>
              <w:t xml:space="preserve">19,274</w:t>
            </w:r>
          </w:p>
        </w:tc>
        <w:tc>
          <w:tcPr>
            <w:tcW w:type="dxa" w:w="1071"/>
          </w:tcPr>
          <w:p>
            <w:pPr>
              <w:pStyle w:val="Compact"/>
              <w:spacing w:line="240" w:lineRule="auto" w:after="0"/>
              <w:jc w:val="right"/>
            </w:pPr>
            <w:r>
              <w:rPr>
                <w:sz w:val="16"/>
              </w:rPr>
              <w:t xml:space="preserve">19,274</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Status set to unknown</w:t>
            </w:r>
          </w:p>
        </w:tc>
        <w:tc>
          <w:tcPr>
            <w:tcW w:type="dxa" w:w="1481"/>
          </w:tcPr>
          <w:p>
            <w:pPr>
              <w:pStyle w:val="Compact"/>
              <w:spacing w:line="240" w:lineRule="auto" w:after="0"/>
              <w:jc w:val="left"/>
            </w:pPr>
            <w:r>
              <w:rPr>
                <w:sz w:val="16"/>
              </w:rPr>
              <w:t xml:space="preserve">Status the measure accepts</w:t>
            </w:r>
          </w:p>
        </w:tc>
        <w:tc>
          <w:tcPr>
            <w:tcW w:type="dxa" w:w="680"/>
          </w:tcPr>
          <w:p>
            <w:pPr>
              <w:pStyle w:val="Compact"/>
              <w:spacing w:line="240" w:lineRule="auto" w:after="0"/>
              <w:jc w:val="right"/>
            </w:pPr>
            <w:r>
              <w:rPr>
                <w:sz w:val="16"/>
              </w:rPr>
              <w:t xml:space="preserve">10%</w:t>
            </w:r>
          </w:p>
        </w:tc>
        <w:tc>
          <w:tcPr>
            <w:tcW w:type="dxa" w:w="1071"/>
          </w:tcPr>
          <w:p>
            <w:pPr>
              <w:pStyle w:val="Compact"/>
              <w:spacing w:line="240" w:lineRule="auto" w:after="0"/>
              <w:jc w:val="right"/>
            </w:pPr>
            <w:r>
              <w:rPr>
                <w:sz w:val="16"/>
              </w:rPr>
              <w:t xml:space="preserve">193,519</w:t>
            </w:r>
          </w:p>
        </w:tc>
        <w:tc>
          <w:tcPr>
            <w:tcW w:type="dxa" w:w="973"/>
          </w:tcPr>
          <w:p>
            <w:pPr>
              <w:pStyle w:val="Compact"/>
              <w:spacing w:line="240" w:lineRule="auto" w:after="0"/>
              <w:jc w:val="right"/>
            </w:pPr>
            <w:r>
              <w:rPr>
                <w:sz w:val="16"/>
              </w:rPr>
              <w:t xml:space="preserve">193,519</w:t>
            </w:r>
          </w:p>
        </w:tc>
        <w:tc>
          <w:tcPr>
            <w:tcW w:type="dxa" w:w="1071"/>
          </w:tcPr>
          <w:p>
            <w:pPr>
              <w:pStyle w:val="Compact"/>
              <w:spacing w:line="240" w:lineRule="auto" w:after="0"/>
              <w:jc w:val="right"/>
            </w:pPr>
            <w:r>
              <w:rPr>
                <w:sz w:val="16"/>
              </w:rPr>
              <w:t xml:space="preserve">193,519</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Status set to unknown</w:t>
            </w:r>
          </w:p>
        </w:tc>
        <w:tc>
          <w:tcPr>
            <w:tcW w:type="dxa" w:w="1481"/>
          </w:tcPr>
          <w:p>
            <w:pPr>
              <w:pStyle w:val="Compact"/>
              <w:spacing w:line="240" w:lineRule="auto" w:after="0"/>
              <w:jc w:val="left"/>
            </w:pPr>
            <w:r>
              <w:rPr>
                <w:sz w:val="16"/>
              </w:rPr>
              <w:t xml:space="preserve">Status the measure accepts</w:t>
            </w:r>
          </w:p>
        </w:tc>
        <w:tc>
          <w:tcPr>
            <w:tcW w:type="dxa" w:w="680"/>
          </w:tcPr>
          <w:p>
            <w:pPr>
              <w:pStyle w:val="Compact"/>
              <w:spacing w:line="240" w:lineRule="auto" w:after="0"/>
              <w:jc w:val="right"/>
            </w:pPr>
            <w:r>
              <w:rPr>
                <w:sz w:val="16"/>
              </w:rPr>
              <w:t xml:space="preserve">50%</w:t>
            </w:r>
          </w:p>
        </w:tc>
        <w:tc>
          <w:tcPr>
            <w:tcW w:type="dxa" w:w="1071"/>
          </w:tcPr>
          <w:p>
            <w:pPr>
              <w:pStyle w:val="Compact"/>
              <w:spacing w:line="240" w:lineRule="auto" w:after="0"/>
              <w:jc w:val="right"/>
            </w:pPr>
            <w:r>
              <w:rPr>
                <w:sz w:val="16"/>
              </w:rPr>
              <w:t xml:space="preserve">970,720</w:t>
            </w:r>
          </w:p>
        </w:tc>
        <w:tc>
          <w:tcPr>
            <w:tcW w:type="dxa" w:w="973"/>
          </w:tcPr>
          <w:p>
            <w:pPr>
              <w:pStyle w:val="Compact"/>
              <w:spacing w:line="240" w:lineRule="auto" w:after="0"/>
              <w:jc w:val="right"/>
            </w:pPr>
            <w:r>
              <w:rPr>
                <w:sz w:val="16"/>
              </w:rPr>
              <w:t xml:space="preserve">970,720</w:t>
            </w:r>
          </w:p>
        </w:tc>
        <w:tc>
          <w:tcPr>
            <w:tcW w:type="dxa" w:w="1071"/>
          </w:tcPr>
          <w:p>
            <w:pPr>
              <w:pStyle w:val="Compact"/>
              <w:spacing w:line="240" w:lineRule="auto" w:after="0"/>
              <w:jc w:val="right"/>
            </w:pPr>
            <w:r>
              <w:rPr>
                <w:sz w:val="16"/>
              </w:rPr>
              <w:t xml:space="preserve">970,720</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Time element removed</w:t>
            </w:r>
          </w:p>
        </w:tc>
        <w:tc>
          <w:tcPr>
            <w:tcW w:type="dxa" w:w="1481"/>
          </w:tcPr>
          <w:p>
            <w:pPr>
              <w:pStyle w:val="Compact"/>
              <w:spacing w:line="240" w:lineRule="auto" w:after="0"/>
              <w:jc w:val="left"/>
            </w:pPr>
            <w:r>
              <w:rPr>
                <w:sz w:val="16"/>
              </w:rPr>
              <w:t xml:space="preserve">Time element present</w:t>
            </w:r>
          </w:p>
        </w:tc>
        <w:tc>
          <w:tcPr>
            <w:tcW w:type="dxa" w:w="680"/>
          </w:tcPr>
          <w:p>
            <w:pPr>
              <w:pStyle w:val="Compact"/>
              <w:spacing w:line="240" w:lineRule="auto" w:after="0"/>
              <w:jc w:val="right"/>
            </w:pPr>
            <w:r>
              <w:rPr>
                <w:sz w:val="16"/>
              </w:rPr>
              <w:t xml:space="preserve">1%</w:t>
            </w:r>
          </w:p>
        </w:tc>
        <w:tc>
          <w:tcPr>
            <w:tcW w:type="dxa" w:w="1071"/>
          </w:tcPr>
          <w:p>
            <w:pPr>
              <w:pStyle w:val="Compact"/>
              <w:spacing w:line="240" w:lineRule="auto" w:after="0"/>
              <w:jc w:val="right"/>
            </w:pPr>
            <w:r>
              <w:rPr>
                <w:sz w:val="16"/>
              </w:rPr>
              <w:t xml:space="preserve">19,356</w:t>
            </w:r>
          </w:p>
        </w:tc>
        <w:tc>
          <w:tcPr>
            <w:tcW w:type="dxa" w:w="973"/>
          </w:tcPr>
          <w:p>
            <w:pPr>
              <w:pStyle w:val="Compact"/>
              <w:spacing w:line="240" w:lineRule="auto" w:after="0"/>
              <w:jc w:val="right"/>
            </w:pPr>
            <w:r>
              <w:rPr>
                <w:sz w:val="16"/>
              </w:rPr>
              <w:t xml:space="preserve">19,356</w:t>
            </w:r>
          </w:p>
        </w:tc>
        <w:tc>
          <w:tcPr>
            <w:tcW w:type="dxa" w:w="1071"/>
          </w:tcPr>
          <w:p>
            <w:pPr>
              <w:pStyle w:val="Compact"/>
              <w:spacing w:line="240" w:lineRule="auto" w:after="0"/>
              <w:jc w:val="right"/>
            </w:pPr>
            <w:r>
              <w:rPr>
                <w:sz w:val="16"/>
              </w:rPr>
              <w:t xml:space="preserve">19,356</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Time element removed</w:t>
            </w:r>
          </w:p>
        </w:tc>
        <w:tc>
          <w:tcPr>
            <w:tcW w:type="dxa" w:w="1481"/>
          </w:tcPr>
          <w:p>
            <w:pPr>
              <w:pStyle w:val="Compact"/>
              <w:spacing w:line="240" w:lineRule="auto" w:after="0"/>
              <w:jc w:val="left"/>
            </w:pPr>
            <w:r>
              <w:rPr>
                <w:sz w:val="16"/>
              </w:rPr>
              <w:t xml:space="preserve">Time element present</w:t>
            </w:r>
          </w:p>
        </w:tc>
        <w:tc>
          <w:tcPr>
            <w:tcW w:type="dxa" w:w="680"/>
          </w:tcPr>
          <w:p>
            <w:pPr>
              <w:pStyle w:val="Compact"/>
              <w:spacing w:line="240" w:lineRule="auto" w:after="0"/>
              <w:jc w:val="right"/>
            </w:pPr>
            <w:r>
              <w:rPr>
                <w:sz w:val="16"/>
              </w:rPr>
              <w:t xml:space="preserve">10%</w:t>
            </w:r>
          </w:p>
        </w:tc>
        <w:tc>
          <w:tcPr>
            <w:tcW w:type="dxa" w:w="1071"/>
          </w:tcPr>
          <w:p>
            <w:pPr>
              <w:pStyle w:val="Compact"/>
              <w:spacing w:line="240" w:lineRule="auto" w:after="0"/>
              <w:jc w:val="right"/>
            </w:pPr>
            <w:r>
              <w:rPr>
                <w:sz w:val="16"/>
              </w:rPr>
              <w:t xml:space="preserve">193,959</w:t>
            </w:r>
          </w:p>
        </w:tc>
        <w:tc>
          <w:tcPr>
            <w:tcW w:type="dxa" w:w="973"/>
          </w:tcPr>
          <w:p>
            <w:pPr>
              <w:pStyle w:val="Compact"/>
              <w:spacing w:line="240" w:lineRule="auto" w:after="0"/>
              <w:jc w:val="right"/>
            </w:pPr>
            <w:r>
              <w:rPr>
                <w:sz w:val="16"/>
              </w:rPr>
              <w:t xml:space="preserve">193,959</w:t>
            </w:r>
          </w:p>
        </w:tc>
        <w:tc>
          <w:tcPr>
            <w:tcW w:type="dxa" w:w="1071"/>
          </w:tcPr>
          <w:p>
            <w:pPr>
              <w:pStyle w:val="Compact"/>
              <w:spacing w:line="240" w:lineRule="auto" w:after="0"/>
              <w:jc w:val="right"/>
            </w:pPr>
            <w:r>
              <w:rPr>
                <w:sz w:val="16"/>
              </w:rPr>
              <w:t xml:space="preserve">193,959</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r>
        <w:tc>
          <w:tcPr>
            <w:tcW w:type="dxa" w:w="2038"/>
          </w:tcPr>
          <w:p>
            <w:pPr>
              <w:pStyle w:val="Compact"/>
              <w:spacing w:line="240" w:lineRule="auto" w:after="0"/>
              <w:jc w:val="left"/>
            </w:pPr>
            <w:r>
              <w:rPr>
                <w:sz w:val="16"/>
              </w:rPr>
              <w:t xml:space="preserve">Time element removed</w:t>
            </w:r>
          </w:p>
        </w:tc>
        <w:tc>
          <w:tcPr>
            <w:tcW w:type="dxa" w:w="1481"/>
          </w:tcPr>
          <w:p>
            <w:pPr>
              <w:pStyle w:val="Compact"/>
              <w:spacing w:line="240" w:lineRule="auto" w:after="0"/>
              <w:jc w:val="left"/>
            </w:pPr>
            <w:r>
              <w:rPr>
                <w:sz w:val="16"/>
              </w:rPr>
              <w:t xml:space="preserve">Time element present</w:t>
            </w:r>
          </w:p>
        </w:tc>
        <w:tc>
          <w:tcPr>
            <w:tcW w:type="dxa" w:w="680"/>
          </w:tcPr>
          <w:p>
            <w:pPr>
              <w:pStyle w:val="Compact"/>
              <w:spacing w:line="240" w:lineRule="auto" w:after="0"/>
              <w:jc w:val="right"/>
            </w:pPr>
            <w:r>
              <w:rPr>
                <w:sz w:val="16"/>
              </w:rPr>
              <w:t xml:space="preserve">50%</w:t>
            </w:r>
          </w:p>
        </w:tc>
        <w:tc>
          <w:tcPr>
            <w:tcW w:type="dxa" w:w="1071"/>
          </w:tcPr>
          <w:p>
            <w:pPr>
              <w:pStyle w:val="Compact"/>
              <w:spacing w:line="240" w:lineRule="auto" w:after="0"/>
              <w:jc w:val="right"/>
            </w:pPr>
            <w:r>
              <w:rPr>
                <w:sz w:val="16"/>
              </w:rPr>
              <w:t xml:space="preserve">971,454</w:t>
            </w:r>
          </w:p>
        </w:tc>
        <w:tc>
          <w:tcPr>
            <w:tcW w:type="dxa" w:w="973"/>
          </w:tcPr>
          <w:p>
            <w:pPr>
              <w:pStyle w:val="Compact"/>
              <w:spacing w:line="240" w:lineRule="auto" w:after="0"/>
              <w:jc w:val="right"/>
            </w:pPr>
            <w:r>
              <w:rPr>
                <w:sz w:val="16"/>
              </w:rPr>
              <w:t xml:space="preserve">971,454</w:t>
            </w:r>
          </w:p>
        </w:tc>
        <w:tc>
          <w:tcPr>
            <w:tcW w:type="dxa" w:w="1071"/>
          </w:tcPr>
          <w:p>
            <w:pPr>
              <w:pStyle w:val="Compact"/>
              <w:spacing w:line="240" w:lineRule="auto" w:after="0"/>
              <w:jc w:val="right"/>
            </w:pPr>
            <w:r>
              <w:rPr>
                <w:sz w:val="16"/>
              </w:rPr>
              <w:t xml:space="preserve">971,454</w:t>
            </w:r>
          </w:p>
        </w:tc>
        <w:tc>
          <w:tcPr>
            <w:tcW w:type="dxa" w:w="876"/>
          </w:tcPr>
          <w:p>
            <w:pPr>
              <w:pStyle w:val="Compact"/>
              <w:spacing w:line="240" w:lineRule="auto" w:after="0"/>
              <w:jc w:val="right"/>
            </w:pPr>
            <w:r>
              <w:rPr>
                <w:sz w:val="16"/>
              </w:rPr>
              <w:t xml:space="preserve">1.00</w:t>
            </w:r>
          </w:p>
        </w:tc>
        <w:tc>
          <w:tcPr>
            <w:tcW w:type="dxa" w:w="1169"/>
          </w:tcPr>
          <w:p>
            <w:pPr>
              <w:pStyle w:val="Compact"/>
              <w:spacing w:line="240" w:lineRule="auto" w:after="0"/>
              <w:jc w:val="right"/>
            </w:pPr>
            <w:r>
              <w:rPr>
                <w:sz w:val="16"/>
              </w:rPr>
              <w:t xml:space="preserve">1.00</w:t>
            </w:r>
          </w:p>
        </w:tc>
      </w:tr>
    </w:tbl>
    <w:p>
      <w:pPr>
        <w:pStyle w:val="BodyText"/>
      </w:pPr>
      <w:r>
        <w:rPr>
          <w:b/>
        </w:rPr>
        <w:t xml:space="preserve">Supplementary Table S4.</w:t>
      </w:r>
      <w:r>
        <w:t xml:space="preserve"> </w:t>
      </w:r>
      <w:r>
        <w:t xml:space="preserve">Parts of each measure that changed under each mapping variant and data scenario, compared with the baseline. Each entry is a named expression in CMS’s measure logic, with the number of stays whose value for that expression changed. Counts from 1 to 9 are shown as &lt;10. Stays are re-run only where their records change, so expressions that did not change are not listed.</w:t>
      </w:r>
    </w:p>
    <w:tbl>
      <w:tblPr>
        <w:tblStyle w:val="Table"/>
        <w:tblW w:type="dxa" w:w="9360"/>
        <w:tblLook w:firstRow="1"/>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3404"/>
        <w:gridCol w:w="1054"/>
        <w:gridCol w:w="4901"/>
      </w:tblGrid>
      <w:tr>
        <w:trPr>
          <w:cnfStyle w:firstRow="1"/>
        </w:trPr>
        <w:tc>
          <w:tcPr>
            <w:tcW w:type="dxa" w:w="3405"/>
            <w:tcBorders>
              <w:bottom w:val="single"/>
            </w:tcBorders>
            <w:vAlign w:val="bottom"/>
          </w:tcPr>
          <w:p>
            <w:pPr>
              <w:pStyle w:val="Compact"/>
              <w:spacing w:line="240" w:lineRule="auto" w:after="0"/>
              <w:jc w:val="left"/>
            </w:pPr>
            <w:r>
              <w:rPr>
                <w:sz w:val="18"/>
              </w:rPr>
              <w:t xml:space="preserve">Mapping or scenario</w:t>
            </w:r>
          </w:p>
        </w:tc>
        <w:tc>
          <w:tcPr>
            <w:tcW w:type="dxa" w:w="1054"/>
            <w:tcBorders>
              <w:bottom w:val="single"/>
            </w:tcBorders>
            <w:vAlign w:val="bottom"/>
          </w:tcPr>
          <w:p>
            <w:pPr>
              <w:pStyle w:val="Compact"/>
              <w:spacing w:line="240" w:lineRule="auto" w:after="0"/>
              <w:jc w:val="left"/>
            </w:pPr>
            <w:r>
              <w:rPr>
                <w:sz w:val="18"/>
              </w:rPr>
              <w:t xml:space="preserve">Measure</w:t>
            </w:r>
          </w:p>
        </w:tc>
        <w:tc>
          <w:tcPr>
            <w:tcW w:type="dxa" w:w="4901"/>
            <w:tcBorders>
              <w:bottom w:val="single"/>
            </w:tcBorders>
            <w:vAlign w:val="bottom"/>
          </w:tcPr>
          <w:p>
            <w:pPr>
              <w:pStyle w:val="Compact"/>
              <w:spacing w:line="240" w:lineRule="auto" w:after="0"/>
              <w:jc w:val="left"/>
            </w:pPr>
            <w:r>
              <w:rPr>
                <w:sz w:val="18"/>
              </w:rPr>
              <w:t xml:space="preserve">Parts of the measure that changed (stays)</w:t>
            </w:r>
          </w:p>
        </w:tc>
      </w:tr>
      <w:tr>
        <w:tc>
          <w:tcPr>
            <w:tcW w:type="dxa" w:w="3405"/>
          </w:tcPr>
          <w:p>
            <w:pPr>
              <w:pStyle w:val="Compact"/>
              <w:spacing w:line="240" w:lineRule="auto" w:after="0"/>
              <w:jc w:val="left"/>
            </w:pPr>
            <w:r>
              <w:rPr>
                <w:sz w:val="18"/>
              </w:rPr>
              <w:t xml:space="preserve">Mapping b, conservative</w:t>
            </w:r>
          </w:p>
        </w:tc>
        <w:tc>
          <w:tcPr>
            <w:tcW w:type="dxa" w:w="1054"/>
          </w:tcPr>
          <w:p>
            <w:pPr>
              <w:pStyle w:val="Compact"/>
              <w:spacing w:line="240" w:lineRule="auto" w:after="0"/>
              <w:jc w:val="left"/>
            </w:pPr>
            <w:r>
              <w:rPr>
                <w:sz w:val="18"/>
              </w:rPr>
              <w:t xml:space="preserve">CMS816</w:t>
            </w:r>
          </w:p>
        </w:tc>
        <w:tc>
          <w:tcPr>
            <w:tcW w:type="dxa" w:w="4901"/>
          </w:tcPr>
          <w:p>
            <w:pPr>
              <w:pStyle w:val="Compact"/>
              <w:spacing w:line="240" w:lineRule="auto" w:after="0"/>
              <w:jc w:val="left"/>
            </w:pPr>
            <w:r>
              <w:rPr>
                <w:sz w:val="18"/>
              </w:rPr>
              <w:t xml:space="preserve">Hypoglycemic Medication Administration (459); Encounter With Hypoglycemic Medication Administration (453); Denominator (453); Initial Population (453); Numerator (&lt;10); Encounter With Severe Hypoglycemic Harm Event (&lt;10); Severe Hypoglycemic Harm Event (&lt;10); Glucose Test With Result Less Than 40 (&lt;10)</w:t>
            </w:r>
          </w:p>
        </w:tc>
      </w:tr>
      <w:tr>
        <w:tc>
          <w:tcPr>
            <w:tcW w:type="dxa" w:w="3405"/>
          </w:tcPr>
          <w:p>
            <w:pPr>
              <w:pStyle w:val="Compact"/>
              <w:spacing w:line="240" w:lineRule="auto" w:after="0"/>
              <w:jc w:val="left"/>
            </w:pPr>
            <w:r>
              <w:rPr>
                <w:sz w:val="18"/>
              </w:rPr>
              <w:t xml:space="preserve">Mapping b, conservative</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Days in Hospitalization (320); Days with Glucose Results (320); Denominator (320); Encounter with Hypoglycemic Medication (320); Days with Hyperglycemic Events (320); Initial Population (320); Measurement Population (320); Denominator Exclusions (&lt;10); Numerator Exclusions (&lt;10); Encounter with Early Glucose Greater Than 600 or with Comfort or Hospice Care (&lt;10); Encounter with Discharge for Hospice Care (&lt;10)</w:t>
            </w:r>
          </w:p>
        </w:tc>
      </w:tr>
      <w:tr>
        <w:tc>
          <w:tcPr>
            <w:tcW w:type="dxa" w:w="3405"/>
          </w:tcPr>
          <w:p>
            <w:pPr>
              <w:pStyle w:val="Compact"/>
              <w:spacing w:line="240" w:lineRule="auto" w:after="0"/>
              <w:jc w:val="left"/>
            </w:pPr>
            <w:r>
              <w:rPr>
                <w:sz w:val="18"/>
              </w:rPr>
              <w:t xml:space="preserve">Mapping c, liberal</w:t>
            </w:r>
          </w:p>
        </w:tc>
        <w:tc>
          <w:tcPr>
            <w:tcW w:type="dxa" w:w="1054"/>
          </w:tcPr>
          <w:p>
            <w:pPr>
              <w:pStyle w:val="Compact"/>
              <w:spacing w:line="240" w:lineRule="auto" w:after="0"/>
              <w:jc w:val="left"/>
            </w:pPr>
            <w:r>
              <w:rPr>
                <w:sz w:val="18"/>
              </w:rPr>
              <w:t xml:space="preserve">CMS816</w:t>
            </w:r>
          </w:p>
        </w:tc>
        <w:tc>
          <w:tcPr>
            <w:tcW w:type="dxa" w:w="4901"/>
          </w:tcPr>
          <w:p>
            <w:pPr>
              <w:pStyle w:val="Compact"/>
              <w:spacing w:line="240" w:lineRule="auto" w:after="0"/>
              <w:jc w:val="left"/>
            </w:pPr>
            <w:r>
              <w:rPr>
                <w:sz w:val="18"/>
              </w:rPr>
              <w:t xml:space="preserve">Hypoglycemic Medication Administration (107); Initial Population (107); Encounter With Hypoglycemic Medication Administration (107); Denominator (107); Encounter With Severe Hypoglycemic Harm Event (&lt;10); Severe Hypoglycemic Harm Event (&lt;10); Numerator (&lt;10); Glucose Test With Result Less Than 40 (&lt;10)</w:t>
            </w:r>
          </w:p>
        </w:tc>
      </w:tr>
      <w:tr>
        <w:tc>
          <w:tcPr>
            <w:tcW w:type="dxa" w:w="3405"/>
          </w:tcPr>
          <w:p>
            <w:pPr>
              <w:pStyle w:val="Compact"/>
              <w:spacing w:line="240" w:lineRule="auto" w:after="0"/>
              <w:jc w:val="left"/>
            </w:pPr>
            <w:r>
              <w:rPr>
                <w:sz w:val="18"/>
              </w:rPr>
              <w:t xml:space="preserve">Mapping c, liberal</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Initial Population (66); Measurement Population (66); Days with Glucose Results (66); Denominator (66); Encounter with Hypoglycemic Medication (66); Days with Hyperglycemic Events (66); Days in Hospitalization (66)</w:t>
            </w:r>
          </w:p>
        </w:tc>
      </w:tr>
      <w:tr>
        <w:tc>
          <w:tcPr>
            <w:tcW w:type="dxa" w:w="3405"/>
          </w:tcPr>
          <w:p>
            <w:pPr>
              <w:pStyle w:val="Compact"/>
              <w:spacing w:line="240" w:lineRule="auto" w:after="0"/>
              <w:jc w:val="left"/>
            </w:pPr>
            <w:r>
              <w:rPr>
                <w:sz w:val="18"/>
              </w:rPr>
              <w:t xml:space="preserve">Mapping d, model-proposed</w:t>
            </w:r>
          </w:p>
        </w:tc>
        <w:tc>
          <w:tcPr>
            <w:tcW w:type="dxa" w:w="1054"/>
          </w:tcPr>
          <w:p>
            <w:pPr>
              <w:pStyle w:val="Compact"/>
              <w:spacing w:line="240" w:lineRule="auto" w:after="0"/>
              <w:jc w:val="left"/>
            </w:pPr>
            <w:r>
              <w:rPr>
                <w:sz w:val="18"/>
              </w:rPr>
              <w:t xml:space="preserve">CMS816</w:t>
            </w:r>
          </w:p>
        </w:tc>
        <w:tc>
          <w:tcPr>
            <w:tcW w:type="dxa" w:w="4901"/>
          </w:tcPr>
          <w:p>
            <w:pPr>
              <w:pStyle w:val="Compact"/>
              <w:spacing w:line="240" w:lineRule="auto" w:after="0"/>
              <w:jc w:val="left"/>
            </w:pPr>
            <w:r>
              <w:rPr>
                <w:sz w:val="18"/>
              </w:rPr>
              <w:t xml:space="preserve">Hypoglycemic Medication Administration (425); Initial Population (423); Denominator (423); Encounter With Hypoglycemic Medication Administration (423); Numerator (&lt;10); Encounter With Severe Hypoglycemic Harm Event (&lt;10); Severe Hypoglycemic Harm Event (&lt;10); Glucose Test With Result Less Than 40 (&lt;10)</w:t>
            </w:r>
          </w:p>
        </w:tc>
      </w:tr>
      <w:tr>
        <w:tc>
          <w:tcPr>
            <w:tcW w:type="dxa" w:w="3405"/>
          </w:tcPr>
          <w:p>
            <w:pPr>
              <w:pStyle w:val="Compact"/>
              <w:spacing w:line="240" w:lineRule="auto" w:after="0"/>
              <w:jc w:val="left"/>
            </w:pPr>
            <w:r>
              <w:rPr>
                <w:sz w:val="18"/>
              </w:rPr>
              <w:t xml:space="preserve">Mapping d, model-proposed</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Measurement Population (355); Days with Glucose Results (355); Days in Hospitalization (355); Initial Population (355); Denominator (355); Encounter with Hypoglycemic Medication (355); Days with Hyperglycemic Events (355); Encounter with Early Glucose Greater Than 600 or with Comfort or Hospice Care (&lt;10); Encounter with Discharge for Hospice Care (&lt;10); Denominator Exclusions (&lt;10); Numerator Exclusions (&lt;10)</w:t>
            </w:r>
          </w:p>
        </w:tc>
      </w:tr>
      <w:tr>
        <w:tc>
          <w:tcPr>
            <w:tcW w:type="dxa" w:w="3405"/>
          </w:tcPr>
          <w:p>
            <w:pPr>
              <w:pStyle w:val="Compact"/>
              <w:spacing w:line="240" w:lineRule="auto" w:after="0"/>
              <w:jc w:val="left"/>
            </w:pPr>
            <w:r>
              <w:rPr>
                <w:sz w:val="18"/>
              </w:rPr>
              <w:t xml:space="preserve">Medication status corrected, lower bound</w:t>
            </w:r>
          </w:p>
        </w:tc>
        <w:tc>
          <w:tcPr>
            <w:tcW w:type="dxa" w:w="1054"/>
          </w:tcPr>
          <w:p>
            <w:pPr>
              <w:pStyle w:val="Compact"/>
              <w:spacing w:line="240" w:lineRule="auto" w:after="0"/>
              <w:jc w:val="left"/>
            </w:pPr>
            <w:r>
              <w:rPr>
                <w:sz w:val="18"/>
              </w:rPr>
              <w:t xml:space="preserve">CMS816</w:t>
            </w:r>
          </w:p>
        </w:tc>
        <w:tc>
          <w:tcPr>
            <w:tcW w:type="dxa" w:w="4901"/>
          </w:tcPr>
          <w:p>
            <w:pPr>
              <w:pStyle w:val="Compact"/>
              <w:spacing w:line="240" w:lineRule="auto" w:after="0"/>
              <w:jc w:val="left"/>
            </w:pPr>
            <w:r>
              <w:rPr>
                <w:sz w:val="18"/>
              </w:rPr>
              <w:t xml:space="preserve">Hypoglycemic Medication Administration (48); Initial Population (47); Denominator (47); Encounter With Hypoglycemic Medication Administration (47); Encounter With Severe Hypoglycemic Harm Event (&lt;10); Numerator (&lt;10); Severe Hypoglycemic Harm Event (&lt;10); Glucose Test With Result Less Than 40 (&lt;10)</w:t>
            </w:r>
          </w:p>
        </w:tc>
      </w:tr>
      <w:tr>
        <w:tc>
          <w:tcPr>
            <w:tcW w:type="dxa" w:w="3405"/>
          </w:tcPr>
          <w:p>
            <w:pPr>
              <w:pStyle w:val="Compact"/>
              <w:spacing w:line="240" w:lineRule="auto" w:after="0"/>
              <w:jc w:val="left"/>
            </w:pPr>
            <w:r>
              <w:rPr>
                <w:sz w:val="18"/>
              </w:rPr>
              <w:t xml:space="preserve">Medication status corrected, lower bound</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Measurement Population (14); Days with Glucose Results (14); Denominator (14); Encounter with Hypoglycemic Medication (14); Days with Hyperglycemic Events (14); Days in Hospitalization (14); Initial Population (14)</w:t>
            </w:r>
          </w:p>
        </w:tc>
      </w:tr>
      <w:tr>
        <w:tc>
          <w:tcPr>
            <w:tcW w:type="dxa" w:w="3405"/>
          </w:tcPr>
          <w:p>
            <w:pPr>
              <w:pStyle w:val="Compact"/>
              <w:spacing w:line="240" w:lineRule="auto" w:after="0"/>
              <w:jc w:val="left"/>
            </w:pPr>
            <w:r>
              <w:rPr>
                <w:sz w:val="18"/>
              </w:rPr>
              <w:t xml:space="preserve">Medication status corrected, upper bound</w:t>
            </w:r>
          </w:p>
        </w:tc>
        <w:tc>
          <w:tcPr>
            <w:tcW w:type="dxa" w:w="1054"/>
          </w:tcPr>
          <w:p>
            <w:pPr>
              <w:pStyle w:val="Compact"/>
              <w:spacing w:line="240" w:lineRule="auto" w:after="0"/>
              <w:jc w:val="left"/>
            </w:pPr>
            <w:r>
              <w:rPr>
                <w:sz w:val="18"/>
              </w:rPr>
              <w:t xml:space="preserve">CMS816</w:t>
            </w:r>
          </w:p>
        </w:tc>
        <w:tc>
          <w:tcPr>
            <w:tcW w:type="dxa" w:w="4901"/>
          </w:tcPr>
          <w:p>
            <w:pPr>
              <w:pStyle w:val="Compact"/>
              <w:spacing w:line="240" w:lineRule="auto" w:after="0"/>
              <w:jc w:val="left"/>
            </w:pPr>
            <w:r>
              <w:rPr>
                <w:sz w:val="18"/>
              </w:rPr>
              <w:t xml:space="preserve">Hypoglycemic Medication Administration (22); Initial Population (22); Encounter With Hypoglycemic Medication Administration (22); Denominator (22)</w:t>
            </w:r>
          </w:p>
        </w:tc>
      </w:tr>
      <w:tr>
        <w:tc>
          <w:tcPr>
            <w:tcW w:type="dxa" w:w="3405"/>
          </w:tcPr>
          <w:p>
            <w:pPr>
              <w:pStyle w:val="Compact"/>
              <w:spacing w:line="240" w:lineRule="auto" w:after="0"/>
              <w:jc w:val="left"/>
            </w:pPr>
            <w:r>
              <w:rPr>
                <w:sz w:val="18"/>
              </w:rPr>
              <w:t xml:space="preserve">Medication status corrected, upper bound</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Denominator (&lt;10); Encounter with Hypoglycemic Medication (&lt;10); Days with Hyperglycemic Events (&lt;10); Initial Population (&lt;10); Measurement Population (&lt;10); Days with Glucose Results (&lt;10); Days in Hospitalization (&lt;10)</w:t>
            </w:r>
          </w:p>
        </w:tc>
      </w:tr>
      <w:tr>
        <w:tc>
          <w:tcPr>
            <w:tcW w:type="dxa" w:w="3405"/>
          </w:tcPr>
          <w:p>
            <w:pPr>
              <w:pStyle w:val="Compact"/>
              <w:spacing w:line="240" w:lineRule="auto" w:after="0"/>
              <w:jc w:val="left"/>
            </w:pPr>
            <w:r>
              <w:rPr>
                <w:sz w:val="18"/>
              </w:rPr>
              <w:t xml:space="preserve">Brand drug codes, injected 1%</w:t>
            </w:r>
          </w:p>
        </w:tc>
        <w:tc>
          <w:tcPr>
            <w:tcW w:type="dxa" w:w="1054"/>
          </w:tcPr>
          <w:p>
            <w:pPr>
              <w:pStyle w:val="Compact"/>
              <w:spacing w:line="240" w:lineRule="auto" w:after="0"/>
              <w:jc w:val="left"/>
            </w:pPr>
            <w:r>
              <w:rPr>
                <w:sz w:val="18"/>
              </w:rPr>
              <w:t xml:space="preserve">CMS816</w:t>
            </w:r>
          </w:p>
        </w:tc>
        <w:tc>
          <w:tcPr>
            <w:tcW w:type="dxa" w:w="4901"/>
          </w:tcPr>
          <w:p>
            <w:pPr>
              <w:pStyle w:val="Compact"/>
              <w:spacing w:line="240" w:lineRule="auto" w:after="0"/>
              <w:jc w:val="left"/>
            </w:pPr>
            <w:r>
              <w:rPr>
                <w:sz w:val="18"/>
              </w:rPr>
              <w:t xml:space="preserve">Initial Population (&lt;10); Encounter With Hypoglycemic Medication Administration (&lt;10); Denominator (&lt;10); Hypoglycemic Medication Administration (&lt;10)</w:t>
            </w:r>
          </w:p>
        </w:tc>
      </w:tr>
      <w:tr>
        <w:tc>
          <w:tcPr>
            <w:tcW w:type="dxa" w:w="3405"/>
          </w:tcPr>
          <w:p>
            <w:pPr>
              <w:pStyle w:val="Compact"/>
              <w:spacing w:line="240" w:lineRule="auto" w:after="0"/>
              <w:jc w:val="left"/>
            </w:pPr>
            <w:r>
              <w:rPr>
                <w:sz w:val="18"/>
              </w:rPr>
              <w:t xml:space="preserve">Brand drug codes, injected 1%</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Measurement Population (&lt;10); Initial Population (&lt;10); Days in Hospitalization (&lt;10); Days with Glucose Results (&lt;10); Denominator (&lt;10); Encounter with Hypoglycemic Medication (&lt;10); Days with Hyperglycemic Events (&lt;10); Denominator Exclusions (&lt;10); Numerator Exclusions (&lt;10); Encounter with Early Glucose Greater Than 600 or with Comfort or Hospice Care (&lt;10); Encounter with Discharge for Hospice Care (&lt;10)</w:t>
            </w:r>
          </w:p>
        </w:tc>
      </w:tr>
      <w:tr>
        <w:tc>
          <w:tcPr>
            <w:tcW w:type="dxa" w:w="3405"/>
          </w:tcPr>
          <w:p>
            <w:pPr>
              <w:pStyle w:val="Compact"/>
              <w:spacing w:line="240" w:lineRule="auto" w:after="0"/>
              <w:jc w:val="left"/>
            </w:pPr>
            <w:r>
              <w:rPr>
                <w:sz w:val="18"/>
              </w:rPr>
              <w:t xml:space="preserve">Brand drug codes, injected 10%</w:t>
            </w:r>
          </w:p>
        </w:tc>
        <w:tc>
          <w:tcPr>
            <w:tcW w:type="dxa" w:w="1054"/>
          </w:tcPr>
          <w:p>
            <w:pPr>
              <w:pStyle w:val="Compact"/>
              <w:spacing w:line="240" w:lineRule="auto" w:after="0"/>
              <w:jc w:val="left"/>
            </w:pPr>
            <w:r>
              <w:rPr>
                <w:sz w:val="18"/>
              </w:rPr>
              <w:t xml:space="preserve">CMS816</w:t>
            </w:r>
          </w:p>
        </w:tc>
        <w:tc>
          <w:tcPr>
            <w:tcW w:type="dxa" w:w="4901"/>
          </w:tcPr>
          <w:p>
            <w:pPr>
              <w:pStyle w:val="Compact"/>
              <w:spacing w:line="240" w:lineRule="auto" w:after="0"/>
              <w:jc w:val="left"/>
            </w:pPr>
            <w:r>
              <w:rPr>
                <w:sz w:val="18"/>
              </w:rPr>
              <w:t xml:space="preserve">Initial Population (68); Hypoglycemic Medication Administration (68); Denominator (68); Encounter With Hypoglycemic Medication Administration (68); Encounter With Severe Hypoglycemic Harm Event (&lt;10); Numerator (&lt;10); Severe Hypoglycemic Harm Event (&lt;10); Glucose Test With Result Less Than 40 (&lt;10)</w:t>
            </w:r>
          </w:p>
        </w:tc>
      </w:tr>
      <w:tr>
        <w:tc>
          <w:tcPr>
            <w:tcW w:type="dxa" w:w="3405"/>
          </w:tcPr>
          <w:p>
            <w:pPr>
              <w:pStyle w:val="Compact"/>
              <w:spacing w:line="240" w:lineRule="auto" w:after="0"/>
              <w:jc w:val="left"/>
            </w:pPr>
            <w:r>
              <w:rPr>
                <w:sz w:val="18"/>
              </w:rPr>
              <w:t xml:space="preserve">Brand drug codes, injected 10%</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Days in Hospitalization (34); Initial Population (34); Measurement Population (34); Days with Glucose Results (34); Denominator (34); Encounter with Hypoglycemic Medication (34); Days with Hyperglycemic Events (34); Encounter with Early Glucose Greater Than 600 or with Comfort or Hospice Care (&lt;10); Encounter with Discharge for Hospice Care (&lt;10); Denominator Exclusions (&lt;10); Numerator Exclusions (&lt;10)</w:t>
            </w:r>
          </w:p>
        </w:tc>
      </w:tr>
      <w:tr>
        <w:tc>
          <w:tcPr>
            <w:tcW w:type="dxa" w:w="3405"/>
          </w:tcPr>
          <w:p>
            <w:pPr>
              <w:pStyle w:val="Compact"/>
              <w:spacing w:line="240" w:lineRule="auto" w:after="0"/>
              <w:jc w:val="left"/>
            </w:pPr>
            <w:r>
              <w:rPr>
                <w:sz w:val="18"/>
              </w:rPr>
              <w:t xml:space="preserve">Brand drug codes, injected 50%</w:t>
            </w:r>
          </w:p>
        </w:tc>
        <w:tc>
          <w:tcPr>
            <w:tcW w:type="dxa" w:w="1054"/>
          </w:tcPr>
          <w:p>
            <w:pPr>
              <w:pStyle w:val="Compact"/>
              <w:spacing w:line="240" w:lineRule="auto" w:after="0"/>
              <w:jc w:val="left"/>
            </w:pPr>
            <w:r>
              <w:rPr>
                <w:sz w:val="18"/>
              </w:rPr>
              <w:t xml:space="preserve">CMS816</w:t>
            </w:r>
          </w:p>
        </w:tc>
        <w:tc>
          <w:tcPr>
            <w:tcW w:type="dxa" w:w="4901"/>
          </w:tcPr>
          <w:p>
            <w:pPr>
              <w:pStyle w:val="Compact"/>
              <w:spacing w:line="240" w:lineRule="auto" w:after="0"/>
              <w:jc w:val="left"/>
            </w:pPr>
            <w:r>
              <w:rPr>
                <w:sz w:val="18"/>
              </w:rPr>
              <w:t xml:space="preserve">Hypoglycemic Medication Administration (596); Initial Population (589); Denominator (589); Encounter With Hypoglycemic Medication Administration (589); Numerator (12); Encounter With Severe Hypoglycemic Harm Event (12); Severe Hypoglycemic Harm Event (12); Glucose Test With Result Less Than 40 (12)</w:t>
            </w:r>
          </w:p>
        </w:tc>
      </w:tr>
      <w:tr>
        <w:tc>
          <w:tcPr>
            <w:tcW w:type="dxa" w:w="3405"/>
          </w:tcPr>
          <w:p>
            <w:pPr>
              <w:pStyle w:val="Compact"/>
              <w:spacing w:line="240" w:lineRule="auto" w:after="0"/>
              <w:jc w:val="left"/>
            </w:pPr>
            <w:r>
              <w:rPr>
                <w:sz w:val="18"/>
              </w:rPr>
              <w:t xml:space="preserve">Brand drug codes, injected 50%</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Measurement Population (240); Days with Glucose Results (240); Days in Hospitalization (240); Initial Population (240); Denominator (240); Encounter with Hypoglycemic Medication (240); Days with Hyperglycemic Events (240); Encounter with Early Glucose Greater Than 600 or with Comfort or Hospice Care (&lt;10); Encounter with Discharge for Hospice Care (&lt;10); Denominator Exclusions (&lt;10); Numerator Exclusions (&lt;10)</w:t>
            </w:r>
          </w:p>
        </w:tc>
      </w:tr>
      <w:tr>
        <w:tc>
          <w:tcPr>
            <w:tcW w:type="dxa" w:w="3405"/>
          </w:tcPr>
          <w:p>
            <w:pPr>
              <w:pStyle w:val="Compact"/>
              <w:spacing w:line="240" w:lineRule="auto" w:after="0"/>
              <w:jc w:val="left"/>
            </w:pPr>
            <w:r>
              <w:rPr>
                <w:sz w:val="18"/>
              </w:rPr>
              <w:t xml:space="preserve">Diagnosis links removed, injected 1%</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Initial Population (11); Measurement Population (11); Days with Glucose Results (11); Denominator (11); Encounter with Existing Diabetes Diagnosis (11); Days with Hyperglycemic Events (11); Days in Hospitalization (11)</w:t>
            </w:r>
          </w:p>
        </w:tc>
      </w:tr>
      <w:tr>
        <w:tc>
          <w:tcPr>
            <w:tcW w:type="dxa" w:w="3405"/>
          </w:tcPr>
          <w:p>
            <w:pPr>
              <w:pStyle w:val="Compact"/>
              <w:spacing w:line="240" w:lineRule="auto" w:after="0"/>
              <w:jc w:val="left"/>
            </w:pPr>
            <w:r>
              <w:rPr>
                <w:sz w:val="18"/>
              </w:rPr>
              <w:t xml:space="preserve">Diagnosis links removed, injected 10%</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Encounter with Existing Diabetes Diagnosis (133); Days with Hyperglycemic Events (133); Initial Population (133); Measurement Population (133); Days with Glucose Results (133); Days in Hospitalization (133); Denominator (133); Encounter with Early Glucose Greater Than 600 or with Comfort or Hospice Care (&lt;10); Encounter with Discharge for Hospice Care (&lt;10); Denominator Exclusions (&lt;10); Numerator Exclusions (&lt;10)</w:t>
            </w:r>
          </w:p>
        </w:tc>
      </w:tr>
      <w:tr>
        <w:tc>
          <w:tcPr>
            <w:tcW w:type="dxa" w:w="3405"/>
          </w:tcPr>
          <w:p>
            <w:pPr>
              <w:pStyle w:val="Compact"/>
              <w:spacing w:line="240" w:lineRule="auto" w:after="0"/>
              <w:jc w:val="left"/>
            </w:pPr>
            <w:r>
              <w:rPr>
                <w:sz w:val="18"/>
              </w:rPr>
              <w:t xml:space="preserve">Diagnosis links removed, injected 50%</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Encounter with Existing Diabetes Diagnosis (686); Denominator (686); Days in Hospitalization (686); Days with Hyperglycemic Events (686); Initial Population (686); Measurement Population (686); Days with Glucose Results (686); Encounter with Discharge for Hospice Care (&lt;10); Denominator Exclusions (&lt;10); Encounter with Early Glucose Greater Than 600 or with Comfort or Hospice Care (&lt;10); Numerator Exclusions (&lt;10)</w:t>
            </w:r>
          </w:p>
        </w:tc>
      </w:tr>
      <w:tr>
        <w:tc>
          <w:tcPr>
            <w:tcW w:type="dxa" w:w="3405"/>
          </w:tcPr>
          <w:p>
            <w:pPr>
              <w:pStyle w:val="Compact"/>
              <w:spacing w:line="240" w:lineRule="auto" w:after="0"/>
              <w:jc w:val="left"/>
            </w:pPr>
            <w:r>
              <w:rPr>
                <w:sz w:val="18"/>
              </w:rPr>
              <w:t xml:space="preserve">Diagnosis links as exported</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Encounter with Existing Diabetes Diagnosis (1,288); Denominator (1,288); Days with Hyperglycemic Events (1,288); Measurement Population (1,288); Days with Glucose Results (1,288); Days in Hospitalization (1,288); Initial Population (1,288); Denominator Exclusions (22); Numerator Exclusions (22); Encounter with Early Glucose Greater Than 600 or with Comfort or Hospice Care (22); Encounter with Discharge for Hospice Care (22)</w:t>
            </w:r>
          </w:p>
        </w:tc>
      </w:tr>
      <w:tr>
        <w:tc>
          <w:tcPr>
            <w:tcW w:type="dxa" w:w="3405"/>
          </w:tcPr>
          <w:p>
            <w:pPr>
              <w:pStyle w:val="Compact"/>
              <w:spacing w:line="240" w:lineRule="auto" w:after="0"/>
              <w:jc w:val="left"/>
            </w:pPr>
            <w:r>
              <w:rPr>
                <w:sz w:val="18"/>
              </w:rPr>
              <w:t xml:space="preserve">Glucose units as exported</w:t>
            </w:r>
          </w:p>
        </w:tc>
        <w:tc>
          <w:tcPr>
            <w:tcW w:type="dxa" w:w="1054"/>
          </w:tcPr>
          <w:p>
            <w:pPr>
              <w:pStyle w:val="Compact"/>
              <w:spacing w:line="240" w:lineRule="auto" w:after="0"/>
              <w:jc w:val="left"/>
            </w:pPr>
            <w:r>
              <w:rPr>
                <w:sz w:val="18"/>
              </w:rPr>
              <w:t xml:space="preserve">CMS816</w:t>
            </w:r>
          </w:p>
        </w:tc>
        <w:tc>
          <w:tcPr>
            <w:tcW w:type="dxa" w:w="4901"/>
          </w:tcPr>
          <w:p>
            <w:pPr>
              <w:pStyle w:val="Compact"/>
              <w:spacing w:line="240" w:lineRule="auto" w:after="0"/>
              <w:jc w:val="left"/>
            </w:pPr>
            <w:r>
              <w:rPr>
                <w:sz w:val="18"/>
              </w:rPr>
              <w:t xml:space="preserve">Encounter With Severe Hypoglycemic Harm Event (73); Severe Hypoglycemic Harm Event (73); Numerator (73); Glucose Test With Result Less Than 40 (73)</w:t>
            </w:r>
          </w:p>
        </w:tc>
      </w:tr>
      <w:tr>
        <w:tc>
          <w:tcPr>
            <w:tcW w:type="dxa" w:w="3405"/>
          </w:tcPr>
          <w:p>
            <w:pPr>
              <w:pStyle w:val="Compact"/>
              <w:spacing w:line="240" w:lineRule="auto" w:after="0"/>
              <w:jc w:val="left"/>
            </w:pPr>
            <w:r>
              <w:rPr>
                <w:sz w:val="18"/>
              </w:rPr>
              <w:t xml:space="preserve">Glucose units as exported</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Encounter with Elevated Glucose Greater Than or Equal to 200 (2,424); Encounter with Hyperglycemic Events (1,400); Numerator (1,400); Days in Hospitalization (1,131); Days with Hyperglycemic Events (1,131); Denominator (1,131); Measurement Population (1,131); Days with Glucose Results (1,131); Initial Population (1,131); Encounter with Early Glucose Greater Than 600 or with Comfort or Hospice Care (90); Denominator Exclusions (90); Numerator Exclusions (90)</w:t>
            </w:r>
          </w:p>
        </w:tc>
      </w:tr>
      <w:tr>
        <w:tc>
          <w:tcPr>
            <w:tcW w:type="dxa" w:w="3405"/>
          </w:tcPr>
          <w:p>
            <w:pPr>
              <w:pStyle w:val="Compact"/>
              <w:spacing w:line="240" w:lineRule="auto" w:after="0"/>
              <w:jc w:val="left"/>
            </w:pPr>
            <w:r>
              <w:rPr>
                <w:sz w:val="18"/>
              </w:rPr>
              <w:t xml:space="preserve">Profiles as exported</w:t>
            </w:r>
          </w:p>
        </w:tc>
        <w:tc>
          <w:tcPr>
            <w:tcW w:type="dxa" w:w="1054"/>
          </w:tcPr>
          <w:p>
            <w:pPr>
              <w:pStyle w:val="Compact"/>
              <w:spacing w:line="240" w:lineRule="auto" w:after="0"/>
              <w:jc w:val="left"/>
            </w:pPr>
            <w:r>
              <w:rPr>
                <w:sz w:val="18"/>
              </w:rPr>
              <w:t xml:space="preserve">CMS816</w:t>
            </w:r>
          </w:p>
        </w:tc>
        <w:tc>
          <w:tcPr>
            <w:tcW w:type="dxa" w:w="4901"/>
          </w:tcPr>
          <w:p>
            <w:pPr>
              <w:pStyle w:val="Compact"/>
              <w:spacing w:line="240" w:lineRule="auto" w:after="0"/>
              <w:jc w:val="left"/>
            </w:pPr>
            <w:r>
              <w:rPr>
                <w:sz w:val="18"/>
              </w:rPr>
              <w:t xml:space="preserve">Initial Population (10,487); Hypoglycemic Medication Administration (10,487); Denominator (10,487); Encounter With Hypoglycemic Medication Administration (10,487); Numerator (73); Encounter With Severe Hypoglycemic Harm Event (73); Severe Hypoglycemic Harm Event (73); Glucose Test With Result Less Than 40 (73)</w:t>
            </w:r>
          </w:p>
        </w:tc>
      </w:tr>
      <w:tr>
        <w:tc>
          <w:tcPr>
            <w:tcW w:type="dxa" w:w="3405"/>
          </w:tcPr>
          <w:p>
            <w:pPr>
              <w:pStyle w:val="Compact"/>
              <w:spacing w:line="240" w:lineRule="auto" w:after="0"/>
              <w:jc w:val="left"/>
            </w:pPr>
            <w:r>
              <w:rPr>
                <w:sz w:val="18"/>
              </w:rPr>
              <w:t xml:space="preserve">Profiles as exported</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Initial Population (4,627); Days with Hyperglycemic Events (4,627); Denominator (4,627); Days in Hospitalization (4,627); Days with Glucose Results (4,627); Measurement Population (4,627); Encounter with Hypoglycemic Medication (4,583); Encounter with Elevated Glucose Greater Than or Equal to 200 (3,491); Encounter with Hyperglycemic Events (1,400); Numerator (1,400); Denominator Exclusions (160); Encounter with Early Glucose Greater Than 600 or with Comfort or Hospice Care (160)</w:t>
            </w:r>
          </w:p>
        </w:tc>
      </w:tr>
      <w:tr>
        <w:tc>
          <w:tcPr>
            <w:tcW w:type="dxa" w:w="3405"/>
          </w:tcPr>
          <w:p>
            <w:pPr>
              <w:pStyle w:val="Compact"/>
              <w:spacing w:line="240" w:lineRule="auto" w:after="0"/>
              <w:jc w:val="left"/>
            </w:pPr>
            <w:r>
              <w:rPr>
                <w:sz w:val="18"/>
              </w:rPr>
              <w:t xml:space="preserve">Codes as exported (local)</w:t>
            </w:r>
          </w:p>
        </w:tc>
        <w:tc>
          <w:tcPr>
            <w:tcW w:type="dxa" w:w="1054"/>
          </w:tcPr>
          <w:p>
            <w:pPr>
              <w:pStyle w:val="Compact"/>
              <w:spacing w:line="240" w:lineRule="auto" w:after="0"/>
              <w:jc w:val="left"/>
            </w:pPr>
            <w:r>
              <w:rPr>
                <w:sz w:val="18"/>
              </w:rPr>
              <w:t xml:space="preserve">CMS816</w:t>
            </w:r>
          </w:p>
        </w:tc>
        <w:tc>
          <w:tcPr>
            <w:tcW w:type="dxa" w:w="4901"/>
          </w:tcPr>
          <w:p>
            <w:pPr>
              <w:pStyle w:val="Compact"/>
              <w:spacing w:line="240" w:lineRule="auto" w:after="0"/>
              <w:jc w:val="left"/>
            </w:pPr>
            <w:r>
              <w:rPr>
                <w:sz w:val="18"/>
              </w:rPr>
              <w:t xml:space="preserve">Initial Population (10,487); Hypoglycemic Medication Administration (10,487); Denominator (10,487); Encounter With Hypoglycemic Medication Administration (10,487); Encounter With Severe Hypoglycemic Harm Event (73); Numerator (73); Severe Hypoglycemic Harm Event (73); Glucose Test With Result Less Than 40 (73)</w:t>
            </w:r>
          </w:p>
        </w:tc>
      </w:tr>
      <w:tr>
        <w:tc>
          <w:tcPr>
            <w:tcW w:type="dxa" w:w="3405"/>
          </w:tcPr>
          <w:p>
            <w:pPr>
              <w:pStyle w:val="Compact"/>
              <w:spacing w:line="240" w:lineRule="auto" w:after="0"/>
              <w:jc w:val="left"/>
            </w:pPr>
            <w:r>
              <w:rPr>
                <w:sz w:val="18"/>
              </w:rPr>
              <w:t xml:space="preserve">Codes as exported (local)</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Initial Population (4,627); Days with Hyperglycemic Events (4,627); Days in Hospitalization (4,627); Denominator (4,627); Days with Glucose Results (4,627); Measurement Population (4,627); Encounter with Hypoglycemic Medication (4,583); Encounter with Elevated Glucose Greater Than or Equal to 200 (3,491); Numerator (1,400); Encounter with Hyperglycemic Events (1,400); Denominator Exclusions (160); Numerator Exclusions (160)</w:t>
            </w:r>
          </w:p>
        </w:tc>
      </w:tr>
      <w:tr>
        <w:tc>
          <w:tcPr>
            <w:tcW w:type="dxa" w:w="3405"/>
          </w:tcPr>
          <w:p>
            <w:pPr>
              <w:pStyle w:val="Compact"/>
              <w:spacing w:line="240" w:lineRule="auto" w:after="0"/>
              <w:jc w:val="left"/>
            </w:pPr>
            <w:r>
              <w:rPr>
                <w:sz w:val="18"/>
              </w:rPr>
              <w:t xml:space="preserve">Laboratory glucose only (registered sensitivity)</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Encounter with Hyperglycemic Events (24); Numerator (24); Glucose Tests Earlier Than Glucose Greater Than 600 within 1 Hour Prior To and 6 Hours After Encounter Start (&lt;10); Numerator Exclusions (&lt;10); Initial Glucose Greater Than 600 within 1 Hour Prior To and 6 Hours After Encounter Start (&lt;10); Denominator Exclusions (&lt;10); Encounter with Glucose Greater Than 600 within 1 Hour Prior To and 6 Hours After Encounter Start (&lt;10); Encounter with Early Glucose Greater Than 600 or with Comfort or Hospice Care (&lt;10); Encounter with Elevated Glucose Greater Than or Equal to 200 (&lt;10); Days with Glucose Results (&lt;10); Measurement Population (&lt;10); Initial Population (&lt;10)</w:t>
            </w:r>
          </w:p>
        </w:tc>
      </w:tr>
      <w:tr>
        <w:tc>
          <w:tcPr>
            <w:tcW w:type="dxa" w:w="3405"/>
          </w:tcPr>
          <w:p>
            <w:pPr>
              <w:pStyle w:val="Compact"/>
              <w:spacing w:line="240" w:lineRule="auto" w:after="0"/>
              <w:jc w:val="left"/>
            </w:pPr>
            <w:r>
              <w:rPr>
                <w:sz w:val="18"/>
              </w:rPr>
              <w:t xml:space="preserve">Bedside glucose unit assigned (exploratory)</w:t>
            </w:r>
          </w:p>
        </w:tc>
        <w:tc>
          <w:tcPr>
            <w:tcW w:type="dxa" w:w="1054"/>
          </w:tcPr>
          <w:p>
            <w:pPr>
              <w:pStyle w:val="Compact"/>
              <w:spacing w:line="240" w:lineRule="auto" w:after="0"/>
              <w:jc w:val="left"/>
            </w:pPr>
            <w:r>
              <w:rPr>
                <w:sz w:val="18"/>
              </w:rPr>
              <w:t xml:space="preserve">CMS816</w:t>
            </w:r>
          </w:p>
        </w:tc>
        <w:tc>
          <w:tcPr>
            <w:tcW w:type="dxa" w:w="4901"/>
          </w:tcPr>
          <w:p>
            <w:pPr>
              <w:pStyle w:val="Compact"/>
              <w:spacing w:line="240" w:lineRule="auto" w:after="0"/>
              <w:jc w:val="left"/>
            </w:pPr>
            <w:r>
              <w:rPr>
                <w:sz w:val="18"/>
              </w:rPr>
              <w:t xml:space="preserve">Severe Hypoglycemic Harm Event (57); Numerator (57); Encounter With Severe Hypoglycemic Harm Event (57); Glucose Test With Result Less Than 40 (57)</w:t>
            </w:r>
          </w:p>
        </w:tc>
      </w:tr>
      <w:tr>
        <w:tc>
          <w:tcPr>
            <w:tcW w:type="dxa" w:w="3405"/>
          </w:tcPr>
          <w:p>
            <w:pPr>
              <w:pStyle w:val="Compact"/>
              <w:spacing w:line="240" w:lineRule="auto" w:after="0"/>
              <w:jc w:val="left"/>
            </w:pPr>
            <w:r>
              <w:rPr>
                <w:sz w:val="18"/>
              </w:rPr>
              <w:t xml:space="preserve">Bedside glucose unit assigned (exploratory)</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Numerator (361); Encounter with Hyperglycemic Events (361); Encounter with Elevated Glucose Greater Than or Equal to 200 (174); Initial Population (142); Measurement Population (142); Denominator (142); Days with Hyperglycemic Events (142); Days in Hospitalization (142); Days with Glucose Results (142); Encounter with Early Glucose Greater Than 600 or with Comfort or Hospice Care (&lt;10); Encounter with Discharge for Hospice Care (&lt;10); Denominator Exclusions (&lt;10)</w:t>
            </w:r>
          </w:p>
        </w:tc>
      </w:tr>
      <w:tr>
        <w:tc>
          <w:tcPr>
            <w:tcW w:type="dxa" w:w="3405"/>
          </w:tcPr>
          <w:p>
            <w:pPr>
              <w:pStyle w:val="Compact"/>
              <w:spacing w:line="240" w:lineRule="auto" w:after="0"/>
              <w:jc w:val="left"/>
            </w:pPr>
            <w:r>
              <w:rPr>
                <w:sz w:val="18"/>
              </w:rPr>
              <w:t xml:space="preserve">Observation stays typed as inpatient (exploratory)</w:t>
            </w:r>
          </w:p>
        </w:tc>
        <w:tc>
          <w:tcPr>
            <w:tcW w:type="dxa" w:w="1054"/>
          </w:tcPr>
          <w:p>
            <w:pPr>
              <w:pStyle w:val="Compact"/>
              <w:spacing w:line="240" w:lineRule="auto" w:after="0"/>
              <w:jc w:val="left"/>
            </w:pPr>
            <w:r>
              <w:rPr>
                <w:sz w:val="18"/>
              </w:rPr>
              <w:t xml:space="preserve">CMS816</w:t>
            </w:r>
          </w:p>
        </w:tc>
        <w:tc>
          <w:tcPr>
            <w:tcW w:type="dxa" w:w="4901"/>
          </w:tcPr>
          <w:p>
            <w:pPr>
              <w:pStyle w:val="Compact"/>
              <w:spacing w:line="240" w:lineRule="auto" w:after="0"/>
              <w:jc w:val="left"/>
            </w:pPr>
            <w:r>
              <w:rPr>
                <w:sz w:val="18"/>
              </w:rPr>
              <w:t xml:space="preserve">Qualifying Encounter (10,604); Initial Population (10,535); Encounter With Hypoglycemic Medication Administration (10,535); Denominator (10,535); Encounter With Severe Hypoglycemic Harm Event (78); Severe Hypoglycemic Harm Event (78); Numerator (78); Glucose Test With Result Less Than 40 (78)</w:t>
            </w:r>
          </w:p>
        </w:tc>
      </w:tr>
      <w:tr>
        <w:tc>
          <w:tcPr>
            <w:tcW w:type="dxa" w:w="3405"/>
          </w:tcPr>
          <w:p>
            <w:pPr>
              <w:pStyle w:val="Compact"/>
              <w:spacing w:line="240" w:lineRule="auto" w:after="0"/>
              <w:jc w:val="left"/>
            </w:pPr>
            <w:r>
              <w:rPr>
                <w:sz w:val="18"/>
              </w:rPr>
              <w:t xml:space="preserve">Observation stays typed as inpatient (exploratory)</w:t>
            </w:r>
          </w:p>
        </w:tc>
        <w:tc>
          <w:tcPr>
            <w:tcW w:type="dxa" w:w="1054"/>
          </w:tcPr>
          <w:p>
            <w:pPr>
              <w:pStyle w:val="Compact"/>
              <w:spacing w:line="240" w:lineRule="auto" w:after="0"/>
              <w:jc w:val="left"/>
            </w:pPr>
            <w:r>
              <w:rPr>
                <w:sz w:val="18"/>
              </w:rPr>
              <w:t xml:space="preserve">CMS871</w:t>
            </w:r>
          </w:p>
        </w:tc>
        <w:tc>
          <w:tcPr>
            <w:tcW w:type="dxa" w:w="4901"/>
          </w:tcPr>
          <w:p>
            <w:pPr>
              <w:pStyle w:val="Compact"/>
              <w:spacing w:line="240" w:lineRule="auto" w:after="0"/>
              <w:jc w:val="left"/>
            </w:pPr>
            <w:r>
              <w:rPr>
                <w:sz w:val="18"/>
              </w:rPr>
              <w:t xml:space="preserve">Encounter with Hospitalization Period (16,385); Qualifying Encounter (16,385); Initial Population (16,324); Days with Hyperglycemic Events (16,324); Denominator (16,324); Days in Hospitalization (16,324); Days with Glucose Results (16,324); Measurement Population (16,324); Encounter with Existing Diabetes Diagnosis (13,554); Encounter with Hypoglycemic Medication (10,827); Encounter with Elevated Glucose Greater Than or Equal to 200 (6,301); Numerator (1,239)</w:t>
            </w:r>
          </w:p>
        </w:tc>
      </w:tr>
    </w:tbl>
    <w:p>
      <w:pPr>
        <w:pStyle w:val="BodyText"/>
      </w:pPr>
      <w:r>
        <w:rPr>
          <w:b/>
        </w:rPr>
        <w:t xml:space="preserve">Supplementary Table S5.</w:t>
      </w:r>
      <w:r>
        <w:t xml:space="preserve"> </w:t>
      </w:r>
      <w:r>
        <w:t xml:space="preserve">Source-data patterns behind the readiness problems in MIMIC-IV 3.1, admissions whose possible years lie within 2017–2019 and within 2020–2022 (registered persistence check; SQL only, no measure run). Bedside glucose: ICU items 225664 and 226537; laboratory glucose: items 50931 and 50809.</w:t>
      </w:r>
    </w:p>
    <w:tbl>
      <w:tblPr>
        <w:tblStyle w:val="Table"/>
        <w:tblW w:type="dxa" w:w="9360"/>
        <w:tblLook w:firstRow="1"/>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5454"/>
        <w:gridCol w:w="1952"/>
        <w:gridCol w:w="1952"/>
      </w:tblGrid>
      <w:tr>
        <w:trPr>
          <w:cnfStyle w:firstRow="1"/>
        </w:trPr>
        <w:tc>
          <w:tcPr>
            <w:tcW w:type="dxa" w:w="5455"/>
            <w:tcBorders>
              <w:bottom w:val="single"/>
            </w:tcBorders>
            <w:vAlign w:val="bottom"/>
          </w:tcPr>
          <w:p>
            <w:pPr>
              <w:pStyle w:val="Compact"/>
              <w:spacing w:line="240" w:lineRule="auto" w:after="0"/>
              <w:jc w:val="left"/>
            </w:pPr>
            <w:r>
              <w:rPr>
                <w:sz w:val="18"/>
              </w:rPr>
              <w:t xml:space="preserve">Pattern</w:t>
            </w:r>
          </w:p>
        </w:tc>
        <w:tc>
          <w:tcPr>
            <w:tcW w:type="dxa" w:w="1953"/>
            <w:tcBorders>
              <w:bottom w:val="single"/>
            </w:tcBorders>
            <w:vAlign w:val="bottom"/>
          </w:tcPr>
          <w:p>
            <w:pPr>
              <w:pStyle w:val="Compact"/>
              <w:spacing w:line="240" w:lineRule="auto" w:after="0"/>
              <w:jc w:val="right"/>
            </w:pPr>
            <w:r>
              <w:rPr>
                <w:sz w:val="18"/>
              </w:rPr>
              <w:t xml:space="preserve">2017–2019</w:t>
            </w:r>
          </w:p>
        </w:tc>
        <w:tc>
          <w:tcPr>
            <w:tcW w:type="dxa" w:w="1953"/>
            <w:tcBorders>
              <w:bottom w:val="single"/>
            </w:tcBorders>
            <w:vAlign w:val="bottom"/>
          </w:tcPr>
          <w:p>
            <w:pPr>
              <w:pStyle w:val="Compact"/>
              <w:spacing w:line="240" w:lineRule="auto" w:after="0"/>
              <w:jc w:val="right"/>
            </w:pPr>
            <w:r>
              <w:rPr>
                <w:sz w:val="18"/>
              </w:rPr>
              <w:t xml:space="preserve">2020–2022</w:t>
            </w:r>
          </w:p>
        </w:tc>
      </w:tr>
      <w:tr>
        <w:tc>
          <w:tcPr>
            <w:tcW w:type="dxa" w:w="5455"/>
          </w:tcPr>
          <w:p>
            <w:pPr>
              <w:pStyle w:val="Compact"/>
              <w:spacing w:line="240" w:lineRule="auto" w:after="0"/>
              <w:jc w:val="left"/>
            </w:pPr>
            <w:r>
              <w:rPr>
                <w:sz w:val="18"/>
              </w:rPr>
              <w:t xml:space="preserve">Admissions (COVID-19 admissions excluded)</w:t>
            </w:r>
          </w:p>
        </w:tc>
        <w:tc>
          <w:tcPr>
            <w:tcW w:type="dxa" w:w="1953"/>
          </w:tcPr>
          <w:p>
            <w:pPr>
              <w:pStyle w:val="Compact"/>
              <w:spacing w:line="240" w:lineRule="auto" w:after="0"/>
              <w:jc w:val="right"/>
            </w:pPr>
            <w:r>
              <w:rPr>
                <w:sz w:val="18"/>
              </w:rPr>
              <w:t xml:space="preserve">66,492</w:t>
            </w:r>
          </w:p>
        </w:tc>
        <w:tc>
          <w:tcPr>
            <w:tcW w:type="dxa" w:w="1953"/>
          </w:tcPr>
          <w:p>
            <w:pPr>
              <w:pStyle w:val="Compact"/>
              <w:spacing w:line="240" w:lineRule="auto" w:after="0"/>
              <w:jc w:val="right"/>
            </w:pPr>
            <w:r>
              <w:rPr>
                <w:sz w:val="18"/>
              </w:rPr>
              <w:t xml:space="preserve">71,213</w:t>
            </w:r>
          </w:p>
        </w:tc>
      </w:tr>
      <w:tr>
        <w:tc>
          <w:tcPr>
            <w:tcW w:type="dxa" w:w="5455"/>
          </w:tcPr>
          <w:p>
            <w:pPr>
              <w:pStyle w:val="Compact"/>
              <w:spacing w:line="240" w:lineRule="auto" w:after="0"/>
              <w:jc w:val="left"/>
            </w:pPr>
            <w:r>
              <w:rPr>
                <w:sz w:val="18"/>
              </w:rPr>
              <w:t xml:space="preserve">Observation-type admissions, %</w:t>
            </w:r>
          </w:p>
        </w:tc>
        <w:tc>
          <w:tcPr>
            <w:tcW w:type="dxa" w:w="1953"/>
          </w:tcPr>
          <w:p>
            <w:pPr>
              <w:pStyle w:val="Compact"/>
              <w:spacing w:line="240" w:lineRule="auto" w:after="0"/>
              <w:jc w:val="right"/>
            </w:pPr>
            <w:r>
              <w:rPr>
                <w:sz w:val="18"/>
              </w:rPr>
              <w:t xml:space="preserve">60.7</w:t>
            </w:r>
          </w:p>
        </w:tc>
        <w:tc>
          <w:tcPr>
            <w:tcW w:type="dxa" w:w="1953"/>
          </w:tcPr>
          <w:p>
            <w:pPr>
              <w:pStyle w:val="Compact"/>
              <w:spacing w:line="240" w:lineRule="auto" w:after="0"/>
              <w:jc w:val="right"/>
            </w:pPr>
            <w:r>
              <w:rPr>
                <w:sz w:val="18"/>
              </w:rPr>
              <w:t xml:space="preserve">58.2</w:t>
            </w:r>
          </w:p>
        </w:tc>
      </w:tr>
      <w:tr>
        <w:tc>
          <w:tcPr>
            <w:tcW w:type="dxa" w:w="5455"/>
          </w:tcPr>
          <w:p>
            <w:pPr>
              <w:pStyle w:val="Compact"/>
              <w:spacing w:line="240" w:lineRule="auto" w:after="0"/>
              <w:jc w:val="left"/>
            </w:pPr>
            <w:r>
              <w:rPr>
                <w:sz w:val="18"/>
              </w:rPr>
              <w:t xml:space="preserve">Admissions with an emergency-department stay</w:t>
            </w:r>
          </w:p>
        </w:tc>
        <w:tc>
          <w:tcPr>
            <w:tcW w:type="dxa" w:w="1953"/>
          </w:tcPr>
          <w:p>
            <w:pPr>
              <w:pStyle w:val="Compact"/>
              <w:spacing w:line="240" w:lineRule="auto" w:after="0"/>
              <w:jc w:val="right"/>
            </w:pPr>
            <w:r>
              <w:rPr>
                <w:sz w:val="18"/>
              </w:rPr>
              <w:t xml:space="preserve">46,482</w:t>
            </w:r>
          </w:p>
        </w:tc>
        <w:tc>
          <w:tcPr>
            <w:tcW w:type="dxa" w:w="1953"/>
          </w:tcPr>
          <w:p>
            <w:pPr>
              <w:pStyle w:val="Compact"/>
              <w:spacing w:line="240" w:lineRule="auto" w:after="0"/>
              <w:jc w:val="right"/>
            </w:pPr>
            <w:r>
              <w:rPr>
                <w:sz w:val="18"/>
              </w:rPr>
              <w:t xml:space="preserve">49,926</w:t>
            </w:r>
          </w:p>
        </w:tc>
      </w:tr>
      <w:tr>
        <w:tc>
          <w:tcPr>
            <w:tcW w:type="dxa" w:w="5455"/>
          </w:tcPr>
          <w:p>
            <w:pPr>
              <w:pStyle w:val="Compact"/>
              <w:spacing w:line="240" w:lineRule="auto" w:after="0"/>
              <w:jc w:val="left"/>
            </w:pPr>
            <w:r>
              <w:rPr>
                <w:sz w:val="18"/>
              </w:rPr>
              <w:t xml:space="preserve">Emergency-department stay ends after the admission time, % of those</w:t>
            </w:r>
          </w:p>
        </w:tc>
        <w:tc>
          <w:tcPr>
            <w:tcW w:type="dxa" w:w="1953"/>
          </w:tcPr>
          <w:p>
            <w:pPr>
              <w:pStyle w:val="Compact"/>
              <w:spacing w:line="240" w:lineRule="auto" w:after="0"/>
              <w:jc w:val="right"/>
            </w:pPr>
            <w:r>
              <w:rPr>
                <w:sz w:val="18"/>
              </w:rPr>
              <w:t xml:space="preserve">97.5</w:t>
            </w:r>
          </w:p>
        </w:tc>
        <w:tc>
          <w:tcPr>
            <w:tcW w:type="dxa" w:w="1953"/>
          </w:tcPr>
          <w:p>
            <w:pPr>
              <w:pStyle w:val="Compact"/>
              <w:spacing w:line="240" w:lineRule="auto" w:after="0"/>
              <w:jc w:val="right"/>
            </w:pPr>
            <w:r>
              <w:rPr>
                <w:sz w:val="18"/>
              </w:rPr>
              <w:t xml:space="preserve">96.4</w:t>
            </w:r>
          </w:p>
        </w:tc>
      </w:tr>
      <w:tr>
        <w:tc>
          <w:tcPr>
            <w:tcW w:type="dxa" w:w="5455"/>
          </w:tcPr>
          <w:p>
            <w:pPr>
              <w:pStyle w:val="Compact"/>
              <w:spacing w:line="240" w:lineRule="auto" w:after="0"/>
              <w:jc w:val="left"/>
            </w:pPr>
            <w:r>
              <w:rPr>
                <w:sz w:val="18"/>
              </w:rPr>
              <w:t xml:space="preserve">Laboratory glucose results</w:t>
            </w:r>
          </w:p>
        </w:tc>
        <w:tc>
          <w:tcPr>
            <w:tcW w:type="dxa" w:w="1953"/>
          </w:tcPr>
          <w:p>
            <w:pPr>
              <w:pStyle w:val="Compact"/>
              <w:spacing w:line="240" w:lineRule="auto" w:after="0"/>
              <w:jc w:val="right"/>
            </w:pPr>
            <w:r>
              <w:rPr>
                <w:sz w:val="18"/>
              </w:rPr>
              <w:t xml:space="preserve">407,436</w:t>
            </w:r>
          </w:p>
        </w:tc>
        <w:tc>
          <w:tcPr>
            <w:tcW w:type="dxa" w:w="1953"/>
          </w:tcPr>
          <w:p>
            <w:pPr>
              <w:pStyle w:val="Compact"/>
              <w:spacing w:line="240" w:lineRule="auto" w:after="0"/>
              <w:jc w:val="right"/>
            </w:pPr>
            <w:r>
              <w:rPr>
                <w:sz w:val="18"/>
              </w:rPr>
              <w:t xml:space="preserve">472,425</w:t>
            </w:r>
          </w:p>
        </w:tc>
      </w:tr>
      <w:tr>
        <w:tc>
          <w:tcPr>
            <w:tcW w:type="dxa" w:w="5455"/>
          </w:tcPr>
          <w:p>
            <w:pPr>
              <w:pStyle w:val="Compact"/>
              <w:spacing w:line="240" w:lineRule="auto" w:after="0"/>
              <w:jc w:val="left"/>
            </w:pPr>
            <w:r>
              <w:rPr>
                <w:sz w:val="18"/>
              </w:rPr>
              <w:t xml:space="preserve">Laboratory glucose results in mg/dL, %</w:t>
            </w:r>
          </w:p>
        </w:tc>
        <w:tc>
          <w:tcPr>
            <w:tcW w:type="dxa" w:w="1953"/>
          </w:tcPr>
          <w:p>
            <w:pPr>
              <w:pStyle w:val="Compact"/>
              <w:spacing w:line="240" w:lineRule="auto" w:after="0"/>
              <w:jc w:val="right"/>
            </w:pPr>
            <w:r>
              <w:rPr>
                <w:sz w:val="18"/>
              </w:rPr>
              <w:t xml:space="preserve">100.0</w:t>
            </w:r>
          </w:p>
        </w:tc>
        <w:tc>
          <w:tcPr>
            <w:tcW w:type="dxa" w:w="1953"/>
          </w:tcPr>
          <w:p>
            <w:pPr>
              <w:pStyle w:val="Compact"/>
              <w:spacing w:line="240" w:lineRule="auto" w:after="0"/>
              <w:jc w:val="right"/>
            </w:pPr>
            <w:r>
              <w:rPr>
                <w:sz w:val="18"/>
              </w:rPr>
              <w:t xml:space="preserve">100.0</w:t>
            </w:r>
          </w:p>
        </w:tc>
      </w:tr>
      <w:tr>
        <w:tc>
          <w:tcPr>
            <w:tcW w:type="dxa" w:w="5455"/>
          </w:tcPr>
          <w:p>
            <w:pPr>
              <w:pStyle w:val="Compact"/>
              <w:spacing w:line="240" w:lineRule="auto" w:after="0"/>
              <w:jc w:val="left"/>
            </w:pPr>
            <w:r>
              <w:rPr>
                <w:sz w:val="18"/>
              </w:rPr>
              <w:t xml:space="preserve">Bedside (ICU) glucose results with a numeric value</w:t>
            </w:r>
          </w:p>
        </w:tc>
        <w:tc>
          <w:tcPr>
            <w:tcW w:type="dxa" w:w="1953"/>
          </w:tcPr>
          <w:p>
            <w:pPr>
              <w:pStyle w:val="Compact"/>
              <w:spacing w:line="240" w:lineRule="auto" w:after="0"/>
              <w:jc w:val="right"/>
            </w:pPr>
            <w:r>
              <w:rPr>
                <w:sz w:val="18"/>
              </w:rPr>
              <w:t xml:space="preserve">215,764</w:t>
            </w:r>
          </w:p>
        </w:tc>
        <w:tc>
          <w:tcPr>
            <w:tcW w:type="dxa" w:w="1953"/>
          </w:tcPr>
          <w:p>
            <w:pPr>
              <w:pStyle w:val="Compact"/>
              <w:spacing w:line="240" w:lineRule="auto" w:after="0"/>
              <w:jc w:val="right"/>
            </w:pPr>
            <w:r>
              <w:rPr>
                <w:sz w:val="18"/>
              </w:rPr>
              <w:t xml:space="preserve">192,846</w:t>
            </w:r>
          </w:p>
        </w:tc>
      </w:tr>
      <w:tr>
        <w:tc>
          <w:tcPr>
            <w:tcW w:type="dxa" w:w="5455"/>
          </w:tcPr>
          <w:p>
            <w:pPr>
              <w:pStyle w:val="Compact"/>
              <w:spacing w:line="240" w:lineRule="auto" w:after="0"/>
              <w:jc w:val="left"/>
            </w:pPr>
            <w:r>
              <w:rPr>
                <w:sz w:val="18"/>
              </w:rPr>
              <w:t xml:space="preserve">Bedside glucose results without a unit, %</w:t>
            </w:r>
          </w:p>
        </w:tc>
        <w:tc>
          <w:tcPr>
            <w:tcW w:type="dxa" w:w="1953"/>
          </w:tcPr>
          <w:p>
            <w:pPr>
              <w:pStyle w:val="Compact"/>
              <w:spacing w:line="240" w:lineRule="auto" w:after="0"/>
              <w:jc w:val="right"/>
            </w:pPr>
            <w:r>
              <w:rPr>
                <w:sz w:val="18"/>
              </w:rPr>
              <w:t xml:space="preserve">84.81</w:t>
            </w:r>
          </w:p>
        </w:tc>
        <w:tc>
          <w:tcPr>
            <w:tcW w:type="dxa" w:w="1953"/>
          </w:tcPr>
          <w:p>
            <w:pPr>
              <w:pStyle w:val="Compact"/>
              <w:spacing w:line="240" w:lineRule="auto" w:after="0"/>
              <w:jc w:val="right"/>
            </w:pPr>
            <w:r>
              <w:rPr>
                <w:sz w:val="18"/>
              </w:rPr>
              <w:t xml:space="preserve">82.45</w:t>
            </w:r>
          </w:p>
        </w:tc>
      </w:tr>
    </w:tbl>
    <w:p>
      <w:pPr>
        <w:pStyle w:val="BodyText"/>
      </w:pPr>
      <w:r>
        <w:rPr>
          <w:b/>
        </w:rPr>
        <w:t xml:space="preserve">Supplementary Table S6.</w:t>
      </w:r>
      <w:r>
        <w:t xml:space="preserve"> </w:t>
      </w:r>
      <w:r>
        <w:t xml:space="preserve">Model-proposed medication mapping (mapping d) against the reviewer, first audit round. The model (gpt-oss-120b, run in the author’s own cloud account with invocation logging off) answered the same question as the reviewer for each worklist entry, choosing only among RxNorm candidates, without seeing the reviewer’s decisions.</w:t>
      </w:r>
      <w:r>
        <w:t xml:space="preserve"> </w:t>
      </w:r>
      <w:r>
        <w:t xml:space="preserve">“</w:t>
      </w:r>
      <w:r>
        <w:t xml:space="preserve">Same decision for the measures</w:t>
      </w:r>
      <w:r>
        <w:t xml:space="preserve">”</w:t>
      </w:r>
      <w:r>
        <w:t xml:space="preserve">: both excluded the entry, or both included it with the same CMS816 and CMS871 value-set membership (for mixtures, the same keep or drop). Counts are of medication codes, not patients.</w:t>
      </w:r>
    </w:p>
    <w:tbl>
      <w:tblPr>
        <w:tblStyle w:val="Table"/>
        <w:tblW w:type="dxa" w:w="9360"/>
        <w:tblLook w:firstRow="1"/>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2977"/>
        <w:gridCol w:w="1054"/>
        <w:gridCol w:w="1163"/>
        <w:gridCol w:w="1163"/>
        <w:gridCol w:w="835"/>
        <w:gridCol w:w="835"/>
        <w:gridCol w:w="1331"/>
      </w:tblGrid>
      <w:tr>
        <w:trPr>
          <w:cnfStyle w:firstRow="1"/>
        </w:trPr>
        <w:tc>
          <w:tcPr>
            <w:tcW w:type="dxa" w:w="2977"/>
            <w:tcBorders>
              <w:bottom w:val="single"/>
            </w:tcBorders>
            <w:vAlign w:val="bottom"/>
          </w:tcPr>
          <w:p>
            <w:pPr>
              <w:pStyle w:val="Compact"/>
              <w:spacing w:line="240" w:lineRule="auto" w:after="0"/>
              <w:jc w:val="left"/>
            </w:pPr>
            <w:r>
              <w:rPr>
                <w:sz w:val="18"/>
              </w:rPr>
              <w:t xml:space="preserve">Entry type</w:t>
            </w:r>
          </w:p>
        </w:tc>
        <w:tc>
          <w:tcPr>
            <w:tcW w:type="dxa" w:w="1054"/>
            <w:tcBorders>
              <w:bottom w:val="single"/>
            </w:tcBorders>
            <w:vAlign w:val="bottom"/>
          </w:tcPr>
          <w:p>
            <w:pPr>
              <w:pStyle w:val="Compact"/>
              <w:spacing w:line="240" w:lineRule="auto" w:after="0"/>
              <w:jc w:val="right"/>
            </w:pPr>
            <w:r>
              <w:rPr>
                <w:sz w:val="18"/>
              </w:rPr>
              <w:t xml:space="preserve">Entries</w:t>
            </w:r>
          </w:p>
        </w:tc>
        <w:tc>
          <w:tcPr>
            <w:tcW w:type="dxa" w:w="1164"/>
            <w:tcBorders>
              <w:bottom w:val="single"/>
            </w:tcBorders>
            <w:vAlign w:val="bottom"/>
          </w:tcPr>
          <w:p>
            <w:pPr>
              <w:pStyle w:val="Compact"/>
              <w:spacing w:line="240" w:lineRule="auto" w:after="0"/>
              <w:jc w:val="right"/>
            </w:pPr>
            <w:r>
              <w:rPr>
                <w:sz w:val="18"/>
              </w:rPr>
              <w:t xml:space="preserve">Reviewer included</w:t>
            </w:r>
          </w:p>
        </w:tc>
        <w:tc>
          <w:tcPr>
            <w:tcW w:type="dxa" w:w="1164"/>
            <w:tcBorders>
              <w:bottom w:val="single"/>
            </w:tcBorders>
            <w:vAlign w:val="bottom"/>
          </w:tcPr>
          <w:p>
            <w:pPr>
              <w:pStyle w:val="Compact"/>
              <w:spacing w:line="240" w:lineRule="auto" w:after="0"/>
              <w:jc w:val="right"/>
            </w:pPr>
            <w:r>
              <w:rPr>
                <w:sz w:val="18"/>
              </w:rPr>
              <w:t xml:space="preserve">Model also included</w:t>
            </w:r>
          </w:p>
        </w:tc>
        <w:tc>
          <w:tcPr>
            <w:tcW w:type="dxa" w:w="835"/>
            <w:tcBorders>
              <w:bottom w:val="single"/>
            </w:tcBorders>
            <w:vAlign w:val="bottom"/>
          </w:tcPr>
          <w:p>
            <w:pPr>
              <w:pStyle w:val="Compact"/>
              <w:spacing w:line="240" w:lineRule="auto" w:after="0"/>
              <w:jc w:val="right"/>
            </w:pPr>
            <w:r>
              <w:rPr>
                <w:sz w:val="18"/>
              </w:rPr>
              <w:t xml:space="preserve">Model left out</w:t>
            </w:r>
          </w:p>
        </w:tc>
        <w:tc>
          <w:tcPr>
            <w:tcW w:type="dxa" w:w="835"/>
            <w:tcBorders>
              <w:bottom w:val="single"/>
            </w:tcBorders>
            <w:vAlign w:val="bottom"/>
          </w:tcPr>
          <w:p>
            <w:pPr>
              <w:pStyle w:val="Compact"/>
              <w:spacing w:line="240" w:lineRule="auto" w:after="0"/>
              <w:jc w:val="right"/>
            </w:pPr>
            <w:r>
              <w:rPr>
                <w:sz w:val="18"/>
              </w:rPr>
              <w:t xml:space="preserve">Model added</w:t>
            </w:r>
          </w:p>
        </w:tc>
        <w:tc>
          <w:tcPr>
            <w:tcW w:type="dxa" w:w="1331"/>
            <w:tcBorders>
              <w:bottom w:val="single"/>
            </w:tcBorders>
            <w:vAlign w:val="bottom"/>
          </w:tcPr>
          <w:p>
            <w:pPr>
              <w:pStyle w:val="Compact"/>
              <w:spacing w:line="240" w:lineRule="auto" w:after="0"/>
              <w:jc w:val="right"/>
            </w:pPr>
            <w:r>
              <w:rPr>
                <w:sz w:val="18"/>
              </w:rPr>
              <w:t xml:space="preserve">Same decision for the measures (%)</w:t>
            </w:r>
          </w:p>
        </w:tc>
      </w:tr>
      <w:tr>
        <w:tc>
          <w:tcPr>
            <w:tcW w:type="dxa" w:w="2977"/>
          </w:tcPr>
          <w:p>
            <w:pPr>
              <w:pStyle w:val="Compact"/>
              <w:spacing w:line="240" w:lineRule="auto" w:after="0"/>
              <w:jc w:val="left"/>
            </w:pPr>
            <w:r>
              <w:rPr>
                <w:sz w:val="18"/>
              </w:rPr>
              <w:t xml:space="preserve">Excluded codes, high volume (audit round 1)</w:t>
            </w:r>
          </w:p>
        </w:tc>
        <w:tc>
          <w:tcPr>
            <w:tcW w:type="dxa" w:w="1054"/>
          </w:tcPr>
          <w:p>
            <w:pPr>
              <w:pStyle w:val="Compact"/>
              <w:spacing w:line="240" w:lineRule="auto" w:after="0"/>
              <w:jc w:val="right"/>
            </w:pPr>
            <w:r>
              <w:rPr>
                <w:sz w:val="18"/>
              </w:rPr>
              <w:t xml:space="preserve">671</w:t>
            </w:r>
          </w:p>
        </w:tc>
        <w:tc>
          <w:tcPr>
            <w:tcW w:type="dxa" w:w="1164"/>
          </w:tcPr>
          <w:p>
            <w:pPr>
              <w:pStyle w:val="Compact"/>
              <w:spacing w:line="240" w:lineRule="auto" w:after="0"/>
              <w:jc w:val="right"/>
            </w:pPr>
            <w:r>
              <w:rPr>
                <w:sz w:val="18"/>
              </w:rPr>
              <w:t xml:space="preserve">0</w:t>
            </w:r>
          </w:p>
        </w:tc>
        <w:tc>
          <w:tcPr>
            <w:tcW w:type="dxa" w:w="1164"/>
          </w:tcPr>
          <w:p>
            <w:pPr>
              <w:pStyle w:val="Compact"/>
              <w:spacing w:line="240" w:lineRule="auto" w:after="0"/>
              <w:jc w:val="right"/>
            </w:pPr>
            <w:r>
              <w:rPr>
                <w:sz w:val="18"/>
              </w:rPr>
              <w:t xml:space="preserve">0</w:t>
            </w:r>
          </w:p>
        </w:tc>
        <w:tc>
          <w:tcPr>
            <w:tcW w:type="dxa" w:w="835"/>
          </w:tcPr>
          <w:p>
            <w:pPr>
              <w:pStyle w:val="Compact"/>
              <w:spacing w:line="240" w:lineRule="auto" w:after="0"/>
              <w:jc w:val="right"/>
            </w:pPr>
            <w:r>
              <w:rPr>
                <w:sz w:val="18"/>
              </w:rPr>
              <w:t xml:space="preserve">0</w:t>
            </w:r>
          </w:p>
        </w:tc>
        <w:tc>
          <w:tcPr>
            <w:tcW w:type="dxa" w:w="835"/>
          </w:tcPr>
          <w:p>
            <w:pPr>
              <w:pStyle w:val="Compact"/>
              <w:spacing w:line="240" w:lineRule="auto" w:after="0"/>
              <w:jc w:val="right"/>
            </w:pPr>
            <w:r>
              <w:rPr>
                <w:sz w:val="18"/>
              </w:rPr>
              <w:t xml:space="preserve">9</w:t>
            </w:r>
          </w:p>
        </w:tc>
        <w:tc>
          <w:tcPr>
            <w:tcW w:type="dxa" w:w="1331"/>
          </w:tcPr>
          <w:p>
            <w:pPr>
              <w:pStyle w:val="Compact"/>
              <w:spacing w:line="240" w:lineRule="auto" w:after="0"/>
              <w:jc w:val="right"/>
            </w:pPr>
            <w:r>
              <w:rPr>
                <w:sz w:val="18"/>
              </w:rPr>
              <w:t xml:space="preserve">662 (98.7)</w:t>
            </w:r>
          </w:p>
        </w:tc>
      </w:tr>
      <w:tr>
        <w:tc>
          <w:tcPr>
            <w:tcW w:type="dxa" w:w="2977"/>
          </w:tcPr>
          <w:p>
            <w:pPr>
              <w:pStyle w:val="Compact"/>
              <w:spacing w:line="240" w:lineRule="auto" w:after="0"/>
              <w:jc w:val="left"/>
            </w:pPr>
            <w:r>
              <w:rPr>
                <w:sz w:val="18"/>
              </w:rPr>
              <w:t xml:space="preserve">Excluded codes, random low-volume sample (audit round 1)</w:t>
            </w:r>
          </w:p>
        </w:tc>
        <w:tc>
          <w:tcPr>
            <w:tcW w:type="dxa" w:w="1054"/>
          </w:tcPr>
          <w:p>
            <w:pPr>
              <w:pStyle w:val="Compact"/>
              <w:spacing w:line="240" w:lineRule="auto" w:after="0"/>
              <w:jc w:val="right"/>
            </w:pPr>
            <w:r>
              <w:rPr>
                <w:sz w:val="18"/>
              </w:rPr>
              <w:t xml:space="preserve">300</w:t>
            </w:r>
          </w:p>
        </w:tc>
        <w:tc>
          <w:tcPr>
            <w:tcW w:type="dxa" w:w="1164"/>
          </w:tcPr>
          <w:p>
            <w:pPr>
              <w:pStyle w:val="Compact"/>
              <w:spacing w:line="240" w:lineRule="auto" w:after="0"/>
              <w:jc w:val="right"/>
            </w:pPr>
            <w:r>
              <w:rPr>
                <w:sz w:val="18"/>
              </w:rPr>
              <w:t xml:space="preserve">0</w:t>
            </w:r>
          </w:p>
        </w:tc>
        <w:tc>
          <w:tcPr>
            <w:tcW w:type="dxa" w:w="1164"/>
          </w:tcPr>
          <w:p>
            <w:pPr>
              <w:pStyle w:val="Compact"/>
              <w:spacing w:line="240" w:lineRule="auto" w:after="0"/>
              <w:jc w:val="right"/>
            </w:pPr>
            <w:r>
              <w:rPr>
                <w:sz w:val="18"/>
              </w:rPr>
              <w:t xml:space="preserve">0</w:t>
            </w:r>
          </w:p>
        </w:tc>
        <w:tc>
          <w:tcPr>
            <w:tcW w:type="dxa" w:w="835"/>
          </w:tcPr>
          <w:p>
            <w:pPr>
              <w:pStyle w:val="Compact"/>
              <w:spacing w:line="240" w:lineRule="auto" w:after="0"/>
              <w:jc w:val="right"/>
            </w:pPr>
            <w:r>
              <w:rPr>
                <w:sz w:val="18"/>
              </w:rPr>
              <w:t xml:space="preserve">0</w:t>
            </w:r>
          </w:p>
        </w:tc>
        <w:tc>
          <w:tcPr>
            <w:tcW w:type="dxa" w:w="835"/>
          </w:tcPr>
          <w:p>
            <w:pPr>
              <w:pStyle w:val="Compact"/>
              <w:spacing w:line="240" w:lineRule="auto" w:after="0"/>
              <w:jc w:val="right"/>
            </w:pPr>
            <w:r>
              <w:rPr>
                <w:sz w:val="18"/>
              </w:rPr>
              <w:t xml:space="preserve">1</w:t>
            </w:r>
          </w:p>
        </w:tc>
        <w:tc>
          <w:tcPr>
            <w:tcW w:type="dxa" w:w="1331"/>
          </w:tcPr>
          <w:p>
            <w:pPr>
              <w:pStyle w:val="Compact"/>
              <w:spacing w:line="240" w:lineRule="auto" w:after="0"/>
              <w:jc w:val="right"/>
            </w:pPr>
            <w:r>
              <w:rPr>
                <w:sz w:val="18"/>
              </w:rPr>
              <w:t xml:space="preserve">299 (99.7)</w:t>
            </w:r>
          </w:p>
        </w:tc>
      </w:tr>
      <w:tr>
        <w:tc>
          <w:tcPr>
            <w:tcW w:type="dxa" w:w="2977"/>
          </w:tcPr>
          <w:p>
            <w:pPr>
              <w:pStyle w:val="Compact"/>
              <w:spacing w:line="240" w:lineRule="auto" w:after="0"/>
              <w:jc w:val="left"/>
            </w:pPr>
            <w:r>
              <w:rPr>
                <w:sz w:val="18"/>
              </w:rPr>
              <w:t xml:space="preserve">Product code (NDC) not mapped</w:t>
            </w:r>
          </w:p>
        </w:tc>
        <w:tc>
          <w:tcPr>
            <w:tcW w:type="dxa" w:w="1054"/>
          </w:tcPr>
          <w:p>
            <w:pPr>
              <w:pStyle w:val="Compact"/>
              <w:spacing w:line="240" w:lineRule="auto" w:after="0"/>
              <w:jc w:val="right"/>
            </w:pPr>
            <w:r>
              <w:rPr>
                <w:sz w:val="18"/>
              </w:rPr>
              <w:t xml:space="preserve">103</w:t>
            </w:r>
          </w:p>
        </w:tc>
        <w:tc>
          <w:tcPr>
            <w:tcW w:type="dxa" w:w="1164"/>
          </w:tcPr>
          <w:p>
            <w:pPr>
              <w:pStyle w:val="Compact"/>
              <w:spacing w:line="240" w:lineRule="auto" w:after="0"/>
              <w:jc w:val="right"/>
            </w:pPr>
            <w:r>
              <w:rPr>
                <w:sz w:val="18"/>
              </w:rPr>
              <w:t xml:space="preserve">83</w:t>
            </w:r>
          </w:p>
        </w:tc>
        <w:tc>
          <w:tcPr>
            <w:tcW w:type="dxa" w:w="1164"/>
          </w:tcPr>
          <w:p>
            <w:pPr>
              <w:pStyle w:val="Compact"/>
              <w:spacing w:line="240" w:lineRule="auto" w:after="0"/>
              <w:jc w:val="right"/>
            </w:pPr>
            <w:r>
              <w:rPr>
                <w:sz w:val="18"/>
              </w:rPr>
              <w:t xml:space="preserve">52</w:t>
            </w:r>
          </w:p>
        </w:tc>
        <w:tc>
          <w:tcPr>
            <w:tcW w:type="dxa" w:w="835"/>
          </w:tcPr>
          <w:p>
            <w:pPr>
              <w:pStyle w:val="Compact"/>
              <w:spacing w:line="240" w:lineRule="auto" w:after="0"/>
              <w:jc w:val="right"/>
            </w:pPr>
            <w:r>
              <w:rPr>
                <w:sz w:val="18"/>
              </w:rPr>
              <w:t xml:space="preserve">31</w:t>
            </w:r>
          </w:p>
        </w:tc>
        <w:tc>
          <w:tcPr>
            <w:tcW w:type="dxa" w:w="835"/>
          </w:tcPr>
          <w:p>
            <w:pPr>
              <w:pStyle w:val="Compact"/>
              <w:spacing w:line="240" w:lineRule="auto" w:after="0"/>
              <w:jc w:val="right"/>
            </w:pPr>
            <w:r>
              <w:rPr>
                <w:sz w:val="18"/>
              </w:rPr>
              <w:t xml:space="preserve">20</w:t>
            </w:r>
          </w:p>
        </w:tc>
        <w:tc>
          <w:tcPr>
            <w:tcW w:type="dxa" w:w="1331"/>
          </w:tcPr>
          <w:p>
            <w:pPr>
              <w:pStyle w:val="Compact"/>
              <w:spacing w:line="240" w:lineRule="auto" w:after="0"/>
              <w:jc w:val="right"/>
            </w:pPr>
            <w:r>
              <w:rPr>
                <w:sz w:val="18"/>
              </w:rPr>
              <w:t xml:space="preserve">45 (43.7)</w:t>
            </w:r>
          </w:p>
        </w:tc>
      </w:tr>
      <w:tr>
        <w:tc>
          <w:tcPr>
            <w:tcW w:type="dxa" w:w="2977"/>
          </w:tcPr>
          <w:p>
            <w:pPr>
              <w:pStyle w:val="Compact"/>
              <w:spacing w:line="240" w:lineRule="auto" w:after="0"/>
              <w:jc w:val="left"/>
            </w:pPr>
            <w:r>
              <w:rPr>
                <w:sz w:val="18"/>
              </w:rPr>
              <w:t xml:space="preserve">No product code</w:t>
            </w:r>
          </w:p>
        </w:tc>
        <w:tc>
          <w:tcPr>
            <w:tcW w:type="dxa" w:w="1054"/>
          </w:tcPr>
          <w:p>
            <w:pPr>
              <w:pStyle w:val="Compact"/>
              <w:spacing w:line="240" w:lineRule="auto" w:after="0"/>
              <w:jc w:val="right"/>
            </w:pPr>
            <w:r>
              <w:rPr>
                <w:sz w:val="18"/>
              </w:rPr>
              <w:t xml:space="preserve">282</w:t>
            </w:r>
          </w:p>
        </w:tc>
        <w:tc>
          <w:tcPr>
            <w:tcW w:type="dxa" w:w="1164"/>
          </w:tcPr>
          <w:p>
            <w:pPr>
              <w:pStyle w:val="Compact"/>
              <w:spacing w:line="240" w:lineRule="auto" w:after="0"/>
              <w:jc w:val="right"/>
            </w:pPr>
            <w:r>
              <w:rPr>
                <w:sz w:val="18"/>
              </w:rPr>
              <w:t xml:space="preserve">196</w:t>
            </w:r>
          </w:p>
        </w:tc>
        <w:tc>
          <w:tcPr>
            <w:tcW w:type="dxa" w:w="1164"/>
          </w:tcPr>
          <w:p>
            <w:pPr>
              <w:pStyle w:val="Compact"/>
              <w:spacing w:line="240" w:lineRule="auto" w:after="0"/>
              <w:jc w:val="right"/>
            </w:pPr>
            <w:r>
              <w:rPr>
                <w:sz w:val="18"/>
              </w:rPr>
              <w:t xml:space="preserve">193</w:t>
            </w:r>
          </w:p>
        </w:tc>
        <w:tc>
          <w:tcPr>
            <w:tcW w:type="dxa" w:w="835"/>
          </w:tcPr>
          <w:p>
            <w:pPr>
              <w:pStyle w:val="Compact"/>
              <w:spacing w:line="240" w:lineRule="auto" w:after="0"/>
              <w:jc w:val="right"/>
            </w:pPr>
            <w:r>
              <w:rPr>
                <w:sz w:val="18"/>
              </w:rPr>
              <w:t xml:space="preserve">3</w:t>
            </w:r>
          </w:p>
        </w:tc>
        <w:tc>
          <w:tcPr>
            <w:tcW w:type="dxa" w:w="835"/>
          </w:tcPr>
          <w:p>
            <w:pPr>
              <w:pStyle w:val="Compact"/>
              <w:spacing w:line="240" w:lineRule="auto" w:after="0"/>
              <w:jc w:val="right"/>
            </w:pPr>
            <w:r>
              <w:rPr>
                <w:sz w:val="18"/>
              </w:rPr>
              <w:t xml:space="preserve">84</w:t>
            </w:r>
          </w:p>
        </w:tc>
        <w:tc>
          <w:tcPr>
            <w:tcW w:type="dxa" w:w="1331"/>
          </w:tcPr>
          <w:p>
            <w:pPr>
              <w:pStyle w:val="Compact"/>
              <w:spacing w:line="240" w:lineRule="auto" w:after="0"/>
              <w:jc w:val="right"/>
            </w:pPr>
            <w:r>
              <w:rPr>
                <w:sz w:val="18"/>
              </w:rPr>
              <w:t xml:space="preserve">177 (62.8)</w:t>
            </w:r>
          </w:p>
        </w:tc>
      </w:tr>
      <w:tr>
        <w:tc>
          <w:tcPr>
            <w:tcW w:type="dxa" w:w="2977"/>
          </w:tcPr>
          <w:p>
            <w:pPr>
              <w:pStyle w:val="Compact"/>
              <w:spacing w:line="240" w:lineRule="auto" w:after="0"/>
              <w:jc w:val="left"/>
            </w:pPr>
            <w:r>
              <w:rPr>
                <w:sz w:val="18"/>
              </w:rPr>
              <w:t xml:space="preserve">Mixture containing a value-set drug</w:t>
            </w:r>
          </w:p>
        </w:tc>
        <w:tc>
          <w:tcPr>
            <w:tcW w:type="dxa" w:w="1054"/>
          </w:tcPr>
          <w:p>
            <w:pPr>
              <w:pStyle w:val="Compact"/>
              <w:spacing w:line="240" w:lineRule="auto" w:after="0"/>
              <w:jc w:val="right"/>
            </w:pPr>
            <w:r>
              <w:rPr>
                <w:sz w:val="18"/>
              </w:rPr>
              <w:t xml:space="preserve">54</w:t>
            </w:r>
          </w:p>
        </w:tc>
        <w:tc>
          <w:tcPr>
            <w:tcW w:type="dxa" w:w="1164"/>
          </w:tcPr>
          <w:p>
            <w:pPr>
              <w:pStyle w:val="Compact"/>
              <w:spacing w:line="240" w:lineRule="auto" w:after="0"/>
              <w:jc w:val="right"/>
            </w:pPr>
            <w:r>
              <w:rPr>
                <w:sz w:val="18"/>
              </w:rPr>
              <w:t xml:space="preserve">30</w:t>
            </w:r>
          </w:p>
        </w:tc>
        <w:tc>
          <w:tcPr>
            <w:tcW w:type="dxa" w:w="1164"/>
          </w:tcPr>
          <w:p>
            <w:pPr>
              <w:pStyle w:val="Compact"/>
              <w:spacing w:line="240" w:lineRule="auto" w:after="0"/>
              <w:jc w:val="right"/>
            </w:pPr>
            <w:r>
              <w:rPr>
                <w:sz w:val="18"/>
              </w:rPr>
              <w:t xml:space="preserve">30</w:t>
            </w:r>
          </w:p>
        </w:tc>
        <w:tc>
          <w:tcPr>
            <w:tcW w:type="dxa" w:w="835"/>
          </w:tcPr>
          <w:p>
            <w:pPr>
              <w:pStyle w:val="Compact"/>
              <w:spacing w:line="240" w:lineRule="auto" w:after="0"/>
              <w:jc w:val="right"/>
            </w:pPr>
            <w:r>
              <w:rPr>
                <w:sz w:val="18"/>
              </w:rPr>
              <w:t xml:space="preserve">0</w:t>
            </w:r>
          </w:p>
        </w:tc>
        <w:tc>
          <w:tcPr>
            <w:tcW w:type="dxa" w:w="835"/>
          </w:tcPr>
          <w:p>
            <w:pPr>
              <w:pStyle w:val="Compact"/>
              <w:spacing w:line="240" w:lineRule="auto" w:after="0"/>
              <w:jc w:val="right"/>
            </w:pPr>
            <w:r>
              <w:rPr>
                <w:sz w:val="18"/>
              </w:rPr>
              <w:t xml:space="preserve">24</w:t>
            </w:r>
          </w:p>
        </w:tc>
        <w:tc>
          <w:tcPr>
            <w:tcW w:type="dxa" w:w="1331"/>
          </w:tcPr>
          <w:p>
            <w:pPr>
              <w:pStyle w:val="Compact"/>
              <w:spacing w:line="240" w:lineRule="auto" w:after="0"/>
              <w:jc w:val="right"/>
            </w:pPr>
            <w:r>
              <w:rPr>
                <w:sz w:val="18"/>
              </w:rPr>
              <w:t xml:space="preserve">30 (55.6)</w:t>
            </w:r>
          </w:p>
        </w:tc>
      </w:tr>
      <w:tr>
        <w:tc>
          <w:tcPr>
            <w:tcW w:type="dxa" w:w="2977"/>
          </w:tcPr>
          <w:p>
            <w:pPr>
              <w:pStyle w:val="Compact"/>
              <w:spacing w:line="240" w:lineRule="auto" w:after="0"/>
              <w:jc w:val="left"/>
            </w:pPr>
            <w:r>
              <w:rPr>
                <w:sz w:val="18"/>
              </w:rPr>
              <w:t xml:space="preserve">ICU infusion item</w:t>
            </w:r>
          </w:p>
        </w:tc>
        <w:tc>
          <w:tcPr>
            <w:tcW w:type="dxa" w:w="1054"/>
          </w:tcPr>
          <w:p>
            <w:pPr>
              <w:pStyle w:val="Compact"/>
              <w:spacing w:line="240" w:lineRule="auto" w:after="0"/>
              <w:jc w:val="right"/>
            </w:pPr>
            <w:r>
              <w:rPr>
                <w:sz w:val="18"/>
              </w:rPr>
              <w:t xml:space="preserve">8</w:t>
            </w:r>
          </w:p>
        </w:tc>
        <w:tc>
          <w:tcPr>
            <w:tcW w:type="dxa" w:w="1164"/>
          </w:tcPr>
          <w:p>
            <w:pPr>
              <w:pStyle w:val="Compact"/>
              <w:spacing w:line="240" w:lineRule="auto" w:after="0"/>
              <w:jc w:val="right"/>
            </w:pPr>
            <w:r>
              <w:rPr>
                <w:sz w:val="18"/>
              </w:rPr>
              <w:t xml:space="preserve">8</w:t>
            </w:r>
          </w:p>
        </w:tc>
        <w:tc>
          <w:tcPr>
            <w:tcW w:type="dxa" w:w="1164"/>
          </w:tcPr>
          <w:p>
            <w:pPr>
              <w:pStyle w:val="Compact"/>
              <w:spacing w:line="240" w:lineRule="auto" w:after="0"/>
              <w:jc w:val="right"/>
            </w:pPr>
            <w:r>
              <w:rPr>
                <w:sz w:val="18"/>
              </w:rPr>
              <w:t xml:space="preserve">8</w:t>
            </w:r>
          </w:p>
        </w:tc>
        <w:tc>
          <w:tcPr>
            <w:tcW w:type="dxa" w:w="835"/>
          </w:tcPr>
          <w:p>
            <w:pPr>
              <w:pStyle w:val="Compact"/>
              <w:spacing w:line="240" w:lineRule="auto" w:after="0"/>
              <w:jc w:val="right"/>
            </w:pPr>
            <w:r>
              <w:rPr>
                <w:sz w:val="18"/>
              </w:rPr>
              <w:t xml:space="preserve">0</w:t>
            </w:r>
          </w:p>
        </w:tc>
        <w:tc>
          <w:tcPr>
            <w:tcW w:type="dxa" w:w="835"/>
          </w:tcPr>
          <w:p>
            <w:pPr>
              <w:pStyle w:val="Compact"/>
              <w:spacing w:line="240" w:lineRule="auto" w:after="0"/>
              <w:jc w:val="right"/>
            </w:pPr>
            <w:r>
              <w:rPr>
                <w:sz w:val="18"/>
              </w:rPr>
              <w:t xml:space="preserve">0</w:t>
            </w:r>
          </w:p>
        </w:tc>
        <w:tc>
          <w:tcPr>
            <w:tcW w:type="dxa" w:w="1331"/>
          </w:tcPr>
          <w:p>
            <w:pPr>
              <w:pStyle w:val="Compact"/>
              <w:spacing w:line="240" w:lineRule="auto" w:after="0"/>
              <w:jc w:val="right"/>
            </w:pPr>
            <w:r>
              <w:rPr>
                <w:sz w:val="18"/>
              </w:rPr>
              <w:t xml:space="preserve">7 (87.5)</w:t>
            </w:r>
          </w:p>
        </w:tc>
      </w:tr>
      <w:tr>
        <w:tc>
          <w:tcPr>
            <w:tcW w:type="dxa" w:w="2977"/>
          </w:tcPr>
          <w:p>
            <w:pPr>
              <w:pStyle w:val="Compact"/>
              <w:spacing w:line="240" w:lineRule="auto" w:after="0"/>
              <w:jc w:val="left"/>
            </w:pPr>
            <w:r>
              <w:rPr>
                <w:b/>
                <w:sz w:val="18"/>
              </w:rPr>
              <w:t xml:space="preserve">All entries</w:t>
            </w:r>
          </w:p>
        </w:tc>
        <w:tc>
          <w:tcPr>
            <w:tcW w:type="dxa" w:w="1054"/>
          </w:tcPr>
          <w:p>
            <w:pPr>
              <w:pStyle w:val="Compact"/>
              <w:spacing w:line="240" w:lineRule="auto" w:after="0"/>
              <w:jc w:val="right"/>
            </w:pPr>
            <w:r>
              <w:rPr>
                <w:sz w:val="18"/>
              </w:rPr>
              <w:t xml:space="preserve">1,418</w:t>
            </w:r>
          </w:p>
        </w:tc>
        <w:tc>
          <w:tcPr>
            <w:tcW w:type="dxa" w:w="1164"/>
          </w:tcPr>
          <w:p>
            <w:pPr>
              <w:pStyle w:val="Compact"/>
              <w:spacing w:line="240" w:lineRule="auto" w:after="0"/>
              <w:jc w:val="right"/>
            </w:pPr>
            <w:r>
              <w:rPr>
                <w:sz w:val="18"/>
              </w:rPr>
              <w:t xml:space="preserve">317</w:t>
            </w:r>
          </w:p>
        </w:tc>
        <w:tc>
          <w:tcPr>
            <w:tcW w:type="dxa" w:w="1164"/>
          </w:tcPr>
          <w:p>
            <w:pPr>
              <w:pStyle w:val="Compact"/>
              <w:spacing w:line="240" w:lineRule="auto" w:after="0"/>
              <w:jc w:val="right"/>
            </w:pPr>
            <w:r>
              <w:rPr>
                <w:sz w:val="18"/>
              </w:rPr>
              <w:t xml:space="preserve">283</w:t>
            </w:r>
          </w:p>
        </w:tc>
        <w:tc>
          <w:tcPr>
            <w:tcW w:type="dxa" w:w="835"/>
          </w:tcPr>
          <w:p>
            <w:pPr>
              <w:pStyle w:val="Compact"/>
              <w:spacing w:line="240" w:lineRule="auto" w:after="0"/>
              <w:jc w:val="right"/>
            </w:pPr>
            <w:r>
              <w:rPr>
                <w:sz w:val="18"/>
              </w:rPr>
              <w:t xml:space="preserve">34</w:t>
            </w:r>
          </w:p>
        </w:tc>
        <w:tc>
          <w:tcPr>
            <w:tcW w:type="dxa" w:w="835"/>
          </w:tcPr>
          <w:p>
            <w:pPr>
              <w:pStyle w:val="Compact"/>
              <w:spacing w:line="240" w:lineRule="auto" w:after="0"/>
              <w:jc w:val="right"/>
            </w:pPr>
            <w:r>
              <w:rPr>
                <w:sz w:val="18"/>
              </w:rPr>
              <w:t xml:space="preserve">138</w:t>
            </w:r>
          </w:p>
        </w:tc>
        <w:tc>
          <w:tcPr>
            <w:tcW w:type="dxa" w:w="1331"/>
          </w:tcPr>
          <w:p>
            <w:pPr>
              <w:pStyle w:val="Compact"/>
              <w:spacing w:line="240" w:lineRule="auto" w:after="0"/>
              <w:jc w:val="right"/>
            </w:pPr>
            <w:r>
              <w:rPr>
                <w:sz w:val="18"/>
              </w:rPr>
              <w:t xml:space="preserve">1,220 (86.0)</w:t>
            </w:r>
          </w:p>
        </w:tc>
      </w:tr>
    </w:tbl>
    <w:p>
      <w:pPr>
        <w:pStyle w:val="BodyText"/>
      </w:pPr>
      <w:r>
        <w:t xml:space="preserve">Excluded codes (first two rows): same decision for 961 of 971 (99.0%). Entries needing judgment (the other four rows): 259 of 447 (57.9%).</w:t>
      </w:r>
    </w:p>
    <w:tbl>
      <w:tblPr>
        <w:tblStyle w:val="Table"/>
        <w:tblW w:type="dxa" w:w="9360"/>
        <w:tblLook w:firstRow="1"/>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3156"/>
        <w:gridCol w:w="2828"/>
        <w:gridCol w:w="3375"/>
      </w:tblGrid>
      <w:tr>
        <w:trPr>
          <w:cnfStyle w:firstRow="1"/>
        </w:trPr>
        <w:tc>
          <w:tcPr>
            <w:tcW w:type="dxa" w:w="3156"/>
            <w:tcBorders>
              <w:bottom w:val="single"/>
            </w:tcBorders>
            <w:vAlign w:val="bottom"/>
          </w:tcPr>
          <w:p>
            <w:pPr>
              <w:pStyle w:val="Compact"/>
              <w:spacing w:line="240" w:lineRule="auto" w:after="0"/>
              <w:jc w:val="left"/>
            </w:pPr>
            <w:r>
              <w:rPr>
                <w:sz w:val="18"/>
              </w:rPr>
              <w:t xml:space="preserve">By the model’s stated confidence</w:t>
            </w:r>
          </w:p>
        </w:tc>
        <w:tc>
          <w:tcPr>
            <w:tcW w:type="dxa" w:w="2828"/>
            <w:tcBorders>
              <w:bottom w:val="single"/>
            </w:tcBorders>
            <w:vAlign w:val="bottom"/>
          </w:tcPr>
          <w:p>
            <w:pPr>
              <w:pStyle w:val="Compact"/>
              <w:spacing w:line="240" w:lineRule="auto" w:after="0"/>
              <w:jc w:val="right"/>
            </w:pPr>
            <w:r>
              <w:rPr>
                <w:sz w:val="18"/>
              </w:rPr>
              <w:t xml:space="preserve">Entries</w:t>
            </w:r>
          </w:p>
        </w:tc>
        <w:tc>
          <w:tcPr>
            <w:tcW w:type="dxa" w:w="3375"/>
            <w:tcBorders>
              <w:bottom w:val="single"/>
            </w:tcBorders>
            <w:vAlign w:val="bottom"/>
          </w:tcPr>
          <w:p>
            <w:pPr>
              <w:pStyle w:val="Compact"/>
              <w:spacing w:line="240" w:lineRule="auto" w:after="0"/>
              <w:jc w:val="right"/>
            </w:pPr>
            <w:r>
              <w:rPr>
                <w:sz w:val="18"/>
              </w:rPr>
              <w:t xml:space="preserve">Same decision for the measures (%)</w:t>
            </w:r>
          </w:p>
        </w:tc>
      </w:tr>
      <w:tr>
        <w:tc>
          <w:tcPr>
            <w:tcW w:type="dxa" w:w="3156"/>
          </w:tcPr>
          <w:p>
            <w:pPr>
              <w:pStyle w:val="Compact"/>
              <w:spacing w:line="240" w:lineRule="auto" w:after="0"/>
              <w:jc w:val="left"/>
            </w:pPr>
            <w:r>
              <w:rPr>
                <w:sz w:val="18"/>
              </w:rPr>
              <w:t xml:space="preserve">High</w:t>
            </w:r>
          </w:p>
        </w:tc>
        <w:tc>
          <w:tcPr>
            <w:tcW w:type="dxa" w:w="2828"/>
          </w:tcPr>
          <w:p>
            <w:pPr>
              <w:pStyle w:val="Compact"/>
              <w:spacing w:line="240" w:lineRule="auto" w:after="0"/>
              <w:jc w:val="right"/>
            </w:pPr>
            <w:r>
              <w:rPr>
                <w:sz w:val="18"/>
              </w:rPr>
              <w:t xml:space="preserve">1,231</w:t>
            </w:r>
          </w:p>
        </w:tc>
        <w:tc>
          <w:tcPr>
            <w:tcW w:type="dxa" w:w="3375"/>
          </w:tcPr>
          <w:p>
            <w:pPr>
              <w:pStyle w:val="Compact"/>
              <w:spacing w:line="240" w:lineRule="auto" w:after="0"/>
              <w:jc w:val="right"/>
            </w:pPr>
            <w:r>
              <w:rPr>
                <w:sz w:val="18"/>
              </w:rPr>
              <w:t xml:space="preserve">1,130 (91.8)</w:t>
            </w:r>
          </w:p>
        </w:tc>
      </w:tr>
      <w:tr>
        <w:tc>
          <w:tcPr>
            <w:tcW w:type="dxa" w:w="3156"/>
          </w:tcPr>
          <w:p>
            <w:pPr>
              <w:pStyle w:val="Compact"/>
              <w:spacing w:line="240" w:lineRule="auto" w:after="0"/>
              <w:jc w:val="left"/>
            </w:pPr>
            <w:r>
              <w:rPr>
                <w:sz w:val="18"/>
              </w:rPr>
              <w:t xml:space="preserve">Medium</w:t>
            </w:r>
          </w:p>
        </w:tc>
        <w:tc>
          <w:tcPr>
            <w:tcW w:type="dxa" w:w="2828"/>
          </w:tcPr>
          <w:p>
            <w:pPr>
              <w:pStyle w:val="Compact"/>
              <w:spacing w:line="240" w:lineRule="auto" w:after="0"/>
              <w:jc w:val="right"/>
            </w:pPr>
            <w:r>
              <w:rPr>
                <w:sz w:val="18"/>
              </w:rPr>
              <w:t xml:space="preserve">165</w:t>
            </w:r>
          </w:p>
        </w:tc>
        <w:tc>
          <w:tcPr>
            <w:tcW w:type="dxa" w:w="3375"/>
          </w:tcPr>
          <w:p>
            <w:pPr>
              <w:pStyle w:val="Compact"/>
              <w:spacing w:line="240" w:lineRule="auto" w:after="0"/>
              <w:jc w:val="right"/>
            </w:pPr>
            <w:r>
              <w:rPr>
                <w:sz w:val="18"/>
              </w:rPr>
              <w:t xml:space="preserve">85 (51.5)</w:t>
            </w:r>
          </w:p>
        </w:tc>
      </w:tr>
      <w:tr>
        <w:tc>
          <w:tcPr>
            <w:tcW w:type="dxa" w:w="3156"/>
          </w:tcPr>
          <w:p>
            <w:pPr>
              <w:pStyle w:val="Compact"/>
              <w:spacing w:line="240" w:lineRule="auto" w:after="0"/>
              <w:jc w:val="left"/>
            </w:pPr>
            <w:r>
              <w:rPr>
                <w:sz w:val="18"/>
              </w:rPr>
              <w:t xml:space="preserve">Low</w:t>
            </w:r>
          </w:p>
        </w:tc>
        <w:tc>
          <w:tcPr>
            <w:tcW w:type="dxa" w:w="2828"/>
          </w:tcPr>
          <w:p>
            <w:pPr>
              <w:pStyle w:val="Compact"/>
              <w:spacing w:line="240" w:lineRule="auto" w:after="0"/>
              <w:jc w:val="right"/>
            </w:pPr>
            <w:r>
              <w:rPr>
                <w:sz w:val="18"/>
              </w:rPr>
              <w:t xml:space="preserve">22</w:t>
            </w:r>
          </w:p>
        </w:tc>
        <w:tc>
          <w:tcPr>
            <w:tcW w:type="dxa" w:w="3375"/>
          </w:tcPr>
          <w:p>
            <w:pPr>
              <w:pStyle w:val="Compact"/>
              <w:spacing w:line="240" w:lineRule="auto" w:after="0"/>
              <w:jc w:val="right"/>
            </w:pPr>
            <w:r>
              <w:rPr>
                <w:sz w:val="18"/>
              </w:rPr>
              <w:t xml:space="preserve">5 (22.7)</w:t>
            </w:r>
          </w:p>
        </w:tc>
      </w:tr>
    </w:tbl>
    <w:p>
      <w:pPr>
        <w:pStyle w:val="BodyText"/>
      </w:pPr>
      <w:r>
        <w:t xml:space="preserve">Run: 1,418 entries, 1,418 answered, 0 unparsed, 0 errors, 0 proposed codes rejected by the RxNorm check; 12.5 minutes with four parallel requests; 900,693 input and 185,317 output tokens; estimated cost US$0.25.</w:t>
      </w:r>
    </w:p>
    <w:p>
      <w:pPr>
        <w:pStyle w:val="BodyText"/>
      </w:pPr>
      <w:r>
        <w:t xml:space="preserve">Review by exception: accepting every high-confidence answer without review would have left 187 of 1,418 entries for a person, but kept 101 answers that change a measure, covering at least 36,679 administrations (codes with 10 or more administrations only).</w:t>
      </w:r>
    </w:p>
    <w:p>
      <w:pPr>
        <w:pStyle w:val="Heading2"/>
      </w:pPr>
      <w:bookmarkStart w:id="38" w:name="supplementary-figure"/>
      <w:r>
        <w:t xml:space="preserve">SUPPLEMENTARY FIGURE</w:t>
      </w:r>
      <w:bookmarkEnd w:id="38"/>
    </w:p>
    <w:p>
      <w:pPr>
        <w:pStyle w:val="FirstParagraph"/>
      </w:pPr>
      <w:r>
        <w:drawing>
          <wp:inline>
            <wp:extent cx="5943600" cy="3674225"/>
            <wp:effectExtent b="0" l="0" r="0" t="0"/>
            <wp:docPr descr="" title="" id="1" name="Picture"/>
            <a:graphic>
              <a:graphicData uri="http://schemas.openxmlformats.org/drawingml/2006/picture">
                <pic:pic>
                  <pic:nvPicPr>
                    <pic:cNvPr descr="figures/FigureS1.png" id="0" name="Picture"/>
                    <pic:cNvPicPr>
                      <a:picLocks noChangeArrowheads="1" noChangeAspect="1"/>
                    </pic:cNvPicPr>
                  </pic:nvPicPr>
                  <pic:blipFill>
                    <a:blip r:embed="rId39"/>
                    <a:stretch>
                      <a:fillRect/>
                    </a:stretch>
                  </pic:blipFill>
                  <pic:spPr bwMode="auto">
                    <a:xfrm>
                      <a:off x="0" y="0"/>
                      <a:ext cx="5943600" cy="3674225"/>
                    </a:xfrm>
                    <a:prstGeom prst="rect">
                      <a:avLst/>
                    </a:prstGeom>
                    <a:noFill/>
                    <a:ln w="9525">
                      <a:noFill/>
                      <a:headEnd/>
                      <a:tailEnd/>
                    </a:ln>
                  </pic:spPr>
                </pic:pic>
              </a:graphicData>
            </a:graphic>
          </wp:inline>
        </w:drawing>
      </w:r>
    </w:p>
    <w:p>
      <w:pPr>
        <w:pStyle w:val="BodyText"/>
      </w:pPr>
      <w:r>
        <w:rPr>
          <w:b/>
        </w:rPr>
        <w:t xml:space="preserve">Supplementary Figure S1.</w:t>
      </w:r>
      <w:r>
        <w:t xml:space="preserve"> </w:t>
      </w:r>
      <w:r>
        <w:t xml:space="preserve">Completeness of the measures’ data elements across 208 hospitals in the eICU Collaborative Research Database 2.0 (adult ICU stays, 2014–2015). Each point is a hospital: the share of its eligible stays with each element, against its number of stays. Solid line: overall share. Dashed and dotted lines: 95% and 99.8% control limits (exact binomial). Hospitals with fewer than 10 eligible stays are pooled into one point.</w:t>
      </w:r>
    </w:p>
    <w:p>
      <w:pPr>
        <w:pStyle w:val="BodyText"/>
      </w:pPr>
      <w:r>
        <w:t xml:space="preserve">Alt text: Six funnel plots, one per data element (any glucose result, bedside glucose, insulin ordered or infused, diabetes diagnosis or history, comfort-care or end-of-life note, laboratory glucose). For bedside glucose and insulin, most hospitals lie outside the control limits on both sides, including hospitals at 0%; diabetes varies least.</w:t>
      </w:r>
    </w:p>
    <w:sectPr>
      <w:footerReference w:type="default" r:id="rId9"/>
      <w:pgSz w:w="12240" w:h="15840"/>
      <w:pgMar w:left="1440" w:right="1440" w:top="1440" w:bottom="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pPr>
      <w:spacing w:line="276" w:lineRule="auto" w:after="120"/>
    </w:pPr>
    <w:rPr>
      <w:rFonts w:ascii="Times New Roman" w:hAnsi="Times New Roman" w:cs="Times New Roman" w:eastAsia="Times New Roman"/>
      <w:sz w:val="24"/>
    </w:rPr>
  </w:style>
  <w:style w:type="paragraph" w:styleId="BodyText">
    <w:name w:val="Body Text"/>
    <w:basedOn w:val="Normal"/>
    <w:link w:val="BodyTextChar"/>
    <w:pPr>
      <w:spacing w:before="180" w:after="120" w:line="276" w:lineRule="auto"/>
    </w:pPr>
    <w:qFormat/>
    <w:rPr>
      <w:rFonts w:ascii="Times New Roman" w:hAnsi="Times New Roman" w:cs="Times New Roman" w:eastAsia="Times New Roman"/>
      <w:sz w:val="24"/>
    </w:rPr>
  </w:style>
  <w:style w:type="paragraph" w:customStyle="1" w:styleId="FirstParagraph">
    <w:name w:val="First Paragraph"/>
    <w:basedOn w:val="BodyText"/>
    <w:next w:val="BodyText"/>
    <w:qFormat/>
    <w:pPr>
      <w:spacing w:line="276" w:lineRule="auto" w:after="120"/>
    </w:pPr>
    <w:rPr>
      <w:rFonts w:ascii="Times New Roman" w:hAnsi="Times New Roman" w:cs="Times New Roman" w:eastAsia="Times New Roman"/>
      <w:sz w:val="24"/>
    </w:rPr>
  </w:style>
  <w:style w:type="paragraph" w:customStyle="1" w:styleId="Compact">
    <w:name w:val="Compact"/>
    <w:basedOn w:val="BodyText"/>
    <w:qFormat/>
    <w:pPr>
      <w:spacing w:before="36" w:after="36"/>
    </w:pPr>
    <w:rPr>
      <w:rFonts w:ascii="Times New Roman" w:hAnsi="Times New Roman" w:cs="Times New Roman" w:eastAsia="Times New Roman"/>
      <w:sz w:val="24"/>
    </w:rPr>
  </w:style>
  <w:style w:type="paragraph" w:styleId="Title">
    <w:name w:val="Title"/>
    <w:basedOn w:val="Normal"/>
    <w:next w:val="BodyText"/>
    <w:qFormat/>
    <w:pPr>
      <w:keepNext/>
      <w:keepLines/>
      <w:spacing w:before="480" w:after="240"/>
      <w:jc w:val="center"/>
    </w:pPr>
    <w:rPr>
      <w:rFonts w:ascii="Times New Roman" w:hAnsi="Times New Roman" w:cs="Times New Roman" w:eastAsia="Times New Roman"/>
      <w:b/>
      <w:bCs/>
      <w:color w:val="000000"/>
      <w:sz w:val="32"/>
      <w:szCs w:val="36"/>
    </w:rPr>
  </w:style>
  <w:style w:type="paragraph" w:styleId="Subtitle">
    <w:name w:val="Subtitle"/>
    <w:basedOn w:val="Title"/>
    <w:next w:val="BodyText"/>
    <w:qFormat/>
    <w:pPr>
      <w:keepNext/>
      <w:keepLines/>
      <w:spacing w:before="240" w:after="240"/>
      <w:jc w:val="center"/>
    </w:pPr>
    <w:rPr>
      <w:rFonts w:ascii="Times New Roman" w:hAnsi="Times New Roman" w:cs="Times New Roman" w:eastAsia="Times New Roman"/>
      <w:sz w:val="30"/>
      <w:szCs w:val="30"/>
    </w:rPr>
  </w:style>
  <w:style w:type="paragraph" w:customStyle="1" w:styleId="Author">
    <w:name w:val="Author"/>
    <w:next w:val="BodyText"/>
    <w:qFormat/>
    <w:pPr>
      <w:keepNext/>
      <w:keepLines/>
      <w:jc w:val="center"/>
    </w:pPr>
    <w:rPr>
      <w:rFonts w:ascii="Times New Roman" w:hAnsi="Times New Roman" w:cs="Times New Roman" w:eastAsia="Times New Roman"/>
    </w:rPr>
  </w:style>
  <w:style w:type="paragraph" w:styleId="Date">
    <w:name w:val="Date"/>
    <w:next w:val="BodyText"/>
    <w:qFormat/>
    <w:pPr>
      <w:keepNext/>
      <w:keepLines/>
      <w:jc w:val="center"/>
    </w:pPr>
    <w:rPr>
      <w:rFonts w:ascii="Times New Roman" w:hAnsi="Times New Roman" w:cs="Times New Roman" w:eastAsia="Times New Roman"/>
    </w:rPr>
  </w:style>
  <w:style w:type="paragraph" w:customStyle="1" w:styleId="Abstract">
    <w:name w:val="Abstract"/>
    <w:basedOn w:val="Normal"/>
    <w:next w:val="BodyText"/>
    <w:qFormat/>
    <w:pPr>
      <w:keepNext/>
      <w:keepLines/>
      <w:spacing w:before="300" w:after="300"/>
    </w:pPr>
    <w:rPr>
      <w:rFonts w:ascii="Times New Roman" w:hAnsi="Times New Roman" w:cs="Times New Roman" w:eastAsia="Times New Roman"/>
      <w:sz w:val="20"/>
      <w:szCs w:val="20"/>
    </w:rPr>
  </w:style>
  <w:style w:type="paragraph" w:styleId="Bibliography">
    <w:name w:val="Bibliography"/>
    <w:basedOn w:val="Normal"/>
    <w:next w:val="Bibliography"/>
    <w:qFormat/>
    <w:pPr/>
    <w:rPr>
      <w:rFonts w:ascii="Times New Roman" w:hAnsi="Times New Roman" w:cs="Times New Roman" w:eastAsia="Times New Roman"/>
    </w:rPr>
  </w:style>
  <w:style w:type="paragraph" w:styleId="Heading1">
    <w:name w:val="Heading 1"/>
    <w:basedOn w:val="Normal"/>
    <w:next w:val="BodyText"/>
    <w:uiPriority w:val="9"/>
    <w:qFormat/>
    <w:pPr>
      <w:keepNext/>
      <w:keepLines/>
      <w:spacing w:before="480" w:after="0"/>
      <w:outlineLvl w:val="0"/>
    </w:pPr>
    <w:rPr>
      <w:rFonts w:ascii="Times New Roman" w:hAnsi="Times New Roman" w:cs="Times New Roman" w:eastAsia="Times New Roman"/>
      <w:b/>
      <w:bCs/>
      <w:color w:val="000000"/>
      <w:sz w:val="26"/>
      <w:szCs w:val="32"/>
    </w:rPr>
  </w:style>
  <w:style w:type="paragraph" w:styleId="Heading2">
    <w:name w:val="Heading 2"/>
    <w:basedOn w:val="Normal"/>
    <w:next w:val="BodyText"/>
    <w:uiPriority w:val="9"/>
    <w:unhideWhenUsed/>
    <w:qFormat/>
    <w:pPr>
      <w:keepNext/>
      <w:keepLines/>
      <w:spacing w:before="200" w:after="0"/>
      <w:outlineLvl w:val="1"/>
    </w:pPr>
    <w:rPr>
      <w:rFonts w:ascii="Times New Roman" w:hAnsi="Times New Roman" w:cs="Times New Roman" w:eastAsia="Times New Roman"/>
      <w:b/>
      <w:bCs/>
      <w:color w:val="000000"/>
      <w:sz w:val="24"/>
      <w:szCs w:val="28"/>
    </w:rPr>
  </w:style>
  <w:style w:type="paragraph" w:styleId="Heading3">
    <w:name w:val="Heading 3"/>
    <w:basedOn w:val="Normal"/>
    <w:next w:val="BodyText"/>
    <w:uiPriority w:val="9"/>
    <w:unhideWhenUsed/>
    <w:qFormat/>
    <w:pPr>
      <w:keepNext/>
      <w:keepLines/>
      <w:spacing w:before="200" w:after="0"/>
      <w:outlineLvl w:val="2"/>
    </w:pPr>
    <w:rPr>
      <w:rFonts w:ascii="Times New Roman" w:hAnsi="Times New Roman" w:cs="Times New Roman" w:eastAsia="Times New Roman"/>
      <w:b/>
      <w:bCs/>
      <w:i/>
      <w:color w:val="000000"/>
      <w:sz w:val="24"/>
      <w:szCs w:val="24"/>
    </w:rPr>
  </w:style>
  <w:style w:type="paragraph" w:styleId="Heading4">
    <w:name w:val="Heading 4"/>
    <w:basedOn w:val="Normal"/>
    <w:next w:val="BodyText"/>
    <w:uiPriority w:val="9"/>
    <w:unhideWhenUsed/>
    <w:qFormat/>
    <w:pPr>
      <w:keepNext/>
      <w:keepLines/>
      <w:spacing w:before="200" w:after="0"/>
      <w:outlineLvl w:val="3"/>
    </w:pPr>
    <w:rPr>
      <w:rFonts w:ascii="Times New Roman" w:hAnsi="Times New Roman" w:cs="Times New Roman" w:eastAsia="Times New Roman"/>
      <w:i/>
      <w:b/>
      <w:bCs/>
      <w:color w:val="000000"/>
      <w:sz w:val="24"/>
      <w:szCs w:val="24"/>
    </w:rPr>
  </w:style>
  <w:style w:type="paragraph" w:styleId="Heading5">
    <w:name w:val="Heading 5"/>
    <w:basedOn w:val="Normal"/>
    <w:next w:val="BodyText"/>
    <w:uiPriority w:val="9"/>
    <w:unhideWhenUsed/>
    <w:qFormat/>
    <w:pPr>
      <w:keepNext/>
      <w:keepLines/>
      <w:spacing w:before="200" w:after="0"/>
      <w:outlineLvl w:val="4"/>
    </w:pPr>
    <w:rPr>
      <w:rFonts w:ascii="Times New Roman" w:hAnsi="Times New Roman" w:cs="Times New Roman" w:eastAsia="Times New Roman"/>
      <w:b/>
      <w:iCs/>
      <w:color w:val="000000"/>
      <w:sz w:val="24"/>
      <w:szCs w:val="24"/>
    </w:rPr>
  </w:style>
  <w:style w:type="paragraph" w:styleId="Heading6">
    <w:name w:val="Heading 6"/>
    <w:basedOn w:val="Normal"/>
    <w:next w:val="BodyText"/>
    <w:uiPriority w:val="9"/>
    <w:unhideWhenUsed/>
    <w:qFormat/>
    <w:pPr>
      <w:keepNext/>
      <w:keepLines/>
      <w:spacing w:before="200" w:after="0"/>
      <w:outlineLvl w:val="5"/>
    </w:pPr>
    <w:rPr>
      <w:rFonts w:ascii="Times New Roman" w:hAnsi="Times New Roman" w:cs="Times New Roman" w:eastAsia="Times New Roman"/>
      <w:b/>
      <w:color w:val="000000"/>
      <w:sz w:val="24"/>
      <w:szCs w:val="24"/>
    </w:rPr>
  </w:style>
  <w:style w:type="paragraph" w:styleId="Heading7">
    <w:name w:val="Heading 7"/>
    <w:basedOn w:val="Normal"/>
    <w:next w:val="BodyText"/>
    <w:uiPriority w:val="9"/>
    <w:unhideWhenUsed/>
    <w:qFormat/>
    <w:pPr>
      <w:keepNext/>
      <w:keepLines/>
      <w:spacing w:before="200" w:after="0"/>
      <w:outlineLvl w:val="6"/>
    </w:pPr>
    <w:rPr>
      <w:rFonts w:ascii="Times New Roman" w:hAnsi="Times New Roman" w:cs="Times New Roman" w:eastAsia="Times New Roman"/>
      <w:b/>
      <w:color w:val="000000"/>
      <w:sz w:val="24"/>
      <w:szCs w:val="24"/>
    </w:rPr>
  </w:style>
  <w:style w:type="paragraph" w:styleId="Heading8">
    <w:name w:val="Heading 8"/>
    <w:basedOn w:val="Normal"/>
    <w:next w:val="BodyText"/>
    <w:uiPriority w:val="9"/>
    <w:unhideWhenUsed/>
    <w:qFormat/>
    <w:pPr>
      <w:keepNext/>
      <w:keepLines/>
      <w:spacing w:before="200" w:after="0"/>
      <w:outlineLvl w:val="7"/>
    </w:pPr>
    <w:rPr>
      <w:rFonts w:ascii="Times New Roman" w:hAnsi="Times New Roman" w:cs="Times New Roman" w:eastAsia="Times New Roman"/>
      <w:b/>
      <w:color w:val="000000"/>
      <w:sz w:val="24"/>
      <w:szCs w:val="24"/>
    </w:rPr>
  </w:style>
  <w:style w:type="paragraph" w:styleId="Heading9">
    <w:name w:val="Heading 9"/>
    <w:basedOn w:val="Normal"/>
    <w:next w:val="BodyText"/>
    <w:uiPriority w:val="9"/>
    <w:unhideWhenUsed/>
    <w:qFormat/>
    <w:pPr>
      <w:keepNext/>
      <w:keepLines/>
      <w:spacing w:before="200" w:after="0"/>
      <w:outlineLvl w:val="8"/>
    </w:pPr>
    <w:rPr>
      <w:rFonts w:ascii="Times New Roman" w:hAnsi="Times New Roman" w:cs="Times New Roman" w:eastAsia="Times New Roman"/>
      <w:b/>
      <w:color w:val="000000"/>
      <w:sz w:val="24"/>
      <w:szCs w:val="24"/>
    </w:rPr>
  </w:style>
  <w:style w:type="paragraph" w:styleId="BlockText">
    <w:name w:val="Block Text"/>
    <w:basedOn w:val="BodyText"/>
    <w:next w:val="BodyText"/>
    <w:uiPriority w:val="9"/>
    <w:unhideWhenUsed/>
    <w:qFormat/>
    <w:pPr>
      <w:spacing w:before="100" w:after="120" w:line="276" w:lineRule="auto"/>
      <w:ind w:firstLine="0" w:left="480" w:right="480"/>
    </w:pPr>
    <w:rPr>
      <w:rFonts w:ascii="Times New Roman" w:hAnsi="Times New Roman" w:cs="Times New Roman" w:eastAsia="Times New Roman"/>
      <w:sz w:val="24"/>
    </w:rPr>
  </w:style>
  <w:style w:type="paragraph" w:styleId="FootnoteText">
    <w:name w:val="Footnote Text"/>
    <w:basedOn w:val="Normal"/>
    <w:next w:val="FootnoteText"/>
    <w:uiPriority w:val="9"/>
    <w:unhideWhenUsed/>
    <w:qFormat/>
    <w:rPr>
      <w:rFonts w:ascii="Times New Roman" w:hAnsi="Times New Roman" w:cs="Times New Roman" w:eastAsia="Times New Roman"/>
    </w:rPr>
  </w:style>
  <w:style w:type="character" w:default="1" w:styleId="DefaultParagraphFont">
    <w:name w:val="Default Paragraph Font"/>
    <w:semiHidden/>
    <w:unhideWhenUsed/>
    <w:rPr>
      <w:rFonts w:ascii="Times New Roman" w:hAnsi="Times New Roman" w:cs="Times New Roman" w:eastAsia="Times New Roman"/>
    </w:rPr>
  </w:style>
  <w:style w:type="table" w:default="1" w:styleId="Table">
    <w:name w:val="Table"/>
    <w:basedOn w:val="TableNormal"/>
    <w:semiHidden/>
    <w:unhideWhenUsed/>
    <w:qFormat/>
    <w:rPr>
      <w:rFonts w:ascii="Times New Roman" w:hAnsi="Times New Roman" w:cs="Times New Roman" w:eastAsia="Times New Roman"/>
    </w:rPr>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rFonts w:ascii="Times New Roman" w:hAnsi="Times New Roman" w:cs="Times New Roman" w:eastAsia="Times New Roman"/>
      <w:b/>
    </w:rPr>
  </w:style>
  <w:style w:type="paragraph" w:customStyle="1" w:styleId="Definition">
    <w:name w:val="Definition"/>
    <w:basedOn w:val="Normal"/>
    <w:rPr>
      <w:rFonts w:ascii="Times New Roman" w:hAnsi="Times New Roman" w:cs="Times New Roman" w:eastAsia="Times New Roman"/>
    </w:rPr>
  </w:style>
  <w:style w:type="paragraph" w:styleId="Caption">
    <w:name w:val="Caption"/>
    <w:basedOn w:val="Normal"/>
    <w:link w:val="BodyTextChar"/>
    <w:pPr>
      <w:spacing w:before="0" w:after="120"/>
    </w:pPr>
    <w:rPr>
      <w:rFonts w:ascii="Times New Roman" w:hAnsi="Times New Roman" w:cs="Times New Roman" w:eastAsia="Times New Roman"/>
      <w:i/>
    </w:rPr>
  </w:style>
  <w:style w:type="paragraph" w:customStyle="1" w:styleId="TableCaption">
    <w:name w:val="Table Caption"/>
    <w:basedOn w:val="Caption"/>
    <w:pPr>
      <w:keepNext/>
    </w:pPr>
    <w:rPr>
      <w:rFonts w:ascii="Times New Roman" w:hAnsi="Times New Roman" w:cs="Times New Roman" w:eastAsia="Times New Roman"/>
    </w:rPr>
  </w:style>
  <w:style w:type="paragraph" w:customStyle="1" w:styleId="ImageCaption">
    <w:name w:val="Image Caption"/>
    <w:basedOn w:val="Caption"/>
    <w:rPr>
      <w:rFonts w:ascii="Times New Roman" w:hAnsi="Times New Roman" w:cs="Times New Roman" w:eastAsia="Times New Roman"/>
    </w:rPr>
  </w:style>
  <w:style w:type="paragraph" w:customStyle="1" w:styleId="Figure">
    <w:name w:val="Figure"/>
    <w:basedOn w:val="Normal"/>
    <w:rPr>
      <w:rFonts w:ascii="Times New Roman" w:hAnsi="Times New Roman" w:cs="Times New Roman" w:eastAsia="Times New Roman"/>
    </w:rPr>
  </w:style>
  <w:style w:type="paragraph" w:customStyle="1" w:styleId="CaptionedFigure">
    <w:name w:val="Captioned Figure"/>
    <w:basedOn w:val="Figure"/>
    <w:pPr>
      <w:keepNext/>
    </w:pPr>
    <w:rPr>
      <w:rFonts w:ascii="Times New Roman" w:hAnsi="Times New Roman" w:cs="Times New Roman" w:eastAsia="Times New Roman"/>
    </w:rPr>
  </w:style>
  <w:style w:type="character" w:customStyle="1" w:styleId="BodyTextChar">
    <w:name w:val="Body Text Char"/>
    <w:basedOn w:val="DefaultParagraphFont"/>
    <w:link w:val="BodyText"/>
    <w:rPr>
      <w:rFonts w:ascii="Times New Roman" w:hAnsi="Times New Roman" w:cs="Times New Roman" w:eastAsia="Times New Roman"/>
    </w:rPr>
  </w:style>
  <w:style w:type="character" w:customStyle="1" w:styleId="VerbatimChar">
    <w:name w:val="Verbatim Char"/>
    <w:basedOn w:val="BodyTextChar"/>
    <w:rPr>
      <w:rFonts w:ascii="Times New Roman" w:hAnsi="Times New Roman" w:cs="Times New Roman" w:eastAsia="Times New Roman"/>
      <w:sz w:val="22"/>
    </w:rPr>
  </w:style>
  <w:style w:type="character" w:styleId="FootnoteReference">
    <w:name w:val="Footnote Reference"/>
    <w:basedOn w:val="BodyTextChar"/>
    <w:rPr>
      <w:rFonts w:ascii="Times New Roman" w:hAnsi="Times New Roman" w:cs="Times New Roman" w:eastAsia="Times New Roman"/>
      <w:vertAlign w:val="superscript"/>
    </w:rPr>
  </w:style>
  <w:style w:type="character" w:styleId="Hyperlink">
    <w:name w:val="Hyperlink"/>
    <w:basedOn w:val="BodyTextChar"/>
    <w:rPr>
      <w:rFonts w:ascii="Times New Roman" w:hAnsi="Times New Roman" w:cs="Times New Roman" w:eastAsia="Times New Roman"/>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imes New Roman" w:hAnsi="Times New Roman" w:cs="Times New Roman" w:eastAsia="Times New Roman"/>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9" Type="http://schemas.openxmlformats.org/officeDocument/2006/relationships/image" Target="media/rId39.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2026-10-16T01:11:05Z</dcterms:created>
  <dcterms:modified xsi:type="dcterms:W3CDTF">2026-10-16T01:11:05Z</dcterms:modified>
</cp:coreProperties>
</file>

<file path=docProps/custom.xml><?xml version="1.0" encoding="utf-8"?>
<Properties xmlns="http://schemas.openxmlformats.org/officeDocument/2006/custom-properties" xmlns:vt="http://schemas.openxmlformats.org/officeDocument/2006/docPropsVTypes"/>
</file>