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mirrorIndents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/>
          <w:lang w:val="en-US"/>
        </w:rPr>
        <w:t xml:space="preserve">Supplementary Material      </w:t>
      </w:r>
    </w:p>
    <w:p>
      <w:pPr>
        <w:pStyle w:val="BodyText"/>
        <w:suppressAutoHyphens w:val="false"/>
        <w:rPr>
          <w:lang w:val="en-US"/>
        </w:rPr>
      </w:pPr>
      <w:r>
        <w:rPr>
          <w:lang w:val="en-US"/>
        </w:rPr>
        <w:t xml:space="preserve">Supplementary Table S1 Complete Frequency distribution of </w:t>
      </w:r>
      <w:r>
        <w:rPr>
          <w:i/>
          <w:iCs/>
          <w:lang w:val="en-US"/>
        </w:rPr>
        <w:t>MBL2</w:t>
      </w:r>
      <w:r>
        <w:rPr>
          <w:lang w:val="en-US"/>
        </w:rPr>
        <w:t xml:space="preserve"> haplotypes. Supplementary Tables S2-S</w:t>
      </w:r>
      <w:r>
        <w:rPr>
          <w:lang w:val="en-US"/>
        </w:rPr>
        <w:t>3(EBV) and S4 (CMV)</w:t>
      </w:r>
      <w:r>
        <w:rPr>
          <w:lang w:val="en-US"/>
        </w:rPr>
        <w:t xml:space="preserve"> present the complete association analyses  for </w:t>
      </w:r>
      <w:r>
        <w:rPr>
          <w:i/>
          <w:lang w:val="en-US"/>
        </w:rPr>
        <w:t>MBL2</w:t>
      </w:r>
      <w:r>
        <w:rPr>
          <w:lang w:val="en-US"/>
        </w:rPr>
        <w:t xml:space="preserve"> alleles, genotypes and haplotypes, relocated from the main text. Supplementary Figures S1 to S4 present the </w:t>
      </w:r>
      <w:r>
        <w:rPr>
          <w:i/>
          <w:iCs/>
          <w:lang w:val="en-US"/>
        </w:rPr>
        <w:t>in silico</w:t>
      </w:r>
      <w:r>
        <w:rPr>
          <w:lang w:val="en-US"/>
        </w:rPr>
        <w:t xml:space="preserve"> structural prediction analyses of the MBL protein monomer.   </w:t>
      </w:r>
    </w:p>
    <w:p>
      <w:pPr>
        <w:pStyle w:val="BodyText"/>
        <w:spacing w:before="0" w:after="120"/>
        <w:rPr>
          <w:lang w:val="en-US"/>
        </w:rPr>
      </w:pPr>
      <w:r>
        <w:rPr>
          <w:b/>
          <w:bCs/>
          <w:lang w:val="en-US"/>
        </w:rPr>
        <w:t>Supplementary Table S1.</w:t>
      </w:r>
      <w:r>
        <w:rPr>
          <w:sz w:val="20"/>
          <w:szCs w:val="20"/>
          <w:lang w:val="en-US"/>
        </w:rPr>
        <w:t xml:space="preserve"> </w:t>
      </w:r>
      <w:r>
        <w:rPr>
          <w:lang w:val="en-US"/>
        </w:rPr>
        <w:t xml:space="preserve">Frequency distribution of </w:t>
      </w:r>
      <w:r>
        <w:rPr>
          <w:i/>
          <w:iCs/>
          <w:lang w:val="en-US"/>
        </w:rPr>
        <w:t>MBL2</w:t>
      </w:r>
      <w:r>
        <w:rPr>
          <w:lang w:val="en-US"/>
        </w:rPr>
        <w:t xml:space="preserve"> haplotypes in patients with ALL and healthy controls.</w:t>
      </w:r>
    </w:p>
    <w:tbl>
      <w:tblPr>
        <w:tblStyle w:val="TabeladeLista1Clara-nfase3"/>
        <w:tblW w:w="920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696"/>
        <w:gridCol w:w="2039"/>
        <w:gridCol w:w="1930"/>
        <w:gridCol w:w="2124"/>
        <w:gridCol w:w="1420"/>
      </w:tblGrid>
      <w:tr>
        <w:trPr>
          <w:trHeight w:val="40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2"/>
                <w:sz w:val="20"/>
                <w:szCs w:val="20"/>
                <w:lang w:val="pt-BR" w:eastAsia="en-US" w:bidi="ar-SA"/>
              </w:rPr>
              <w:t>Expression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2"/>
                <w:sz w:val="20"/>
                <w:szCs w:val="20"/>
                <w:lang w:val="pt-BR" w:eastAsia="en-US" w:bidi="ar-SA"/>
              </w:rPr>
              <w:t>Serum MBL</w:t>
            </w:r>
          </w:p>
        </w:tc>
        <w:tc>
          <w:tcPr>
            <w:tcW w:w="203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2"/>
                <w:sz w:val="20"/>
                <w:szCs w:val="20"/>
                <w:lang w:val="en-US" w:eastAsia="en-US" w:bidi="ar-SA"/>
              </w:rPr>
              <w:t>Haplotypes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false"/>
                <w:bCs w:val="false"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themeColor="text1" w:val="000000"/>
                <w:kern w:val="2"/>
                <w:sz w:val="20"/>
                <w:szCs w:val="20"/>
                <w:lang w:val="en-US" w:eastAsia="en-US" w:bidi="ar-SA"/>
              </w:rPr>
              <w:t>Patients ALL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false"/>
                <w:bCs w:val="false"/>
                <w:color w:themeColor="text1"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text1" w:val="000000"/>
                <w:kern w:val="2"/>
                <w:sz w:val="20"/>
                <w:szCs w:val="20"/>
                <w:lang w:val="pt-B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text1" w:val="000000"/>
                <w:kern w:val="2"/>
                <w:sz w:val="20"/>
                <w:szCs w:val="20"/>
                <w:lang w:val="pt-BR" w:eastAsia="en-US" w:bidi="ar-SA"/>
              </w:rPr>
              <w:t>N (F*)</w:t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false"/>
                <w:bCs w:val="false"/>
                <w:color w:themeColor="text1"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themeColor="text1" w:val="000000"/>
                <w:kern w:val="2"/>
                <w:sz w:val="20"/>
                <w:szCs w:val="20"/>
                <w:lang w:val="pt-BR" w:eastAsia="en-US" w:bidi="ar-SA"/>
              </w:rPr>
              <w:t>Control group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text1" w:val="000000"/>
                <w:kern w:val="2"/>
                <w:sz w:val="20"/>
                <w:szCs w:val="20"/>
                <w:lang w:val="pt-BR" w:eastAsia="en-US" w:bidi="ar-SA"/>
              </w:rPr>
              <w:t>N (F*)</w:t>
            </w:r>
          </w:p>
        </w:tc>
        <w:tc>
          <w:tcPr>
            <w:tcW w:w="142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false"/>
                <w:bCs w:val="false"/>
                <w:color w:themeColor="text1"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themeColor="text1" w:val="000000"/>
                <w:kern w:val="2"/>
                <w:sz w:val="20"/>
                <w:szCs w:val="20"/>
                <w:lang w:val="pt-BR" w:eastAsia="en-US" w:bidi="ar-SA"/>
              </w:rPr>
              <w:t>p**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themeColor="text1" w:val="000000"/>
                <w:kern w:val="2"/>
                <w:sz w:val="20"/>
                <w:szCs w:val="20"/>
                <w:lang w:val="pt-BR" w:eastAsia="en-US" w:bidi="ar-SA"/>
              </w:rPr>
            </w:r>
          </w:p>
        </w:tc>
      </w:tr>
      <w:tr>
        <w:trPr>
          <w:trHeight w:val="336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>
              <w:top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HYA/HYA</w:t>
            </w:r>
          </w:p>
        </w:tc>
        <w:tc>
          <w:tcPr>
            <w:tcW w:w="1930" w:type="dxa"/>
            <w:tcBorders>
              <w:top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pt-BR" w:eastAsia="en-US" w:bidi="ar-SA"/>
              </w:rPr>
              <w:t>4 (0.03)</w:t>
            </w:r>
          </w:p>
        </w:tc>
        <w:tc>
          <w:tcPr>
            <w:tcW w:w="2124" w:type="dxa"/>
            <w:tcBorders>
              <w:top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 (0.01)</w:t>
            </w:r>
          </w:p>
        </w:tc>
        <w:tc>
          <w:tcPr>
            <w:tcW w:w="1420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0.65</w:t>
            </w:r>
          </w:p>
        </w:tc>
      </w:tr>
      <w:tr>
        <w:trPr>
          <w:trHeight w:val="336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green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High</w:t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bookmarkStart w:id="0" w:name="_Hlk219039142"/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HYA/LYA</w:t>
            </w:r>
            <w:bookmarkEnd w:id="0"/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5 (0.04)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5 (0.07)</w:t>
            </w:r>
          </w:p>
        </w:tc>
        <w:tc>
          <w:tcPr>
            <w:tcW w:w="1420" w:type="dxa"/>
            <w:tcBorders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0.51</w:t>
            </w:r>
          </w:p>
        </w:tc>
      </w:tr>
      <w:tr>
        <w:trPr>
          <w:trHeight w:val="24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cyan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cyan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bookmarkStart w:id="1" w:name="_Hlk219104072"/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LYA/LYA</w:t>
            </w:r>
            <w:bookmarkEnd w:id="1"/>
          </w:p>
        </w:tc>
        <w:tc>
          <w:tcPr>
            <w:tcW w:w="1930" w:type="dxa"/>
            <w:tcBorders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3 (0.03)</w:t>
            </w:r>
          </w:p>
        </w:tc>
        <w:tc>
          <w:tcPr>
            <w:tcW w:w="2124" w:type="dxa"/>
            <w:tcBorders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 (0.01)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1.00</w:t>
            </w:r>
          </w:p>
        </w:tc>
      </w:tr>
      <w:tr>
        <w:trPr>
          <w:trHeight w:val="336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cyan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cyan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>
              <w:top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highlight w:val="cyan"/>
                <w:lang w:eastAsia="pt-BR"/>
                <w14:ligatures w14:val="none"/>
              </w:rPr>
            </w:pPr>
            <w:bookmarkStart w:id="2" w:name="_Hlk219052183"/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HYA/HYO</w:t>
            </w:r>
            <w:bookmarkEnd w:id="2"/>
          </w:p>
        </w:tc>
        <w:tc>
          <w:tcPr>
            <w:tcW w:w="1930" w:type="dxa"/>
            <w:tcBorders>
              <w:top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cyan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8 (0.07)</w:t>
            </w:r>
          </w:p>
        </w:tc>
        <w:tc>
          <w:tcPr>
            <w:tcW w:w="2124" w:type="dxa"/>
            <w:tcBorders>
              <w:top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8 (0.11)</w:t>
            </w:r>
          </w:p>
        </w:tc>
        <w:tc>
          <w:tcPr>
            <w:tcW w:w="1420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0.60</w:t>
            </w:r>
          </w:p>
        </w:tc>
      </w:tr>
      <w:tr>
        <w:trPr>
          <w:trHeight w:val="336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highlight w:val="red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bookmarkStart w:id="3" w:name="_Hlk219103240"/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HYA/LXA</w:t>
            </w:r>
            <w:bookmarkEnd w:id="3"/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3 (0.03)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-</w:t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0.28</w:t>
            </w:r>
          </w:p>
        </w:tc>
      </w:tr>
      <w:tr>
        <w:trPr>
          <w:trHeight w:val="336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green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Intermediate</w:t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highlight w:val="green"/>
                <w:lang w:eastAsia="pt-BR"/>
                <w14:ligatures w14:val="none"/>
              </w:rPr>
            </w:pPr>
            <w:bookmarkStart w:id="4" w:name="_Hlk219103729"/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HYA/LYO</w:t>
            </w:r>
            <w:bookmarkEnd w:id="4"/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24 (0.22)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15 (0.20)</w:t>
            </w:r>
          </w:p>
        </w:tc>
        <w:tc>
          <w:tcPr>
            <w:tcW w:w="1420" w:type="dxa"/>
            <w:tcBorders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0.59</w:t>
            </w:r>
          </w:p>
        </w:tc>
      </w:tr>
      <w:tr>
        <w:trPr>
          <w:trHeight w:val="336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cyan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cyan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LYA/LXA</w:t>
            </w:r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 (0.01)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 (0.01)</w:t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1.00</w:t>
            </w:r>
          </w:p>
        </w:tc>
      </w:tr>
      <w:tr>
        <w:trPr>
          <w:trHeight w:val="336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red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bookmarkStart w:id="5" w:name="_Hlk219103587"/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LYA/LYO</w:t>
            </w:r>
            <w:bookmarkEnd w:id="5"/>
          </w:p>
        </w:tc>
        <w:tc>
          <w:tcPr>
            <w:tcW w:w="1930" w:type="dxa"/>
            <w:tcBorders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8 (0.07)</w:t>
            </w:r>
          </w:p>
        </w:tc>
        <w:tc>
          <w:tcPr>
            <w:tcW w:w="2124" w:type="dxa"/>
            <w:tcBorders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8 (0.11)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0.60</w:t>
            </w:r>
          </w:p>
        </w:tc>
      </w:tr>
      <w:tr>
        <w:trPr>
          <w:trHeight w:val="336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red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>
              <w:top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bookmarkStart w:id="6" w:name="_Hlk219104085"/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HYA/LX</w:t>
            </w:r>
            <w:bookmarkEnd w:id="6"/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O</w:t>
            </w:r>
          </w:p>
        </w:tc>
        <w:tc>
          <w:tcPr>
            <w:tcW w:w="1930" w:type="dxa"/>
            <w:tcBorders>
              <w:top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7 (0.06)</w:t>
            </w:r>
          </w:p>
        </w:tc>
        <w:tc>
          <w:tcPr>
            <w:tcW w:w="2124" w:type="dxa"/>
            <w:tcBorders>
              <w:top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4 (0.05)</w:t>
            </w:r>
          </w:p>
        </w:tc>
        <w:tc>
          <w:tcPr>
            <w:tcW w:w="1420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0.76</w:t>
            </w:r>
          </w:p>
        </w:tc>
      </w:tr>
      <w:tr>
        <w:trPr>
          <w:trHeight w:val="336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red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bookmarkStart w:id="7" w:name="_Hlk219014524"/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HYO/HYO</w:t>
            </w:r>
            <w:bookmarkEnd w:id="7"/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2 (0.01)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2 (0.03)</w:t>
            </w:r>
          </w:p>
        </w:tc>
        <w:tc>
          <w:tcPr>
            <w:tcW w:w="1420" w:type="dxa"/>
            <w:tcBorders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0.64</w:t>
            </w:r>
          </w:p>
        </w:tc>
      </w:tr>
      <w:tr>
        <w:trPr>
          <w:trHeight w:val="336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red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HYO/LYO</w:t>
            </w:r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18 (0.16)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9 (0.12)</w:t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0.41</w:t>
            </w:r>
          </w:p>
        </w:tc>
      </w:tr>
      <w:tr>
        <w:trPr>
          <w:trHeight w:val="336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cyan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highlight w:val="cyan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LYA/LXO</w:t>
            </w:r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2 (0.02)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5 (0.07)</w:t>
            </w:r>
          </w:p>
        </w:tc>
        <w:tc>
          <w:tcPr>
            <w:tcW w:w="1420" w:type="dxa"/>
            <w:tcBorders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0.36</w:t>
            </w:r>
          </w:p>
        </w:tc>
      </w:tr>
      <w:tr>
        <w:trPr>
          <w:trHeight w:val="336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 w:val="false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 w:val="false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Low</w:t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LYO/LXO</w:t>
            </w:r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3 (0.03)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4 (0.05)</w:t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0.43</w:t>
            </w:r>
          </w:p>
        </w:tc>
      </w:tr>
      <w:tr>
        <w:trPr>
          <w:trHeight w:val="336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green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green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bookmarkStart w:id="8" w:name="_Hlk219100797"/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LYO/LYO</w:t>
            </w:r>
            <w:bookmarkEnd w:id="8"/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15 (0.14)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10 (0.13)</w:t>
            </w:r>
          </w:p>
        </w:tc>
        <w:tc>
          <w:tcPr>
            <w:tcW w:w="1420" w:type="dxa"/>
            <w:tcBorders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1.00</w:t>
            </w:r>
          </w:p>
        </w:tc>
      </w:tr>
      <w:tr>
        <w:trPr>
          <w:trHeight w:val="336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cyan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cyan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bookmarkStart w:id="9" w:name="_Hlk219103260"/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HYO/LXO</w:t>
            </w:r>
            <w:bookmarkEnd w:id="9"/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pt-BR" w:eastAsia="en-US" w:bidi="ar-SA"/>
              </w:rPr>
              <w:t>3 (0.03)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2 (0.03)</w:t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1.00</w:t>
            </w:r>
          </w:p>
        </w:tc>
      </w:tr>
      <w:tr>
        <w:trPr>
          <w:trHeight w:val="336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red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bookmarkStart w:id="10" w:name="_Hlk219100814"/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LXA/LXO</w:t>
            </w:r>
            <w:bookmarkEnd w:id="10"/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-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 (0.01)</w:t>
            </w:r>
          </w:p>
        </w:tc>
        <w:tc>
          <w:tcPr>
            <w:tcW w:w="1420" w:type="dxa"/>
            <w:tcBorders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0.38</w:t>
            </w:r>
          </w:p>
        </w:tc>
      </w:tr>
      <w:tr>
        <w:trPr>
          <w:trHeight w:val="336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red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LXO/LXO</w:t>
            </w:r>
          </w:p>
        </w:tc>
        <w:tc>
          <w:tcPr>
            <w:tcW w:w="193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 (0.01)</w:t>
            </w:r>
          </w:p>
        </w:tc>
        <w:tc>
          <w:tcPr>
            <w:tcW w:w="212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-</w:t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  <w:t>1.00</w:t>
            </w:r>
          </w:p>
        </w:tc>
      </w:tr>
      <w:tr>
        <w:trPr>
          <w:trHeight w:val="336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highlight w:val="red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kern w:val="0"/>
                <w:sz w:val="20"/>
                <w:szCs w:val="20"/>
                <w:highlight w:val="red"/>
                <w:lang w:val="pt-BR" w:eastAsia="pt-BR" w:bidi="ar-SA"/>
                <w14:ligatures w14:val="none"/>
              </w:rPr>
            </w:r>
          </w:p>
        </w:tc>
        <w:tc>
          <w:tcPr>
            <w:tcW w:w="2039" w:type="dxa"/>
            <w:tcBorders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0"/>
                <w:szCs w:val="20"/>
                <w:lang w:val="pt-BR" w:eastAsia="pt-BR" w:bidi="ar-SA"/>
                <w14:ligatures w14:val="none"/>
              </w:rPr>
              <w:t>Total</w:t>
            </w:r>
          </w:p>
        </w:tc>
        <w:tc>
          <w:tcPr>
            <w:tcW w:w="1930" w:type="dxa"/>
            <w:tcBorders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107</w:t>
            </w:r>
          </w:p>
        </w:tc>
        <w:tc>
          <w:tcPr>
            <w:tcW w:w="2124" w:type="dxa"/>
            <w:tcBorders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t>76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36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pt-BR" w:eastAsia="en-US" w:bidi="ar-SA"/>
              </w:rPr>
            </w:r>
            <w:bookmarkStart w:id="11" w:name="_Hlk219112311"/>
            <w:bookmarkEnd w:id="11"/>
          </w:p>
        </w:tc>
      </w:tr>
    </w:tbl>
    <w:p>
      <w:pPr>
        <w:pStyle w:val="BodyText"/>
        <w:spacing w:lineRule="auto" w:line="240" w:before="0" w:after="1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*F = Frequency ** Fisher’s exact test (p &lt; 0.05 was considered statistically significant). Haplotypes were qualitatively categorized as associated with high, intermediate, or low serum MBL expression based on previously described patterns </w:t>
      </w:r>
      <w:sdt>
        <w:sdtPr>
          <w:tag w:val="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"/>
          <w:id w:val="1148166860"/>
          <w:placeholder>
            <w:docPart w:val="7960702D7E3D450EBDDC4AC6C2F9E2E6"/>
          </w:placeholder>
        </w:sdtPr>
        <w:sdtContent>
          <w:r>
            <w:rPr>
              <w:sz w:val="20"/>
              <w:szCs w:val="20"/>
              <w:lang w:val="en-US"/>
            </w:rPr>
          </w:r>
          <w:r>
            <w:rPr>
              <w:sz w:val="20"/>
              <w:szCs w:val="20"/>
              <w:lang w:val="en-US"/>
            </w:rPr>
            <w:t>(Garred et al., 2003; Vasconcelos et al., 2011; Figueiredo et al., 2016)</w:t>
          </w:r>
        </w:sdtContent>
      </w:sdt>
      <w:r>
        <w:rPr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 xml:space="preserve">Serum MBL levels were not measured in this study.  </w:t>
      </w:r>
    </w:p>
    <w:p>
      <w:pPr>
        <w:pStyle w:val="BodyText"/>
        <w:spacing w:lineRule="auto" w:line="240" w:before="0" w:after="120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</w:r>
    </w:p>
    <w:p>
      <w:pPr>
        <w:pStyle w:val="BodyText"/>
        <w:spacing w:lineRule="auto" w:line="240" w:before="0" w:after="120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</w:r>
    </w:p>
    <w:p>
      <w:pPr>
        <w:pStyle w:val="BodyText"/>
        <w:spacing w:lineRule="auto" w:line="240" w:before="0" w:after="120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</w:r>
    </w:p>
    <w:p>
      <w:pPr>
        <w:pStyle w:val="BodyText"/>
        <w:spacing w:lineRule="auto" w:line="240" w:before="0" w:after="120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</w:r>
    </w:p>
    <w:p>
      <w:pPr>
        <w:pStyle w:val="BodyText"/>
        <w:spacing w:lineRule="auto" w:line="240" w:before="0" w:after="120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</w:r>
    </w:p>
    <w:p>
      <w:pPr>
        <w:pStyle w:val="BodyText"/>
        <w:spacing w:lineRule="auto" w:line="240" w:before="0" w:after="120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</w:r>
    </w:p>
    <w:p>
      <w:pPr>
        <w:pStyle w:val="BodyText"/>
        <w:spacing w:lineRule="auto" w:line="240" w:before="0" w:after="120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</w:r>
    </w:p>
    <w:p>
      <w:pPr>
        <w:pStyle w:val="BodyText"/>
        <w:spacing w:lineRule="auto" w:line="240" w:before="0" w:after="120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</w:r>
    </w:p>
    <w:p>
      <w:pPr>
        <w:pStyle w:val="Normal"/>
        <w:keepNext w:val="true"/>
        <w:spacing w:before="0" w:after="80"/>
        <w:jc w:val="both"/>
        <w:rPr>
          <w:lang w:val="en-US"/>
        </w:rPr>
      </w:pPr>
      <w:r>
        <w:rPr>
          <w:rFonts w:eastAsia="Times New Roman" w:cs="Times New Roman" w:ascii="Times New Roman" w:hAnsi="Times New Roman"/>
          <w:b/>
          <w:color w:val="000000"/>
          <w:lang w:val="en-US"/>
        </w:rPr>
        <w:t xml:space="preserve">Supplementary Table S2. </w:t>
      </w:r>
      <w:r>
        <w:rPr>
          <w:rFonts w:eastAsia="Times New Roman" w:cs="Times New Roman" w:ascii="Times New Roman" w:hAnsi="Times New Roman"/>
          <w:color w:val="000000"/>
          <w:lang w:val="en-US"/>
        </w:rPr>
        <w:t xml:space="preserve">Association of </w:t>
      </w:r>
      <w:r>
        <w:rPr>
          <w:rFonts w:eastAsia="Times New Roman" w:cs="Times New Roman" w:ascii="Times New Roman" w:hAnsi="Times New Roman"/>
          <w:i/>
          <w:color w:val="000000"/>
          <w:lang w:val="en-US"/>
        </w:rPr>
        <w:t>MBL2</w:t>
      </w:r>
      <w:r>
        <w:rPr>
          <w:rFonts w:eastAsia="Times New Roman" w:cs="Times New Roman" w:ascii="Times New Roman" w:hAnsi="Times New Roman"/>
          <w:color w:val="000000"/>
          <w:lang w:val="en-US"/>
        </w:rPr>
        <w:t xml:space="preserve"> gene allele-carrier status with EBV seropositivity in the study population.</w:t>
      </w:r>
    </w:p>
    <w:tbl>
      <w:tblPr>
        <w:tblW w:w="10010" w:type="dxa"/>
        <w:jc w:val="start"/>
        <w:tblInd w:w="-87" w:type="dxa"/>
        <w:tblLayout w:type="fixed"/>
        <w:tblCellMar>
          <w:top w:w="35" w:type="dxa"/>
          <w:start w:w="55" w:type="dxa"/>
          <w:bottom w:w="35" w:type="dxa"/>
          <w:end w:w="55" w:type="dxa"/>
        </w:tblCellMar>
        <w:tblLook w:val="04a0" w:firstRow="1" w:noVBand="1" w:lastRow="0" w:firstColumn="1" w:lastColumn="0" w:noHBand="0"/>
      </w:tblPr>
      <w:tblGrid>
        <w:gridCol w:w="1470"/>
        <w:gridCol w:w="1020"/>
        <w:gridCol w:w="1244"/>
        <w:gridCol w:w="748"/>
        <w:gridCol w:w="1893"/>
        <w:gridCol w:w="1259"/>
        <w:gridCol w:w="675"/>
        <w:gridCol w:w="1701"/>
      </w:tblGrid>
      <w:tr>
        <w:trPr>
          <w:cantSplit/>
        </w:trPr>
        <w:tc>
          <w:tcPr>
            <w:tcW w:w="1470" w:type="dxa"/>
            <w:tcBorders>
              <w:top w:val="single" w:sz="4" w:space="0" w:color="777777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Variants</w:t>
            </w:r>
          </w:p>
        </w:tc>
        <w:tc>
          <w:tcPr>
            <w:tcW w:w="1020" w:type="dxa"/>
            <w:tcBorders>
              <w:top w:val="single" w:sz="4" w:space="0" w:color="777777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Infection</w:t>
            </w:r>
          </w:p>
        </w:tc>
        <w:tc>
          <w:tcPr>
            <w:tcW w:w="3885" w:type="dxa"/>
            <w:gridSpan w:val="3"/>
            <w:tcBorders>
              <w:top w:val="single" w:sz="4" w:space="0" w:color="777777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Patients with ALL</w:t>
            </w:r>
          </w:p>
        </w:tc>
        <w:tc>
          <w:tcPr>
            <w:tcW w:w="3635" w:type="dxa"/>
            <w:gridSpan w:val="3"/>
            <w:tcBorders>
              <w:top w:val="single" w:sz="4" w:space="0" w:color="777777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Control group</w:t>
            </w:r>
          </w:p>
        </w:tc>
      </w:tr>
      <w:tr>
        <w:trPr>
          <w:cantSplit/>
        </w:trPr>
        <w:tc>
          <w:tcPr>
            <w:tcW w:w="14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EBV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Total infected</w:t>
              <w:br/>
              <w:t>(n = 86)</w:t>
            </w:r>
          </w:p>
        </w:tc>
        <w:tc>
          <w:tcPr>
            <w:tcW w:w="74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p*</w:t>
            </w:r>
          </w:p>
        </w:tc>
        <w:tc>
          <w:tcPr>
            <w:tcW w:w="1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OR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Total infected</w:t>
              <w:br/>
              <w:t>(n = 67)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p*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OR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(95% CI)</w:t>
            </w:r>
          </w:p>
        </w:tc>
      </w:tr>
      <w:tr>
        <w:trPr>
          <w:cantSplit/>
        </w:trPr>
        <w:tc>
          <w:tcPr>
            <w:tcW w:w="14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Promoter</w:t>
              <w:br/>
              <w:t>-550</w:t>
            </w:r>
          </w:p>
        </w:tc>
        <w:tc>
          <w:tcPr>
            <w:tcW w:w="102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H/_</w:t>
            </w:r>
          </w:p>
        </w:tc>
        <w:tc>
          <w:tcPr>
            <w:tcW w:w="1244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60/74</w:t>
            </w:r>
          </w:p>
        </w:tc>
        <w:tc>
          <w:tcPr>
            <w:tcW w:w="74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0.796</w:t>
            </w:r>
          </w:p>
        </w:tc>
        <w:tc>
          <w:tcPr>
            <w:tcW w:w="1893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1.15 (0.44- 3.16)</w:t>
            </w:r>
          </w:p>
        </w:tc>
        <w:tc>
          <w:tcPr>
            <w:tcW w:w="1259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42/47</w:t>
            </w:r>
          </w:p>
        </w:tc>
        <w:tc>
          <w:tcPr>
            <w:tcW w:w="675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0.724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1.34 (0.38-5.15)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>
              <w:bottom w:val="single" w:sz="4" w:space="0" w:color="000000"/>
            </w:tcBorders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L/_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73/93</w:t>
            </w:r>
          </w:p>
        </w:tc>
        <w:tc>
          <w:tcPr>
            <w:tcW w:w="74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0.294</w:t>
            </w:r>
          </w:p>
        </w:tc>
        <w:tc>
          <w:tcPr>
            <w:tcW w:w="189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0.28 (0.02 -1.75)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57/65</w:t>
            </w:r>
          </w:p>
        </w:tc>
        <w:tc>
          <w:tcPr>
            <w:tcW w:w="67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&gt;0.999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0.71 (0.05-4.87)</w:t>
            </w:r>
          </w:p>
        </w:tc>
      </w:tr>
      <w:tr>
        <w:trPr>
          <w:cantSplit/>
        </w:trPr>
        <w:tc>
          <w:tcPr>
            <w:tcW w:w="14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Promoter</w:t>
              <w:br/>
              <w:t>-221</w:t>
            </w:r>
          </w:p>
        </w:tc>
        <w:tc>
          <w:tcPr>
            <w:tcW w:w="102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X/_</w:t>
            </w:r>
          </w:p>
        </w:tc>
        <w:tc>
          <w:tcPr>
            <w:tcW w:w="1244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13/20</w:t>
            </w:r>
          </w:p>
        </w:tc>
        <w:tc>
          <w:tcPr>
            <w:tcW w:w="74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0.066</w:t>
            </w:r>
          </w:p>
        </w:tc>
        <w:tc>
          <w:tcPr>
            <w:tcW w:w="1893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0.35 (0.12- 0.97)</w:t>
            </w:r>
          </w:p>
        </w:tc>
        <w:tc>
          <w:tcPr>
            <w:tcW w:w="1259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16/19</w:t>
            </w:r>
          </w:p>
        </w:tc>
        <w:tc>
          <w:tcPr>
            <w:tcW w:w="675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0.682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0.62 (0.16-2.51)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>
              <w:bottom w:val="single" w:sz="4" w:space="0" w:color="000000"/>
            </w:tcBorders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Y/_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86/106</w:t>
            </w:r>
          </w:p>
        </w:tc>
        <w:tc>
          <w:tcPr>
            <w:tcW w:w="74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0.196</w:t>
            </w:r>
          </w:p>
        </w:tc>
        <w:tc>
          <w:tcPr>
            <w:tcW w:w="189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-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66/75</w:t>
            </w:r>
          </w:p>
        </w:tc>
        <w:tc>
          <w:tcPr>
            <w:tcW w:w="67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&gt;0.999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sz w:val="20"/>
                <w:szCs w:val="20"/>
              </w:rPr>
              <w:t>-</w:t>
            </w:r>
          </w:p>
        </w:tc>
      </w:tr>
      <w:tr>
        <w:trPr>
          <w:cantSplit/>
        </w:trPr>
        <w:tc>
          <w:tcPr>
            <w:tcW w:w="14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Exon 1</w:t>
            </w:r>
          </w:p>
        </w:tc>
        <w:tc>
          <w:tcPr>
            <w:tcW w:w="102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A/_</w:t>
            </w:r>
          </w:p>
        </w:tc>
        <w:tc>
          <w:tcPr>
            <w:tcW w:w="1244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53/65</w:t>
            </w:r>
          </w:p>
        </w:tc>
        <w:tc>
          <w:tcPr>
            <w:tcW w:w="74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0.804</w:t>
            </w:r>
          </w:p>
        </w:tc>
        <w:tc>
          <w:tcPr>
            <w:tcW w:w="1893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1.20 (0.48-3.17)</w:t>
            </w:r>
          </w:p>
        </w:tc>
        <w:tc>
          <w:tcPr>
            <w:tcW w:w="1259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42/49</w:t>
            </w:r>
          </w:p>
        </w:tc>
        <w:tc>
          <w:tcPr>
            <w:tcW w:w="675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0.478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0.48 (0.09-2.55)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O/_</w:t>
            </w:r>
          </w:p>
        </w:tc>
        <w:tc>
          <w:tcPr>
            <w:tcW w:w="124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72/91</w:t>
            </w:r>
          </w:p>
        </w:tc>
        <w:tc>
          <w:tcPr>
            <w:tcW w:w="74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0.733</w:t>
            </w:r>
          </w:p>
        </w:tc>
        <w:tc>
          <w:tcPr>
            <w:tcW w:w="189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0.54 (0.11- 2.49)</w:t>
            </w:r>
          </w:p>
        </w:tc>
        <w:tc>
          <w:tcPr>
            <w:tcW w:w="12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59/68</w:t>
            </w:r>
          </w:p>
        </w:tc>
        <w:tc>
          <w:tcPr>
            <w:tcW w:w="67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B/_</w:t>
            </w:r>
          </w:p>
        </w:tc>
        <w:tc>
          <w:tcPr>
            <w:tcW w:w="124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47/59</w:t>
            </w:r>
          </w:p>
        </w:tc>
        <w:tc>
          <w:tcPr>
            <w:tcW w:w="74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&gt;0.999</w:t>
            </w:r>
          </w:p>
        </w:tc>
        <w:tc>
          <w:tcPr>
            <w:tcW w:w="189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0.90 (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0.36-2.36)</w:t>
            </w:r>
          </w:p>
        </w:tc>
        <w:tc>
          <w:tcPr>
            <w:tcW w:w="12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40/43</w:t>
            </w:r>
          </w:p>
        </w:tc>
        <w:tc>
          <w:tcPr>
            <w:tcW w:w="67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0.165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2.96 (0.77-11.38)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>
              <w:bottom w:val="single" w:sz="4" w:space="0" w:color="000000"/>
            </w:tcBorders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D/_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54/66</w:t>
            </w:r>
          </w:p>
        </w:tc>
        <w:tc>
          <w:tcPr>
            <w:tcW w:w="74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0.627</w:t>
            </w:r>
          </w:p>
        </w:tc>
        <w:tc>
          <w:tcPr>
            <w:tcW w:w="189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sz w:val="20"/>
                <w:szCs w:val="20"/>
              </w:rPr>
              <w:t>1.26 (0.50- 3.34)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43/50</w:t>
            </w:r>
          </w:p>
        </w:tc>
        <w:tc>
          <w:tcPr>
            <w:tcW w:w="67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sz w:val="20"/>
                <w:szCs w:val="20"/>
              </w:rPr>
              <w:t>0.483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sz w:val="20"/>
                <w:szCs w:val="20"/>
              </w:rPr>
              <w:t xml:space="preserve">   </w:t>
            </w:r>
            <w:r>
              <w:rPr>
                <w:rFonts w:eastAsia="Arial" w:cs="Times New Roman" w:ascii="Times New Roman" w:hAnsi="Times New Roman"/>
                <w:color w:themeColor="text1" w:val="000000"/>
                <w:sz w:val="20"/>
                <w:szCs w:val="20"/>
              </w:rPr>
              <w:t xml:space="preserve">0.50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(0.09-2.67)</w:t>
            </w:r>
          </w:p>
        </w:tc>
      </w:tr>
    </w:tbl>
    <w:p>
      <w:pPr>
        <w:pStyle w:val="BodyText3"/>
        <w:rPr/>
      </w:pPr>
      <w:r>
        <w:rPr/>
        <w:t xml:space="preserve">Values are infected/total within the displayed carrier category. The "_" denotes any other allele. Bold indicates nominal P &lt; 0.05. </w:t>
      </w:r>
    </w:p>
    <w:p>
      <w:pPr>
        <w:pStyle w:val="BodyText"/>
        <w:spacing w:lineRule="auto" w:line="240" w:before="0" w:after="24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keepNext w:val="true"/>
        <w:spacing w:before="0" w:after="80"/>
        <w:jc w:val="both"/>
        <w:rPr>
          <w:lang w:val="en-US"/>
        </w:rPr>
      </w:pPr>
      <w:r>
        <w:rPr>
          <w:rFonts w:eastAsia="Times New Roman" w:cs="Times New Roman" w:ascii="Times New Roman" w:hAnsi="Times New Roman"/>
          <w:b/>
          <w:color w:val="000000"/>
          <w:lang w:val="en-US"/>
        </w:rPr>
        <w:t xml:space="preserve">Supplementary Table S3. </w:t>
      </w:r>
      <w:r>
        <w:rPr>
          <w:rFonts w:eastAsia="Times New Roman" w:cs="Times New Roman" w:ascii="Times New Roman" w:hAnsi="Times New Roman"/>
          <w:color w:val="000000"/>
          <w:lang w:val="en-US"/>
        </w:rPr>
        <w:t xml:space="preserve">Association of </w:t>
      </w:r>
      <w:r>
        <w:rPr>
          <w:rFonts w:eastAsia="Times New Roman" w:cs="Times New Roman" w:ascii="Times New Roman" w:hAnsi="Times New Roman"/>
          <w:i/>
          <w:color w:val="000000"/>
          <w:lang w:val="en-US"/>
        </w:rPr>
        <w:t>MBL2</w:t>
      </w:r>
      <w:r>
        <w:rPr>
          <w:rFonts w:eastAsia="Times New Roman" w:cs="Times New Roman" w:ascii="Times New Roman" w:hAnsi="Times New Roman"/>
          <w:color w:val="000000"/>
          <w:lang w:val="en-US"/>
        </w:rPr>
        <w:t xml:space="preserve"> gene genotypes with EBV seropositivity.</w:t>
      </w:r>
    </w:p>
    <w:tbl>
      <w:tblPr>
        <w:tblW w:w="9731" w:type="dxa"/>
        <w:jc w:val="center"/>
        <w:tblInd w:w="0" w:type="dxa"/>
        <w:tblLayout w:type="fixed"/>
        <w:tblCellMar>
          <w:top w:w="35" w:type="dxa"/>
          <w:start w:w="55" w:type="dxa"/>
          <w:bottom w:w="35" w:type="dxa"/>
          <w:end w:w="55" w:type="dxa"/>
        </w:tblCellMar>
        <w:tblLook w:val="04a0" w:firstRow="1" w:noVBand="1" w:lastRow="0" w:firstColumn="1" w:lastColumn="0" w:noHBand="0"/>
      </w:tblPr>
      <w:tblGrid>
        <w:gridCol w:w="1470"/>
        <w:gridCol w:w="940"/>
        <w:gridCol w:w="1055"/>
        <w:gridCol w:w="788"/>
        <w:gridCol w:w="1852"/>
        <w:gridCol w:w="1260"/>
        <w:gridCol w:w="714"/>
        <w:gridCol w:w="1652"/>
      </w:tblGrid>
      <w:tr>
        <w:trPr>
          <w:tblHeader w:val="true"/>
          <w:cantSplit/>
        </w:trPr>
        <w:tc>
          <w:tcPr>
            <w:tcW w:w="1470" w:type="dxa"/>
            <w:tcBorders>
              <w:top w:val="single" w:sz="4" w:space="0" w:color="777777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Variants</w:t>
            </w:r>
          </w:p>
        </w:tc>
        <w:tc>
          <w:tcPr>
            <w:tcW w:w="940" w:type="dxa"/>
            <w:tcBorders>
              <w:top w:val="single" w:sz="4" w:space="0" w:color="777777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Infection</w:t>
            </w:r>
          </w:p>
        </w:tc>
        <w:tc>
          <w:tcPr>
            <w:tcW w:w="3695" w:type="dxa"/>
            <w:gridSpan w:val="3"/>
            <w:tcBorders>
              <w:top w:val="single" w:sz="4" w:space="0" w:color="777777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Patients with ALL</w:t>
            </w:r>
          </w:p>
        </w:tc>
        <w:tc>
          <w:tcPr>
            <w:tcW w:w="3626" w:type="dxa"/>
            <w:gridSpan w:val="3"/>
            <w:tcBorders>
              <w:top w:val="single" w:sz="4" w:space="0" w:color="777777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Control group</w:t>
            </w:r>
          </w:p>
        </w:tc>
      </w:tr>
      <w:tr>
        <w:trPr>
          <w:cantSplit/>
        </w:trPr>
        <w:tc>
          <w:tcPr>
            <w:tcW w:w="14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EBV</w:t>
            </w:r>
          </w:p>
        </w:tc>
        <w:tc>
          <w:tcPr>
            <w:tcW w:w="10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Total infected</w:t>
              <w:br/>
              <w:t>(n = 86)</w:t>
            </w:r>
          </w:p>
        </w:tc>
        <w:tc>
          <w:tcPr>
            <w:tcW w:w="7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P*</w:t>
            </w:r>
          </w:p>
        </w:tc>
        <w:tc>
          <w:tcPr>
            <w:tcW w:w="1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OR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Total infected</w:t>
              <w:br/>
              <w:t>(n = 67)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P*</w:t>
            </w:r>
          </w:p>
        </w:tc>
        <w:tc>
          <w:tcPr>
            <w:tcW w:w="16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OR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(95% CI)</w:t>
            </w:r>
          </w:p>
        </w:tc>
      </w:tr>
      <w:tr>
        <w:trPr>
          <w:cantSplit/>
        </w:trPr>
        <w:tc>
          <w:tcPr>
            <w:tcW w:w="14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Promoter</w:t>
              <w:br/>
              <w:t>-221</w:t>
            </w:r>
          </w:p>
        </w:tc>
        <w:tc>
          <w:tcPr>
            <w:tcW w:w="94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Y/Y</w:t>
            </w:r>
          </w:p>
        </w:tc>
        <w:tc>
          <w:tcPr>
            <w:tcW w:w="1055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73/87</w:t>
            </w:r>
          </w:p>
        </w:tc>
        <w:tc>
          <w:tcPr>
            <w:tcW w:w="78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52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51/57</w:t>
            </w:r>
          </w:p>
        </w:tc>
        <w:tc>
          <w:tcPr>
            <w:tcW w:w="714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0"/>
                <w:szCs w:val="20"/>
              </w:rPr>
              <w:t>Ref.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>
              <w:bottom w:val="single" w:sz="4" w:space="0" w:color="000000"/>
            </w:tcBorders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X/Y</w:t>
            </w:r>
          </w:p>
        </w:tc>
        <w:tc>
          <w:tcPr>
            <w:tcW w:w="105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13/19</w:t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0.311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0.49 (0.15 -1.46)</w:t>
            </w:r>
          </w:p>
        </w:tc>
        <w:tc>
          <w:tcPr>
            <w:tcW w:w="12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15/18</w:t>
            </w:r>
          </w:p>
        </w:tc>
        <w:tc>
          <w:tcPr>
            <w:tcW w:w="71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0.441</w:t>
            </w:r>
          </w:p>
        </w:tc>
        <w:tc>
          <w:tcPr>
            <w:tcW w:w="16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0.58 (0.15 -2.36)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>
              <w:bottom w:val="single" w:sz="4" w:space="0" w:color="000000"/>
            </w:tcBorders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4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X/X</w:t>
            </w:r>
          </w:p>
        </w:tc>
        <w:tc>
          <w:tcPr>
            <w:tcW w:w="105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0/1</w:t>
            </w:r>
          </w:p>
        </w:tc>
        <w:tc>
          <w:tcPr>
            <w:tcW w:w="78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0.171</w:t>
            </w:r>
          </w:p>
        </w:tc>
        <w:tc>
          <w:tcPr>
            <w:tcW w:w="185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1/1</w:t>
            </w:r>
          </w:p>
        </w:tc>
        <w:tc>
          <w:tcPr>
            <w:tcW w:w="71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&gt;0.999</w:t>
            </w:r>
          </w:p>
        </w:tc>
        <w:tc>
          <w:tcPr>
            <w:tcW w:w="165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>
          <w:cantSplit/>
        </w:trPr>
        <w:tc>
          <w:tcPr>
            <w:tcW w:w="14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Promoter</w:t>
              <w:br/>
              <w:t>-550</w:t>
            </w:r>
          </w:p>
        </w:tc>
        <w:tc>
          <w:tcPr>
            <w:tcW w:w="94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H/H</w:t>
            </w:r>
          </w:p>
        </w:tc>
        <w:tc>
          <w:tcPr>
            <w:tcW w:w="1055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13/14</w:t>
            </w:r>
          </w:p>
        </w:tc>
        <w:tc>
          <w:tcPr>
            <w:tcW w:w="78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0.282</w:t>
            </w:r>
          </w:p>
        </w:tc>
        <w:tc>
          <w:tcPr>
            <w:tcW w:w="1852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3.59(0.51-41.02)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10/11</w:t>
            </w:r>
          </w:p>
        </w:tc>
        <w:tc>
          <w:tcPr>
            <w:tcW w:w="714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&gt;0.999</w:t>
            </w:r>
          </w:p>
        </w:tc>
        <w:tc>
          <w:tcPr>
            <w:tcW w:w="1652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1.25(0.16 -16.67)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H/L</w:t>
            </w:r>
          </w:p>
        </w:tc>
        <w:tc>
          <w:tcPr>
            <w:tcW w:w="105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47/60</w:t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2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32/36</w:t>
            </w:r>
          </w:p>
        </w:tc>
        <w:tc>
          <w:tcPr>
            <w:tcW w:w="71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0"/>
                <w:szCs w:val="20"/>
              </w:rPr>
              <w:t>Ref.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>
              <w:bottom w:val="single" w:sz="4" w:space="0" w:color="000000"/>
            </w:tcBorders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4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L/L</w:t>
            </w:r>
          </w:p>
        </w:tc>
        <w:tc>
          <w:tcPr>
            <w:tcW w:w="105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26/33</w:t>
            </w:r>
          </w:p>
        </w:tc>
        <w:tc>
          <w:tcPr>
            <w:tcW w:w="78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&gt;0.999</w:t>
            </w:r>
          </w:p>
        </w:tc>
        <w:tc>
          <w:tcPr>
            <w:tcW w:w="185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1.02 (0.35- 2.67)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25/29</w:t>
            </w:r>
          </w:p>
        </w:tc>
        <w:tc>
          <w:tcPr>
            <w:tcW w:w="71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&gt;0.999</w:t>
            </w:r>
          </w:p>
        </w:tc>
        <w:tc>
          <w:tcPr>
            <w:tcW w:w="165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0.78 (0.21 - 2.91)</w:t>
            </w:r>
          </w:p>
        </w:tc>
      </w:tr>
      <w:tr>
        <w:trPr>
          <w:cantSplit/>
        </w:trPr>
        <w:tc>
          <w:tcPr>
            <w:tcW w:w="1470" w:type="dxa"/>
            <w:vMerge w:val="restart"/>
            <w:tcBorders>
              <w:top w:val="single" w:sz="4" w:space="0" w:color="000000"/>
              <w:bottom w:val="single" w:sz="4" w:space="0" w:color="777777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Exon 1</w:t>
            </w:r>
          </w:p>
        </w:tc>
        <w:tc>
          <w:tcPr>
            <w:tcW w:w="94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A/A</w:t>
            </w:r>
          </w:p>
        </w:tc>
        <w:tc>
          <w:tcPr>
            <w:tcW w:w="1055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14/16</w:t>
            </w:r>
          </w:p>
        </w:tc>
        <w:tc>
          <w:tcPr>
            <w:tcW w:w="78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0.714</w:t>
            </w:r>
          </w:p>
        </w:tc>
        <w:tc>
          <w:tcPr>
            <w:tcW w:w="1852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1.79 (0.37 -8.93)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8/8</w:t>
            </w:r>
          </w:p>
        </w:tc>
        <w:tc>
          <w:tcPr>
            <w:tcW w:w="714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0.571</w:t>
            </w:r>
          </w:p>
        </w:tc>
        <w:tc>
          <w:tcPr>
            <w:tcW w:w="1652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A/O</w:t>
            </w:r>
          </w:p>
        </w:tc>
        <w:tc>
          <w:tcPr>
            <w:tcW w:w="105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39/49</w:t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2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34/41</w:t>
            </w:r>
          </w:p>
        </w:tc>
        <w:tc>
          <w:tcPr>
            <w:tcW w:w="71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0"/>
                <w:szCs w:val="20"/>
              </w:rPr>
              <w:t>Ref.</w:t>
            </w:r>
          </w:p>
        </w:tc>
      </w:tr>
      <w:tr>
        <w:trPr>
          <w:cantSplit/>
        </w:trPr>
        <w:tc>
          <w:tcPr>
            <w:tcW w:w="1470" w:type="dxa"/>
            <w:vMerge w:val="continue"/>
            <w:tcBorders>
              <w:bottom w:val="single" w:sz="4" w:space="0" w:color="777777"/>
            </w:tcBorders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40" w:type="dxa"/>
            <w:tcBorders>
              <w:bottom w:val="single" w:sz="4" w:space="0" w:color="777777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O/O</w:t>
            </w:r>
          </w:p>
        </w:tc>
        <w:tc>
          <w:tcPr>
            <w:tcW w:w="1055" w:type="dxa"/>
            <w:tcBorders>
              <w:bottom w:val="single" w:sz="4" w:space="0" w:color="777777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33/42</w:t>
            </w:r>
          </w:p>
        </w:tc>
        <w:tc>
          <w:tcPr>
            <w:tcW w:w="788" w:type="dxa"/>
            <w:tcBorders>
              <w:bottom w:val="single" w:sz="4" w:space="0" w:color="777777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&gt;0.999</w:t>
            </w:r>
          </w:p>
        </w:tc>
        <w:tc>
          <w:tcPr>
            <w:tcW w:w="1852" w:type="dxa"/>
            <w:tcBorders>
              <w:bottom w:val="single" w:sz="4" w:space="0" w:color="777777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0.94 (0.36 -2.52)</w:t>
            </w:r>
          </w:p>
        </w:tc>
        <w:tc>
          <w:tcPr>
            <w:tcW w:w="1260" w:type="dxa"/>
            <w:tcBorders>
              <w:bottom w:val="single" w:sz="4" w:space="0" w:color="777777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25/27</w:t>
            </w:r>
          </w:p>
        </w:tc>
        <w:tc>
          <w:tcPr>
            <w:tcW w:w="714" w:type="dxa"/>
            <w:tcBorders>
              <w:bottom w:val="single" w:sz="4" w:space="0" w:color="777777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&gt;0.999</w:t>
            </w:r>
          </w:p>
        </w:tc>
        <w:tc>
          <w:tcPr>
            <w:tcW w:w="1652" w:type="dxa"/>
            <w:tcBorders>
              <w:bottom w:val="single" w:sz="4" w:space="0" w:color="777777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1.37 (0.36 - 5.36)</w:t>
            </w:r>
          </w:p>
        </w:tc>
      </w:tr>
    </w:tbl>
    <w:p>
      <w:pPr>
        <w:pStyle w:val="BodyText3"/>
        <w:spacing w:before="60" w:after="240"/>
        <w:rPr/>
        <w:sectPr>
          <w:type w:val="nextPage"/>
          <w:pgSz w:w="11906" w:h="16838"/>
          <w:pgMar w:left="1515" w:right="1134" w:gutter="0" w:header="0" w:top="1701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rPr/>
        <w:t xml:space="preserve">Values are infected/total within the displayed carrier category. Each locus was analyzed as one categorical predictor using the displayed reference genotype. Bold indicates nominal P &lt; 0.05.    </w:t>
      </w:r>
      <w:r>
        <w:br w:type="page"/>
      </w:r>
    </w:p>
    <w:p>
      <w:pPr>
        <w:pStyle w:val="Normal"/>
        <w:spacing w:before="0" w:after="80"/>
        <w:rPr/>
      </w:pPr>
      <w:r>
        <w:rPr>
          <w:rFonts w:ascii="Times New Roman" w:hAnsi="Times New Roman"/>
          <w:b/>
          <w:i w:val="false"/>
          <w:sz w:val="20"/>
        </w:rPr>
        <w:t xml:space="preserve">Supplementary Table S4. Association of </w:t>
      </w:r>
      <w:r>
        <w:rPr>
          <w:rFonts w:ascii="Times New Roman" w:hAnsi="Times New Roman"/>
          <w:b/>
          <w:i/>
          <w:sz w:val="20"/>
        </w:rPr>
        <w:t>MBL2</w:t>
      </w:r>
      <w:r>
        <w:rPr>
          <w:rFonts w:ascii="Times New Roman" w:hAnsi="Times New Roman"/>
          <w:b/>
          <w:i w:val="false"/>
          <w:sz w:val="20"/>
        </w:rPr>
        <w:t xml:space="preserve"> gene expression haplotype groups with CMV, EBV, and dual seropositivity</w:t>
      </w:r>
    </w:p>
    <w:tbl>
      <w:tblPr>
        <w:tblStyle w:val="TableGrid"/>
        <w:tblW w:w="1022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461"/>
        <w:gridCol w:w="1460"/>
        <w:gridCol w:w="1462"/>
        <w:gridCol w:w="1460"/>
        <w:gridCol w:w="1462"/>
        <w:gridCol w:w="1460"/>
        <w:gridCol w:w="1462"/>
      </w:tblGrid>
      <w:tr>
        <w:trPr/>
        <w:tc>
          <w:tcPr>
            <w:tcW w:w="1461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Haplotype group</w:t>
            </w:r>
          </w:p>
        </w:tc>
        <w:tc>
          <w:tcPr>
            <w:tcW w:w="438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Patients with ALL</w:t>
            </w:r>
          </w:p>
        </w:tc>
        <w:tc>
          <w:tcPr>
            <w:tcW w:w="4384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Control group</w:t>
            </w:r>
          </w:p>
        </w:tc>
      </w:tr>
      <w:tr>
        <w:trPr/>
        <w:tc>
          <w:tcPr>
            <w:tcW w:w="146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Total infected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</w: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n/N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Adjusted OR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</w: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(95% CI)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p*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Total infected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</w: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n/N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Adjusted OR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</w: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(95% CI)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p*</w:t>
            </w:r>
          </w:p>
        </w:tc>
      </w:tr>
      <w:tr>
        <w:trPr/>
        <w:tc>
          <w:tcPr>
            <w:tcW w:w="10227" w:type="dxa"/>
            <w:gridSpan w:val="7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CMV</w:t>
            </w:r>
          </w:p>
        </w:tc>
      </w:tr>
      <w:tr>
        <w:trPr/>
        <w:tc>
          <w:tcPr>
            <w:tcW w:w="14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ind w:start="173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MBL-sufficient (high + intermediate)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51/56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0.87 (0.22–3.26)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0.831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37/39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2.91 (0.65–17.24)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0.167</w:t>
            </w:r>
          </w:p>
        </w:tc>
      </w:tr>
      <w:tr>
        <w:trPr/>
        <w:tc>
          <w:tcPr>
            <w:tcW w:w="14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ind w:start="173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MBL-deficient (low)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47/51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1.00 (reference)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—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32/37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1.00 (reference)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—</w:t>
            </w:r>
          </w:p>
        </w:tc>
      </w:tr>
      <w:tr>
        <w:trPr/>
        <w:tc>
          <w:tcPr>
            <w:tcW w:w="14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Total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98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69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0227" w:type="dxa"/>
            <w:gridSpan w:val="7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EBV</w:t>
            </w:r>
          </w:p>
        </w:tc>
      </w:tr>
      <w:tr>
        <w:trPr/>
        <w:tc>
          <w:tcPr>
            <w:tcW w:w="14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ind w:start="173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MBL-sufficient (high + intermediate)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47/56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1.69 (0.64–4.64)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0.291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35/39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1.61 (0.39–7.03)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0.509</w:t>
            </w:r>
          </w:p>
        </w:tc>
      </w:tr>
      <w:tr>
        <w:trPr/>
        <w:tc>
          <w:tcPr>
            <w:tcW w:w="14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ind w:start="173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MBL-deficient (low)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39/51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1.00 (reference)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—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32/37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1.00 (reference)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—</w:t>
            </w:r>
          </w:p>
        </w:tc>
      </w:tr>
      <w:tr>
        <w:trPr/>
        <w:tc>
          <w:tcPr>
            <w:tcW w:w="14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Total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86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67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0227" w:type="dxa"/>
            <w:gridSpan w:val="7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DUAL SEROPOSITIVITY</w:t>
            </w:r>
          </w:p>
        </w:tc>
      </w:tr>
      <w:tr>
        <w:trPr/>
        <w:tc>
          <w:tcPr>
            <w:tcW w:w="14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ind w:start="173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MBL-sufficient (high + intermediate)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43/56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1.29 (0.53–3.21)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0.573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33/39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1.71 (0.54–5.80)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0.364</w:t>
            </w:r>
          </w:p>
        </w:tc>
      </w:tr>
      <w:tr>
        <w:trPr/>
        <w:tc>
          <w:tcPr>
            <w:tcW w:w="14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ind w:start="173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MBL-deficient (low)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37/51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1.00 (reference)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—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29/37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1.00 (reference)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 w:val="false"/>
                <w:i w:val="false"/>
                <w:kern w:val="0"/>
                <w:sz w:val="20"/>
                <w:szCs w:val="22"/>
                <w:lang w:val="en-US" w:eastAsia="en-US" w:bidi="ar-SA"/>
              </w:rPr>
              <w:t>—</w:t>
            </w:r>
          </w:p>
        </w:tc>
      </w:tr>
      <w:tr>
        <w:trPr/>
        <w:tc>
          <w:tcPr>
            <w:tcW w:w="14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Total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80</w:t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i w:val="false"/>
                <w:kern w:val="0"/>
                <w:sz w:val="20"/>
                <w:szCs w:val="22"/>
                <w:lang w:val="en-US" w:eastAsia="en-US" w:bidi="ar-SA"/>
              </w:rPr>
              <w:t>62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20" w:after="2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spacing w:before="80" w:after="200"/>
        <w:rPr/>
      </w:pPr>
      <w:r>
        <w:rPr>
          <w:rFonts w:eastAsia="Times New Roman" w:cs="Times New Roman" w:ascii="Times New Roman" w:hAnsi="Times New Roman"/>
          <w:i/>
          <w:color w:val="000000"/>
          <w:sz w:val="18"/>
          <w:szCs w:val="20"/>
          <w:lang w:val="en-US"/>
        </w:rPr>
        <w:t>Haplotypes were grouped by predicted serum MBL expression (Garred et al., 2003; Vasconcelos et al., 2011; Figueiredo et al., 2016) into MBL-sufficient (high- and intermediate-expression diplotypes: YA/YA, YA/YO and YA/XA) and MBL-deficient (low-expression diplotypes: XO-containing and O/O). Odds ratios were estimated by Firth penalized logistic regression adjusted for age and sex, with the MBL-deficient group as reference. The three-expression-level stratification is provided descriptively in Table S[x]; it was collapsed for inference because the high-expression stratum (12 patients, 7 controls) produced non-estimable estimates due to complete separation.  *p from the penalized likelihood-ratio test.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cs="Times New Roman" w:ascii="Times New Roman" w:hAnsi="Times New Roman"/>
          <w:sz w:val="20"/>
          <w:szCs w:val="20"/>
          <w:lang w:val="en-US"/>
        </w:rPr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  <w:sz w:val="20"/>
          <w:szCs w:val="20"/>
        </w:rPr>
      </w:pPr>
      <w:r>
        <w:rPr/>
        <w:drawing>
          <wp:inline distT="0" distB="0" distL="0" distR="0">
            <wp:extent cx="5022215" cy="2470150"/>
            <wp:effectExtent l="0" t="0" r="0" b="0"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12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15" cy="24701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  <w:t>Figure S1</w:t>
      </w:r>
      <w:r>
        <w:rPr>
          <w:rFonts w:cs="Times New Roman" w:ascii="Times New Roman" w:hAnsi="Times New Roman"/>
          <w:lang w:val="en-US"/>
        </w:rPr>
        <w:t>. Experimental structure of MBL available in the PDB (1HUP). (A) MBL monomer; (B) trimer, top view (C3 symmetry); (C) trimer, side view, showing the helical regions and the carbohydrate-recognition domain (CRD).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  <w:b/>
          <w:bCs/>
        </w:rPr>
      </w:pPr>
      <w:r>
        <w:rPr/>
        <w:drawing>
          <wp:inline distT="0" distB="0" distL="0" distR="0">
            <wp:extent cx="5416550" cy="3635375"/>
            <wp:effectExtent l="0" t="0" r="0" b="0"/>
            <wp:docPr id="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4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8349" t="0" r="7842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363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  <w:t>Figure S2.</w:t>
      </w:r>
      <w:r>
        <w:rPr>
          <w:rFonts w:cs="Times New Roman" w:ascii="Times New Roman" w:hAnsi="Times New Roman"/>
          <w:lang w:val="en-US"/>
        </w:rPr>
        <w:t xml:space="preserve"> </w:t>
      </w:r>
      <w:r>
        <w:rPr>
          <w:rFonts w:cs="Times New Roman" w:ascii="Times New Roman" w:hAnsi="Times New Roman"/>
          <w:b/>
          <w:bCs/>
          <w:lang w:val="en-US"/>
        </w:rPr>
        <w:t>Predicted local confidence (pLDDT) per residue for the five ranked AlphaFold models of the MBL monomer.</w:t>
      </w:r>
      <w:r>
        <w:rPr>
          <w:rFonts w:cs="Times New Roman" w:ascii="Times New Roman" w:hAnsi="Times New Roman"/>
          <w:lang w:val="en-US"/>
        </w:rPr>
        <w:t xml:space="preserve"> Higher values indicate greater confidence; the C-terminal neck+CRD region (approx. residues 110-240) shows high confidence.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6463030" cy="1416050"/>
            <wp:effectExtent l="0" t="0" r="0" b="0"/>
            <wp:docPr id="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29331" r="0" b="31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030" cy="141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  <w:t>Figure S3.</w:t>
      </w:r>
      <w:r>
        <w:rPr>
          <w:rFonts w:cs="Times New Roman" w:ascii="Times New Roman" w:hAnsi="Times New Roman"/>
          <w:lang w:val="en-US"/>
        </w:rPr>
        <w:t xml:space="preserve"> </w:t>
      </w:r>
      <w:r>
        <w:rPr>
          <w:rFonts w:cs="Times New Roman" w:ascii="Times New Roman" w:hAnsi="Times New Roman"/>
          <w:b/>
          <w:bCs/>
          <w:lang w:val="en-US"/>
        </w:rPr>
        <w:t>Predicted aligned error (PAE) for the five AlphaFold models.</w:t>
      </w:r>
      <w:r>
        <w:rPr>
          <w:rFonts w:cs="Times New Roman" w:ascii="Times New Roman" w:hAnsi="Times New Roman"/>
          <w:lang w:val="en-US"/>
        </w:rPr>
        <w:t xml:space="preserve"> Blue denotes lower relative error (higher confidence); red denotes higher uncertainty, notably in the N-terminal region.</w:t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5429250" cy="3594100"/>
            <wp:effectExtent l="0" t="0" r="0" b="0"/>
            <wp:docPr id="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9040" t="0" r="6957" b="1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59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  <w:t>Figure S4.</w:t>
      </w:r>
      <w:r>
        <w:rPr>
          <w:rFonts w:cs="Times New Roman" w:ascii="Times New Roman" w:hAnsi="Times New Roman"/>
          <w:lang w:val="en-US"/>
        </w:rPr>
        <w:t xml:space="preserve"> </w:t>
      </w:r>
      <w:r>
        <w:rPr>
          <w:rFonts w:cs="Times New Roman" w:ascii="Times New Roman" w:hAnsi="Times New Roman"/>
          <w:b/>
          <w:bCs/>
          <w:lang w:val="en-US"/>
        </w:rPr>
        <w:t>Multiple-sequence-alignment (MSA) coverage used by AlphaFold for MBL.</w:t>
      </w:r>
      <w:r>
        <w:rPr>
          <w:rFonts w:cs="Times New Roman" w:ascii="Times New Roman" w:hAnsi="Times New Roman"/>
          <w:lang w:val="en-US"/>
        </w:rPr>
        <w:t xml:space="preserve"> Coverage increases substantially after residue ~110, providing stronger evolutionary support for the C-terminal region.  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cs="Times New Roman" w:ascii="Times New Roman" w:hAnsi="Times New Roman"/>
          <w:sz w:val="20"/>
          <w:szCs w:val="20"/>
          <w:lang w:val="en-US"/>
        </w:rPr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864" w:right="864" w:gutter="0" w:header="432" w:top="893" w:footer="432" w:bottom="893"/>
      <w:pgNumType w:fmt="decimal"/>
      <w:formProt w:val="false"/>
      <w:titlePg/>
      <w:textDirection w:val="lrTb"/>
      <w:docGrid w:type="default" w:linePitch="360" w:charSpace="4294955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8" w:before="0" w:after="160"/>
      <w:jc w:val="star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b0667"/>
    <w:pPr>
      <w:widowControl/>
      <w:suppressAutoHyphens w:val="true"/>
      <w:bidi w:val="0"/>
      <w:spacing w:lineRule="auto" w:line="278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ab0667"/>
    <w:pPr>
      <w:keepNext w:val="true"/>
      <w:keepLines/>
      <w:suppressAutoHyphens w:val="false"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ab0667"/>
    <w:pPr>
      <w:keepNext w:val="true"/>
      <w:keepLines/>
      <w:suppressAutoHyphens w:val="false"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ab0667"/>
    <w:pPr>
      <w:keepNext w:val="true"/>
      <w:keepLines/>
      <w:suppressAutoHyphens w:val="false"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ab0667"/>
    <w:pPr>
      <w:keepNext w:val="true"/>
      <w:keepLines/>
      <w:suppressAutoHyphens w:val="false"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ab0667"/>
    <w:pPr>
      <w:keepNext w:val="true"/>
      <w:keepLines/>
      <w:suppressAutoHyphens w:val="false"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ab0667"/>
    <w:pPr>
      <w:keepNext w:val="true"/>
      <w:keepLines/>
      <w:suppressAutoHyphens w:val="false"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ab0667"/>
    <w:pPr>
      <w:keepNext w:val="true"/>
      <w:keepLines/>
      <w:suppressAutoHyphens w:val="false"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ab0667"/>
    <w:pPr>
      <w:keepNext w:val="true"/>
      <w:keepLines/>
      <w:suppressAutoHyphens w:val="false"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ab0667"/>
    <w:pPr>
      <w:keepNext w:val="true"/>
      <w:keepLines/>
      <w:suppressAutoHyphens w:val="false"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ab066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ab066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ab0667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ab0667"/>
    <w:rPr>
      <w:rFonts w:eastAsia="" w:cs="" w:cstheme="majorBidi" w:eastAsiaTheme="majorEastAsia"/>
      <w:i/>
      <w:iCs/>
      <w:color w:themeColor="accent1" w:themeShade="bf" w:val="2F5496"/>
    </w:rPr>
  </w:style>
  <w:style w:type="character" w:styleId="Ttulo5Char" w:customStyle="1">
    <w:name w:val="Título 5 Char"/>
    <w:basedOn w:val="DefaultParagraphFont"/>
    <w:uiPriority w:val="9"/>
    <w:semiHidden/>
    <w:qFormat/>
    <w:rsid w:val="00ab0667"/>
    <w:rPr>
      <w:rFonts w:eastAsia="" w:cs="" w:cstheme="majorBidi" w:eastAsiaTheme="majorEastAsia"/>
      <w:color w:themeColor="accent1" w:themeShade="bf" w:val="2F5496"/>
    </w:rPr>
  </w:style>
  <w:style w:type="character" w:styleId="Ttulo6Char" w:customStyle="1">
    <w:name w:val="Título 6 Char"/>
    <w:basedOn w:val="DefaultParagraphFont"/>
    <w:uiPriority w:val="9"/>
    <w:semiHidden/>
    <w:qFormat/>
    <w:rsid w:val="00ab0667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ab0667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ab0667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ab0667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ab066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ab066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ab066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b0667"/>
    <w:rPr>
      <w:i/>
      <w:iCs/>
      <w:color w:themeColor="accent1" w:themeShade="bf" w:val="2F5496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ab0667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ab0667"/>
    <w:rPr>
      <w:b/>
      <w:bCs/>
      <w:smallCaps/>
      <w:color w:themeColor="accent1" w:themeShade="bf" w:val="2F5496"/>
      <w:spacing w:val="5"/>
    </w:rPr>
  </w:style>
  <w:style w:type="character" w:styleId="CorpodetextoChar" w:customStyle="1">
    <w:name w:val="Corpo de texto Char"/>
    <w:basedOn w:val="DefaultParagraphFont"/>
    <w:uiPriority w:val="99"/>
    <w:qFormat/>
    <w:rsid w:val="00ab0667"/>
    <w:rPr>
      <w:rFonts w:ascii="Times New Roman" w:hAnsi="Times New Roman" w:cs="Times New Roman"/>
    </w:rPr>
  </w:style>
  <w:style w:type="character" w:styleId="CabealhoChar" w:customStyle="1">
    <w:name w:val="Cabeçalho Char"/>
    <w:basedOn w:val="DefaultParagraphFont"/>
    <w:uiPriority w:val="99"/>
    <w:qFormat/>
    <w:rsid w:val="00ab0667"/>
    <w:rPr/>
  </w:style>
  <w:style w:type="character" w:styleId="RodapChar" w:customStyle="1">
    <w:name w:val="Rodapé Char"/>
    <w:basedOn w:val="DefaultParagraphFont"/>
    <w:uiPriority w:val="99"/>
    <w:qFormat/>
    <w:rsid w:val="00ab0667"/>
    <w:rPr/>
  </w:style>
  <w:style w:type="character" w:styleId="CorpodetextoChar1" w:customStyle="1">
    <w:name w:val="Corpo de texto Char1"/>
    <w:basedOn w:val="DefaultParagraphFont"/>
    <w:uiPriority w:val="99"/>
    <w:semiHidden/>
    <w:qFormat/>
    <w:rsid w:val="00ab0667"/>
    <w:rPr/>
  </w:style>
  <w:style w:type="character" w:styleId="CabealhoChar1" w:customStyle="1">
    <w:name w:val="Cabeçalho Char1"/>
    <w:basedOn w:val="DefaultParagraphFont"/>
    <w:uiPriority w:val="99"/>
    <w:semiHidden/>
    <w:qFormat/>
    <w:rsid w:val="00ab0667"/>
    <w:rPr/>
  </w:style>
  <w:style w:type="character" w:styleId="RodapChar1" w:customStyle="1">
    <w:name w:val="Rodapé Char1"/>
    <w:basedOn w:val="DefaultParagraphFont"/>
    <w:uiPriority w:val="99"/>
    <w:semiHidden/>
    <w:qFormat/>
    <w:rsid w:val="00ab0667"/>
    <w:rPr/>
  </w:style>
  <w:style w:type="character" w:styleId="Corpodetexto3Char" w:customStyle="1">
    <w:name w:val="Corpo de texto 3 Char"/>
    <w:basedOn w:val="DefaultParagraphFont"/>
    <w:link w:val="BodyText3"/>
    <w:uiPriority w:val="99"/>
    <w:qFormat/>
    <w:rsid w:val="00ab0667"/>
    <w:rPr>
      <w:rFonts w:ascii="Times New Roman" w:hAnsi="Times New Roman" w:eastAsia="Times New Roman" w:cs="Times New Roman"/>
      <w:color w:val="000000"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b0667"/>
    <w:rPr/>
  </w:style>
  <w:style w:type="character" w:styleId="Emphasis">
    <w:name w:val="Emphasis"/>
    <w:qFormat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uiPriority w:val="99"/>
    <w:unhideWhenUsed/>
    <w:rsid w:val="00ab0667"/>
    <w:pPr>
      <w:jc w:val="both"/>
    </w:pPr>
    <w:rPr>
      <w:rFonts w:ascii="Times New Roman" w:hAnsi="Times New Roman" w:cs="Times New Roman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tuloChar"/>
    <w:uiPriority w:val="10"/>
    <w:qFormat/>
    <w:rsid w:val="00ab0667"/>
    <w:pPr>
      <w:suppressAutoHyphens w:val="false"/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ab0667"/>
    <w:pPr>
      <w:suppressAutoHyphens w:val="false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ab0667"/>
    <w:pPr>
      <w:suppressAutoHyphens w:val="false"/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b0667"/>
    <w:pPr>
      <w:suppressAutoHyphens w:val="false"/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ab06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false"/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ab0667"/>
    <w:pPr>
      <w:suppressLineNumbers/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ab0667"/>
    <w:pPr>
      <w:suppressLineNumbers/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odyText3">
    <w:name w:val="Body Text 3"/>
    <w:basedOn w:val="Normal"/>
    <w:link w:val="Corpodetexto3Char"/>
    <w:uiPriority w:val="99"/>
    <w:unhideWhenUsed/>
    <w:qFormat/>
    <w:rsid w:val="00ab0667"/>
    <w:pPr>
      <w:spacing w:lineRule="auto" w:line="240" w:before="60" w:after="0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en-US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Lista1Clara-nfase3">
    <w:name w:val="List Table 1 Light Accent 3"/>
    <w:basedOn w:val="Tabelanormal"/>
    <w:uiPriority w:val="46"/>
    <w:rsid w:val="00ab06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60702D7E3D450EBDDC4AC6C2F9E2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2F263F-7DFA-4FDB-A980-0D59535EAD7B}"/>
      </w:docPartPr>
      <w:docPartBody>
        <w:p w:rsidR="00B53819" w:rsidRDefault="00CC6B10" w:rsidP="00CC6B10">
          <w:pPr>
            <w:pStyle w:val="7960702D7E3D450EBDDC4AC6C2F9E2E6"/>
          </w:pPr>
          <w:r w:rsidRPr="00CC24A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C8512DFAE5444338912AE644A6CF1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9D2FCB-B480-455D-AF7B-B8D391AC6808}"/>
      </w:docPartPr>
      <w:docPartBody>
        <w:p w:rsidR="003F21AB" w:rsidRDefault="003A78D7" w:rsidP="003A78D7">
          <w:pPr>
            <w:pStyle w:val="3C8512DFAE5444338912AE644A6CF1A8"/>
          </w:pPr>
          <w:r w:rsidRPr="00CC24A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10"/>
    <w:rsid w:val="001A5A7D"/>
    <w:rsid w:val="00270E43"/>
    <w:rsid w:val="003A78D7"/>
    <w:rsid w:val="003F21AB"/>
    <w:rsid w:val="005006BA"/>
    <w:rsid w:val="00792DC2"/>
    <w:rsid w:val="008A7142"/>
    <w:rsid w:val="009731F1"/>
    <w:rsid w:val="00AD739C"/>
    <w:rsid w:val="00B3116A"/>
    <w:rsid w:val="00B53819"/>
    <w:rsid w:val="00BB1FDD"/>
    <w:rsid w:val="00CA4617"/>
    <w:rsid w:val="00CC6B10"/>
    <w:rsid w:val="00E07887"/>
    <w:rsid w:val="00E4656E"/>
    <w:rsid w:val="00F16E41"/>
    <w:rsid w:val="00FC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A78D7"/>
    <w:rPr>
      <w:color w:val="666666"/>
    </w:rPr>
  </w:style>
  <w:style w:type="paragraph" w:customStyle="1" w:styleId="7960702D7E3D450EBDDC4AC6C2F9E2E6">
    <w:name w:val="7960702D7E3D450EBDDC4AC6C2F9E2E6"/>
    <w:rsid w:val="00CC6B10"/>
  </w:style>
  <w:style w:type="paragraph" w:customStyle="1" w:styleId="3C8512DFAE5444338912AE644A6CF1A8">
    <w:name w:val="3C8512DFAE5444338912AE644A6CF1A8"/>
    <w:rsid w:val="003A78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LibreOffice/26.2.6.3$Windows_X86_64 LibreOffice_project/8221e31b3ac356a1623c672912a3d2b492f7e3d1</Application>
  <AppVersion>15.0000</AppVersion>
  <Pages>5</Pages>
  <Words>856</Words>
  <Characters>4734</Characters>
  <CharactersWithSpaces>5310</CharactersWithSpaces>
  <Paragraphs>314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2026-09-08T20:09:00Z</dcterms:created>
  <dc:creator>Victória Karoline</dc:creator>
  <dc:description/>
  <dc:language>pt-BR</dc:language>
  <cp:lastModifiedBy/>
  <dcterms:modified xsi:type="dcterms:W3CDTF">2026-10-15T17:13:50Z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