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7BDC7B" w14:textId="4661CFC4" w:rsidR="000A3D82" w:rsidRPr="00847386" w:rsidRDefault="00736918" w:rsidP="00847386">
      <w:pPr>
        <w:spacing w:after="16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36918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SUPPLEMENTARY FILE 1: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STROBE STATEMENT</w:t>
      </w:r>
    </w:p>
    <w:p w14:paraId="4E4FC0A2" w14:textId="7DE89F70" w:rsidR="00D27400" w:rsidRPr="00847386" w:rsidRDefault="00D27400" w:rsidP="00847386">
      <w:pPr>
        <w:spacing w:after="2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Manuscript: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Environmental and child-level correlates of traumatic dental injuries in preschool children attending childcare centres in Selangor, Malaysia: a multicentre cross-sectional study</w:t>
      </w:r>
    </w:p>
    <w:p w14:paraId="47280CC2" w14:textId="219E1A40" w:rsidR="00D27400" w:rsidRPr="00847386" w:rsidRDefault="00D27400" w:rsidP="00847386">
      <w:pPr>
        <w:spacing w:after="25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This checklist follows the STROBE Statement (von Elm E, Altman DG, Egger M, Pocock SJ, Gøtzsche PC, Vandenbroucke JP; STROBE Initiative. The Strengthening the Reporting of Observational Studies in Epidemiology (STROBE) statement: guidelines for reporting observational studies. Lancet. 2007;370(9596):1453–1457).</w:t>
      </w:r>
    </w:p>
    <w:tbl>
      <w:tblPr>
        <w:tblStyle w:val="TableGrid"/>
        <w:tblW w:w="15045" w:type="dxa"/>
        <w:tblLook w:val="0000" w:firstRow="0" w:lastRow="0" w:firstColumn="0" w:lastColumn="0" w:noHBand="0" w:noVBand="0"/>
      </w:tblPr>
      <w:tblGrid>
        <w:gridCol w:w="696"/>
        <w:gridCol w:w="9514"/>
        <w:gridCol w:w="4835"/>
      </w:tblGrid>
      <w:tr w:rsidR="000A3D82" w:rsidRPr="00847386" w14:paraId="1EA3C0E0" w14:textId="77777777" w:rsidTr="001C072B">
        <w:trPr>
          <w:trHeight w:val="236"/>
        </w:trPr>
        <w:tc>
          <w:tcPr>
            <w:tcW w:w="620" w:type="dxa"/>
          </w:tcPr>
          <w:p w14:paraId="46C64BAD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Item</w:t>
            </w:r>
          </w:p>
        </w:tc>
        <w:tc>
          <w:tcPr>
            <w:tcW w:w="9568" w:type="dxa"/>
          </w:tcPr>
          <w:p w14:paraId="40520264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Recommendation</w:t>
            </w:r>
          </w:p>
        </w:tc>
        <w:tc>
          <w:tcPr>
            <w:tcW w:w="4857" w:type="dxa"/>
          </w:tcPr>
          <w:p w14:paraId="2532884D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Reported in (section of the manuscript)</w:t>
            </w:r>
          </w:p>
        </w:tc>
      </w:tr>
      <w:tr w:rsidR="000A3D82" w:rsidRPr="00847386" w14:paraId="25538FA4" w14:textId="77777777" w:rsidTr="001C072B">
        <w:trPr>
          <w:trHeight w:val="681"/>
        </w:trPr>
        <w:tc>
          <w:tcPr>
            <w:tcW w:w="620" w:type="dxa"/>
          </w:tcPr>
          <w:p w14:paraId="0B2B0F1F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1a</w:t>
            </w:r>
          </w:p>
        </w:tc>
        <w:tc>
          <w:tcPr>
            <w:tcW w:w="9568" w:type="dxa"/>
          </w:tcPr>
          <w:p w14:paraId="0DEFBF27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Indicate the study's design with a commonly used term in the title or the abstract.</w:t>
            </w:r>
          </w:p>
        </w:tc>
        <w:tc>
          <w:tcPr>
            <w:tcW w:w="4857" w:type="dxa"/>
          </w:tcPr>
          <w:p w14:paraId="4184F90F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Title; Abstract (Methods)</w:t>
            </w:r>
          </w:p>
        </w:tc>
      </w:tr>
      <w:tr w:rsidR="000A3D82" w:rsidRPr="00847386" w14:paraId="0D5A63C2" w14:textId="77777777" w:rsidTr="001C072B">
        <w:trPr>
          <w:trHeight w:val="475"/>
        </w:trPr>
        <w:tc>
          <w:tcPr>
            <w:tcW w:w="620" w:type="dxa"/>
          </w:tcPr>
          <w:p w14:paraId="11BA3C3B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1b</w:t>
            </w:r>
          </w:p>
        </w:tc>
        <w:tc>
          <w:tcPr>
            <w:tcW w:w="9568" w:type="dxa"/>
          </w:tcPr>
          <w:p w14:paraId="30A55902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Provide in the abstract an informative and balanced summary of what was done and what was found.</w:t>
            </w:r>
          </w:p>
        </w:tc>
        <w:tc>
          <w:tcPr>
            <w:tcW w:w="4857" w:type="dxa"/>
          </w:tcPr>
          <w:p w14:paraId="525476B2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Abstract</w:t>
            </w:r>
          </w:p>
        </w:tc>
      </w:tr>
      <w:tr w:rsidR="000A3D82" w:rsidRPr="00847386" w14:paraId="0BE7D954" w14:textId="77777777" w:rsidTr="001C072B">
        <w:trPr>
          <w:trHeight w:val="459"/>
        </w:trPr>
        <w:tc>
          <w:tcPr>
            <w:tcW w:w="620" w:type="dxa"/>
          </w:tcPr>
          <w:p w14:paraId="5FB1BBD4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568" w:type="dxa"/>
          </w:tcPr>
          <w:p w14:paraId="407F9041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Explain the scientific background and rationale for the investigation being reported.</w:t>
            </w:r>
          </w:p>
        </w:tc>
        <w:tc>
          <w:tcPr>
            <w:tcW w:w="4857" w:type="dxa"/>
          </w:tcPr>
          <w:p w14:paraId="78CDD817" w14:textId="13935A9C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Introduction</w:t>
            </w:r>
          </w:p>
        </w:tc>
      </w:tr>
      <w:tr w:rsidR="000A3D82" w:rsidRPr="00847386" w14:paraId="383527C7" w14:textId="77777777" w:rsidTr="001C072B">
        <w:trPr>
          <w:trHeight w:val="697"/>
        </w:trPr>
        <w:tc>
          <w:tcPr>
            <w:tcW w:w="620" w:type="dxa"/>
          </w:tcPr>
          <w:p w14:paraId="58891F71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568" w:type="dxa"/>
          </w:tcPr>
          <w:p w14:paraId="1F88072C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State specific objectives, including any prespecified hypotheses.</w:t>
            </w:r>
          </w:p>
        </w:tc>
        <w:tc>
          <w:tcPr>
            <w:tcW w:w="4857" w:type="dxa"/>
          </w:tcPr>
          <w:p w14:paraId="4087E3A6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Introduction, final paragraph (objectives stated; no separate a priori hypotheses)</w:t>
            </w:r>
          </w:p>
        </w:tc>
      </w:tr>
      <w:tr w:rsidR="000A3D82" w:rsidRPr="00847386" w14:paraId="5D1E27C7" w14:textId="77777777" w:rsidTr="001C072B">
        <w:trPr>
          <w:trHeight w:val="221"/>
        </w:trPr>
        <w:tc>
          <w:tcPr>
            <w:tcW w:w="620" w:type="dxa"/>
          </w:tcPr>
          <w:p w14:paraId="6A43DA47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568" w:type="dxa"/>
          </w:tcPr>
          <w:p w14:paraId="4819BF97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Present key elements of study design early in the paper.</w:t>
            </w:r>
          </w:p>
        </w:tc>
        <w:tc>
          <w:tcPr>
            <w:tcW w:w="4857" w:type="dxa"/>
          </w:tcPr>
          <w:p w14:paraId="1ED7EFFB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Study design</w:t>
            </w:r>
          </w:p>
        </w:tc>
      </w:tr>
      <w:tr w:rsidR="000A3D82" w:rsidRPr="00847386" w14:paraId="5476AFF7" w14:textId="77777777" w:rsidTr="001C072B">
        <w:trPr>
          <w:trHeight w:val="697"/>
        </w:trPr>
        <w:tc>
          <w:tcPr>
            <w:tcW w:w="620" w:type="dxa"/>
          </w:tcPr>
          <w:p w14:paraId="68E8F4F4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568" w:type="dxa"/>
          </w:tcPr>
          <w:p w14:paraId="4C0A118D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Describe the setting, locations, and relevant dates, including periods of recruitment, exposure, follow-up, and data collection.</w:t>
            </w:r>
          </w:p>
        </w:tc>
        <w:tc>
          <w:tcPr>
            <w:tcW w:w="4857" w:type="dxa"/>
          </w:tcPr>
          <w:p w14:paraId="3950310E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Setting and participants (three Selangor localities; data collection January–July 2026)</w:t>
            </w:r>
          </w:p>
        </w:tc>
      </w:tr>
      <w:tr w:rsidR="000A3D82" w:rsidRPr="00847386" w14:paraId="04CC2898" w14:textId="77777777" w:rsidTr="001C072B">
        <w:trPr>
          <w:trHeight w:val="459"/>
        </w:trPr>
        <w:tc>
          <w:tcPr>
            <w:tcW w:w="620" w:type="dxa"/>
          </w:tcPr>
          <w:p w14:paraId="68497450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6a</w:t>
            </w:r>
          </w:p>
        </w:tc>
        <w:tc>
          <w:tcPr>
            <w:tcW w:w="9568" w:type="dxa"/>
          </w:tcPr>
          <w:p w14:paraId="65001C3E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Give the eligibility criteria, and the sources and methods of selection of participants.</w:t>
            </w:r>
          </w:p>
        </w:tc>
        <w:tc>
          <w:tcPr>
            <w:tcW w:w="4857" w:type="dxa"/>
          </w:tcPr>
          <w:p w14:paraId="5048680A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Eligibility criteria; Sampling</w:t>
            </w:r>
          </w:p>
        </w:tc>
      </w:tr>
      <w:tr w:rsidR="000A3D82" w:rsidRPr="00847386" w14:paraId="65C33D89" w14:textId="77777777" w:rsidTr="001C072B">
        <w:trPr>
          <w:trHeight w:val="697"/>
        </w:trPr>
        <w:tc>
          <w:tcPr>
            <w:tcW w:w="620" w:type="dxa"/>
          </w:tcPr>
          <w:p w14:paraId="273E0458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  <w:tc>
          <w:tcPr>
            <w:tcW w:w="9568" w:type="dxa"/>
          </w:tcPr>
          <w:p w14:paraId="1139757E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Clearly define all outcomes, exposures, predictors, potential confounders, and effect modifiers. Give diagnostic criteria, if applicable.</w:t>
            </w:r>
          </w:p>
        </w:tc>
        <w:tc>
          <w:tcPr>
            <w:tcW w:w="4857" w:type="dxa"/>
          </w:tcPr>
          <w:p w14:paraId="645D2E39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Exposure variables (Fig. 1); Outcome; Table 1 (Andreasen classification)</w:t>
            </w:r>
          </w:p>
        </w:tc>
      </w:tr>
      <w:tr w:rsidR="000A3D82" w:rsidRPr="00847386" w14:paraId="03343065" w14:textId="77777777" w:rsidTr="001C072B">
        <w:trPr>
          <w:trHeight w:val="697"/>
        </w:trPr>
        <w:tc>
          <w:tcPr>
            <w:tcW w:w="620" w:type="dxa"/>
          </w:tcPr>
          <w:p w14:paraId="0E1CA224" w14:textId="507AD344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568" w:type="dxa"/>
          </w:tcPr>
          <w:p w14:paraId="7B84EBBB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 each variable of interest, give sources of data and details of methods of assessment (measurement). Describe comparability of assessment methods if there is more than one group.</w:t>
            </w:r>
          </w:p>
        </w:tc>
        <w:tc>
          <w:tcPr>
            <w:tcW w:w="4857" w:type="dxa"/>
          </w:tcPr>
          <w:p w14:paraId="35546F07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Questionnaire and centre-level checklist; Clinical examination; Examiner calibration; Supplementary File 2</w:t>
            </w:r>
          </w:p>
        </w:tc>
      </w:tr>
      <w:tr w:rsidR="000A3D82" w:rsidRPr="00847386" w14:paraId="365AEBCB" w14:textId="77777777" w:rsidTr="001C072B">
        <w:trPr>
          <w:trHeight w:val="1157"/>
        </w:trPr>
        <w:tc>
          <w:tcPr>
            <w:tcW w:w="620" w:type="dxa"/>
          </w:tcPr>
          <w:p w14:paraId="043145CC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568" w:type="dxa"/>
          </w:tcPr>
          <w:p w14:paraId="714F51F0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Describe any efforts to address potential sources of bias.</w:t>
            </w:r>
          </w:p>
        </w:tc>
        <w:tc>
          <w:tcPr>
            <w:tcW w:w="4857" w:type="dxa"/>
          </w:tcPr>
          <w:p w14:paraId="0B07692F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Questionnaire and centre-level checklist (translation, back-translation, piloting); Sampling; Clinical examination (blinding); Examiner calibration; Statistical analysis (sensitivity analyses)</w:t>
            </w:r>
          </w:p>
        </w:tc>
      </w:tr>
      <w:tr w:rsidR="000A3D82" w:rsidRPr="00847386" w14:paraId="5B525A66" w14:textId="77777777" w:rsidTr="001C072B">
        <w:trPr>
          <w:trHeight w:val="236"/>
        </w:trPr>
        <w:tc>
          <w:tcPr>
            <w:tcW w:w="620" w:type="dxa"/>
          </w:tcPr>
          <w:p w14:paraId="59149BAB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568" w:type="dxa"/>
          </w:tcPr>
          <w:p w14:paraId="06A4CF8F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Explain how the study size was arrived at.</w:t>
            </w:r>
          </w:p>
        </w:tc>
        <w:tc>
          <w:tcPr>
            <w:tcW w:w="4857" w:type="dxa"/>
          </w:tcPr>
          <w:p w14:paraId="7BBB4BA8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Sample size</w:t>
            </w:r>
          </w:p>
        </w:tc>
      </w:tr>
      <w:tr w:rsidR="000A3D82" w:rsidRPr="00847386" w14:paraId="776EF186" w14:textId="77777777" w:rsidTr="001C072B">
        <w:trPr>
          <w:trHeight w:val="936"/>
        </w:trPr>
        <w:tc>
          <w:tcPr>
            <w:tcW w:w="620" w:type="dxa"/>
          </w:tcPr>
          <w:p w14:paraId="0162EA54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568" w:type="dxa"/>
          </w:tcPr>
          <w:p w14:paraId="4AC441E0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Explain how quantitative variables were handled in the analyses. If applicable, describe which groupings were chosen and why.</w:t>
            </w:r>
          </w:p>
        </w:tc>
        <w:tc>
          <w:tcPr>
            <w:tcW w:w="4857" w:type="dxa"/>
          </w:tcPr>
          <w:p w14:paraId="66201267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Exposure variables (falls, surfacing, caregiver ratio); Clinical examination (BMI-for-age, overjet); Table 2 footnote (income bands)</w:t>
            </w:r>
          </w:p>
        </w:tc>
      </w:tr>
      <w:tr w:rsidR="000A3D82" w:rsidRPr="00847386" w14:paraId="67E51686" w14:textId="77777777" w:rsidTr="001C072B">
        <w:trPr>
          <w:trHeight w:val="697"/>
        </w:trPr>
        <w:tc>
          <w:tcPr>
            <w:tcW w:w="620" w:type="dxa"/>
          </w:tcPr>
          <w:p w14:paraId="7634A866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12a</w:t>
            </w:r>
          </w:p>
        </w:tc>
        <w:tc>
          <w:tcPr>
            <w:tcW w:w="9568" w:type="dxa"/>
          </w:tcPr>
          <w:p w14:paraId="5D2D4185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Describe all statistical methods, including those used to control for confounding.</w:t>
            </w:r>
          </w:p>
        </w:tc>
        <w:tc>
          <w:tcPr>
            <w:tcW w:w="4857" w:type="dxa"/>
          </w:tcPr>
          <w:p w14:paraId="2C377DE2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Statistical analysis (mixed-effects logistic regression with a random intercept for centre; GEE sensitivity analysis)</w:t>
            </w:r>
          </w:p>
        </w:tc>
      </w:tr>
      <w:tr w:rsidR="000A3D82" w:rsidRPr="00847386" w14:paraId="37F03A3D" w14:textId="77777777" w:rsidTr="001C072B">
        <w:trPr>
          <w:trHeight w:val="697"/>
        </w:trPr>
        <w:tc>
          <w:tcPr>
            <w:tcW w:w="620" w:type="dxa"/>
          </w:tcPr>
          <w:p w14:paraId="5A9E0133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12b</w:t>
            </w:r>
          </w:p>
        </w:tc>
        <w:tc>
          <w:tcPr>
            <w:tcW w:w="9568" w:type="dxa"/>
          </w:tcPr>
          <w:p w14:paraId="7AA0D84B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Describe any methods used to examine subgroups and interactions.</w:t>
            </w:r>
          </w:p>
        </w:tc>
        <w:tc>
          <w:tcPr>
            <w:tcW w:w="4857" w:type="dxa"/>
          </w:tcPr>
          <w:p w14:paraId="07969C20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Statistical analysis; Table 3 (subgroup prevalence by locality, sex, age group and centre type)</w:t>
            </w:r>
          </w:p>
        </w:tc>
      </w:tr>
      <w:tr w:rsidR="000A3D82" w:rsidRPr="00847386" w14:paraId="07E8E577" w14:textId="77777777" w:rsidTr="001C072B">
        <w:trPr>
          <w:trHeight w:val="459"/>
        </w:trPr>
        <w:tc>
          <w:tcPr>
            <w:tcW w:w="620" w:type="dxa"/>
          </w:tcPr>
          <w:p w14:paraId="15F6FBFF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12c</w:t>
            </w:r>
          </w:p>
        </w:tc>
        <w:tc>
          <w:tcPr>
            <w:tcW w:w="9568" w:type="dxa"/>
          </w:tcPr>
          <w:p w14:paraId="3F2E2434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Explain how missing data were addressed.</w:t>
            </w:r>
          </w:p>
        </w:tc>
        <w:tc>
          <w:tcPr>
            <w:tcW w:w="4857" w:type="dxa"/>
          </w:tcPr>
          <w:p w14:paraId="682FAC11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Statistical analysis (complete-case approach; no imputation)</w:t>
            </w:r>
          </w:p>
        </w:tc>
      </w:tr>
      <w:tr w:rsidR="000A3D82" w:rsidRPr="00847386" w14:paraId="1BCB22F1" w14:textId="77777777" w:rsidTr="001C072B">
        <w:trPr>
          <w:trHeight w:val="697"/>
        </w:trPr>
        <w:tc>
          <w:tcPr>
            <w:tcW w:w="620" w:type="dxa"/>
          </w:tcPr>
          <w:p w14:paraId="0CB7BF2E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12d</w:t>
            </w:r>
          </w:p>
        </w:tc>
        <w:tc>
          <w:tcPr>
            <w:tcW w:w="9568" w:type="dxa"/>
          </w:tcPr>
          <w:p w14:paraId="002DFCFD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If applicable, describe analytical methods taking account of sampling strategy.</w:t>
            </w:r>
          </w:p>
        </w:tc>
        <w:tc>
          <w:tcPr>
            <w:tcW w:w="4857" w:type="dxa"/>
          </w:tcPr>
          <w:p w14:paraId="7F4F2F01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Sampling; Statistical analysis (random intercept for centre; GEE with centre as clustering variable; design effect and ICC)</w:t>
            </w:r>
          </w:p>
        </w:tc>
      </w:tr>
      <w:tr w:rsidR="000A3D82" w:rsidRPr="00847386" w14:paraId="4C396A5E" w14:textId="77777777" w:rsidTr="001C072B">
        <w:trPr>
          <w:trHeight w:val="697"/>
        </w:trPr>
        <w:tc>
          <w:tcPr>
            <w:tcW w:w="620" w:type="dxa"/>
          </w:tcPr>
          <w:p w14:paraId="5B0836B7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12e</w:t>
            </w:r>
          </w:p>
        </w:tc>
        <w:tc>
          <w:tcPr>
            <w:tcW w:w="9568" w:type="dxa"/>
          </w:tcPr>
          <w:p w14:paraId="6527E90A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Describe any sensitivity analyses.</w:t>
            </w:r>
          </w:p>
        </w:tc>
        <w:tc>
          <w:tcPr>
            <w:tcW w:w="4857" w:type="dxa"/>
          </w:tcPr>
          <w:p w14:paraId="47240750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 and methods — Statistical analysis; Results — Sensitivity analyses (GEE; model excluding falls)</w:t>
            </w:r>
          </w:p>
        </w:tc>
      </w:tr>
      <w:tr w:rsidR="000A3D82" w:rsidRPr="00847386" w14:paraId="36F03DFC" w14:textId="77777777" w:rsidTr="001C072B">
        <w:trPr>
          <w:trHeight w:val="697"/>
        </w:trPr>
        <w:tc>
          <w:tcPr>
            <w:tcW w:w="620" w:type="dxa"/>
          </w:tcPr>
          <w:p w14:paraId="51B27DFA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13a</w:t>
            </w:r>
          </w:p>
        </w:tc>
        <w:tc>
          <w:tcPr>
            <w:tcW w:w="9568" w:type="dxa"/>
          </w:tcPr>
          <w:p w14:paraId="4797B3E4" w14:textId="3AA0348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 numbers of individuals at each stage of study — e.g. numbers potentially eligible, examined for eligibility, confirmed eligible, included in the study, completing follow-up, and analysed.</w:t>
            </w:r>
          </w:p>
        </w:tc>
        <w:tc>
          <w:tcPr>
            <w:tcW w:w="4857" w:type="dxa"/>
          </w:tcPr>
          <w:p w14:paraId="21DD0407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Results — Participants; Fig. 2</w:t>
            </w:r>
          </w:p>
        </w:tc>
      </w:tr>
      <w:tr w:rsidR="000A3D82" w:rsidRPr="00847386" w14:paraId="0C0CADDD" w14:textId="77777777" w:rsidTr="001C072B">
        <w:trPr>
          <w:trHeight w:val="681"/>
        </w:trPr>
        <w:tc>
          <w:tcPr>
            <w:tcW w:w="620" w:type="dxa"/>
          </w:tcPr>
          <w:p w14:paraId="3986C44A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13b</w:t>
            </w:r>
          </w:p>
        </w:tc>
        <w:tc>
          <w:tcPr>
            <w:tcW w:w="9568" w:type="dxa"/>
          </w:tcPr>
          <w:p w14:paraId="02251943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Give reasons for non-participation at each stage.</w:t>
            </w:r>
          </w:p>
        </w:tc>
        <w:tc>
          <w:tcPr>
            <w:tcW w:w="4857" w:type="dxa"/>
          </w:tcPr>
          <w:p w14:paraId="6446D2AA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Results — Participants; Fig. 2 (reasons for exclusion and withdrawal)</w:t>
            </w:r>
          </w:p>
        </w:tc>
      </w:tr>
      <w:tr w:rsidR="000A3D82" w:rsidRPr="00847386" w14:paraId="748444ED" w14:textId="77777777" w:rsidTr="001C072B">
        <w:trPr>
          <w:trHeight w:val="236"/>
        </w:trPr>
        <w:tc>
          <w:tcPr>
            <w:tcW w:w="620" w:type="dxa"/>
          </w:tcPr>
          <w:p w14:paraId="5D76A331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13c</w:t>
            </w:r>
          </w:p>
        </w:tc>
        <w:tc>
          <w:tcPr>
            <w:tcW w:w="9568" w:type="dxa"/>
          </w:tcPr>
          <w:p w14:paraId="2B5F7993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Consider use of a flow diagram.</w:t>
            </w:r>
          </w:p>
        </w:tc>
        <w:tc>
          <w:tcPr>
            <w:tcW w:w="4857" w:type="dxa"/>
          </w:tcPr>
          <w:p w14:paraId="08C7D007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Fig. 2</w:t>
            </w:r>
          </w:p>
        </w:tc>
      </w:tr>
      <w:tr w:rsidR="000A3D82" w:rsidRPr="00847386" w14:paraId="22AF232C" w14:textId="77777777" w:rsidTr="001C072B">
        <w:trPr>
          <w:trHeight w:val="459"/>
        </w:trPr>
        <w:tc>
          <w:tcPr>
            <w:tcW w:w="620" w:type="dxa"/>
          </w:tcPr>
          <w:p w14:paraId="115534A2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14a</w:t>
            </w:r>
          </w:p>
        </w:tc>
        <w:tc>
          <w:tcPr>
            <w:tcW w:w="9568" w:type="dxa"/>
          </w:tcPr>
          <w:p w14:paraId="0CD0D9FC" w14:textId="2FEDEBDC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Give characteristics of study participants (e.g. demographic, clinical, social) and information on exposures and potential confounders.</w:t>
            </w:r>
          </w:p>
        </w:tc>
        <w:tc>
          <w:tcPr>
            <w:tcW w:w="4857" w:type="dxa"/>
          </w:tcPr>
          <w:p w14:paraId="434755B0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Results — Participants; Table 2</w:t>
            </w:r>
          </w:p>
        </w:tc>
      </w:tr>
      <w:tr w:rsidR="000A3D82" w:rsidRPr="00847386" w14:paraId="2FCD757E" w14:textId="77777777" w:rsidTr="001C072B">
        <w:trPr>
          <w:trHeight w:val="697"/>
        </w:trPr>
        <w:tc>
          <w:tcPr>
            <w:tcW w:w="620" w:type="dxa"/>
          </w:tcPr>
          <w:p w14:paraId="33E5077B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14b</w:t>
            </w:r>
          </w:p>
        </w:tc>
        <w:tc>
          <w:tcPr>
            <w:tcW w:w="9568" w:type="dxa"/>
          </w:tcPr>
          <w:p w14:paraId="745CD1DF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Indicate number of participants with missing data for each variable of interest.</w:t>
            </w:r>
          </w:p>
        </w:tc>
        <w:tc>
          <w:tcPr>
            <w:tcW w:w="4857" w:type="dxa"/>
          </w:tcPr>
          <w:p w14:paraId="27EC5033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Results — Factors associated with traumatic dental injury (no missing data; complete-case n = 367)</w:t>
            </w:r>
          </w:p>
        </w:tc>
      </w:tr>
      <w:tr w:rsidR="000A3D82" w:rsidRPr="00847386" w14:paraId="0D98ECCF" w14:textId="77777777" w:rsidTr="001C072B">
        <w:trPr>
          <w:trHeight w:val="697"/>
        </w:trPr>
        <w:tc>
          <w:tcPr>
            <w:tcW w:w="620" w:type="dxa"/>
          </w:tcPr>
          <w:p w14:paraId="782128C1" w14:textId="0EAAFB64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9568" w:type="dxa"/>
          </w:tcPr>
          <w:p w14:paraId="2B2566FB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 numbers of outcome events or summary measures.</w:t>
            </w:r>
          </w:p>
        </w:tc>
        <w:tc>
          <w:tcPr>
            <w:tcW w:w="4857" w:type="dxa"/>
          </w:tcPr>
          <w:p w14:paraId="54EC7031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Results — Prevalence of traumatic dental injuries; Clinical pattern; Table 3; Table 4</w:t>
            </w:r>
          </w:p>
        </w:tc>
      </w:tr>
      <w:tr w:rsidR="000A3D82" w:rsidRPr="00847386" w14:paraId="7F0ADB91" w14:textId="77777777" w:rsidTr="001C072B">
        <w:trPr>
          <w:trHeight w:val="697"/>
        </w:trPr>
        <w:tc>
          <w:tcPr>
            <w:tcW w:w="620" w:type="dxa"/>
          </w:tcPr>
          <w:p w14:paraId="3EC16EFB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16a</w:t>
            </w:r>
          </w:p>
        </w:tc>
        <w:tc>
          <w:tcPr>
            <w:tcW w:w="9568" w:type="dxa"/>
          </w:tcPr>
          <w:p w14:paraId="1DCB6C5A" w14:textId="0B53519F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Give unadjusted estimates and, if applicable, confounder-adjusted estimates and their precision (e.g., 95% confidence interval). Make clear which confounders were adjusted for and why they were included.</w:t>
            </w:r>
          </w:p>
        </w:tc>
        <w:tc>
          <w:tcPr>
            <w:tcW w:w="4857" w:type="dxa"/>
          </w:tcPr>
          <w:p w14:paraId="20087205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Results — Factors associated with traumatic dental injury; Table 5</w:t>
            </w:r>
          </w:p>
        </w:tc>
      </w:tr>
      <w:tr w:rsidR="000A3D82" w:rsidRPr="00847386" w14:paraId="63EF3655" w14:textId="77777777" w:rsidTr="001C072B">
        <w:trPr>
          <w:trHeight w:val="697"/>
        </w:trPr>
        <w:tc>
          <w:tcPr>
            <w:tcW w:w="620" w:type="dxa"/>
          </w:tcPr>
          <w:p w14:paraId="5E963AE4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16b</w:t>
            </w:r>
          </w:p>
        </w:tc>
        <w:tc>
          <w:tcPr>
            <w:tcW w:w="9568" w:type="dxa"/>
          </w:tcPr>
          <w:p w14:paraId="445E285A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 category boundaries when continuous variables were categorized.</w:t>
            </w:r>
          </w:p>
        </w:tc>
        <w:tc>
          <w:tcPr>
            <w:tcW w:w="4857" w:type="dxa"/>
          </w:tcPr>
          <w:p w14:paraId="6B3ED145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Table 2 footnote (income bands); Table 5 (early independent walking &lt;10 months; ≥3 falls; overjet &gt;3 mm)</w:t>
            </w:r>
          </w:p>
        </w:tc>
      </w:tr>
      <w:tr w:rsidR="000A3D82" w:rsidRPr="00847386" w14:paraId="50B2A399" w14:textId="77777777" w:rsidTr="001C072B">
        <w:trPr>
          <w:trHeight w:val="920"/>
        </w:trPr>
        <w:tc>
          <w:tcPr>
            <w:tcW w:w="620" w:type="dxa"/>
          </w:tcPr>
          <w:p w14:paraId="6B0434DE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16c</w:t>
            </w:r>
          </w:p>
        </w:tc>
        <w:tc>
          <w:tcPr>
            <w:tcW w:w="9568" w:type="dxa"/>
          </w:tcPr>
          <w:p w14:paraId="1B6D0842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If relevant, consider translating estimates of relative risk into absolute risk for a meaningful time period.</w:t>
            </w:r>
          </w:p>
        </w:tc>
        <w:tc>
          <w:tcPr>
            <w:tcW w:w="4857" w:type="dxa"/>
          </w:tcPr>
          <w:p w14:paraId="40E29D20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 applicable — single cross-sectional survey; odds ratios only, no relative-risk-to-absolute-risk translation</w:t>
            </w:r>
          </w:p>
        </w:tc>
      </w:tr>
      <w:tr w:rsidR="000A3D82" w:rsidRPr="00847386" w14:paraId="57ACA258" w14:textId="77777777" w:rsidTr="001C072B">
        <w:trPr>
          <w:trHeight w:val="697"/>
        </w:trPr>
        <w:tc>
          <w:tcPr>
            <w:tcW w:w="620" w:type="dxa"/>
          </w:tcPr>
          <w:p w14:paraId="703B0FA7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9568" w:type="dxa"/>
          </w:tcPr>
          <w:p w14:paraId="24D4692A" w14:textId="5FC3674A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 other analyses done — e.g. analyses of subgroups and interactions, and sensitivity analyses.</w:t>
            </w:r>
          </w:p>
        </w:tc>
        <w:tc>
          <w:tcPr>
            <w:tcW w:w="4857" w:type="dxa"/>
          </w:tcPr>
          <w:p w14:paraId="03D32E87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Table 3 (subgroup comparisons); Results — Sensitivity analyses; Table 5</w:t>
            </w:r>
          </w:p>
        </w:tc>
      </w:tr>
      <w:tr w:rsidR="000A3D82" w:rsidRPr="00847386" w14:paraId="355FBCA8" w14:textId="77777777" w:rsidTr="001C072B">
        <w:trPr>
          <w:trHeight w:val="459"/>
        </w:trPr>
        <w:tc>
          <w:tcPr>
            <w:tcW w:w="620" w:type="dxa"/>
          </w:tcPr>
          <w:p w14:paraId="14DCF7BE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9568" w:type="dxa"/>
          </w:tcPr>
          <w:p w14:paraId="7C18EB78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Summarise key results with reference to study objectives.</w:t>
            </w:r>
          </w:p>
        </w:tc>
        <w:tc>
          <w:tcPr>
            <w:tcW w:w="4857" w:type="dxa"/>
          </w:tcPr>
          <w:p w14:paraId="630E4451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Discussion, opening paragraph</w:t>
            </w:r>
          </w:p>
        </w:tc>
      </w:tr>
      <w:tr w:rsidR="000A3D82" w:rsidRPr="00847386" w14:paraId="4DC6434D" w14:textId="77777777" w:rsidTr="001C072B">
        <w:trPr>
          <w:trHeight w:val="697"/>
        </w:trPr>
        <w:tc>
          <w:tcPr>
            <w:tcW w:w="620" w:type="dxa"/>
          </w:tcPr>
          <w:p w14:paraId="34D53BB8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9568" w:type="dxa"/>
          </w:tcPr>
          <w:p w14:paraId="7360CEA4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Discuss limitations of the study, taking into account sources of potential bias or imprecision. Discuss both direction and magnitude of any potential bias.</w:t>
            </w:r>
          </w:p>
        </w:tc>
        <w:tc>
          <w:tcPr>
            <w:tcW w:w="4857" w:type="dxa"/>
          </w:tcPr>
          <w:p w14:paraId="63E470BF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Discussion — Strengths and limitations</w:t>
            </w:r>
          </w:p>
        </w:tc>
      </w:tr>
      <w:tr w:rsidR="000A3D82" w:rsidRPr="00847386" w14:paraId="10971177" w14:textId="77777777" w:rsidTr="001C072B">
        <w:trPr>
          <w:trHeight w:val="697"/>
        </w:trPr>
        <w:tc>
          <w:tcPr>
            <w:tcW w:w="620" w:type="dxa"/>
          </w:tcPr>
          <w:p w14:paraId="4A10BABD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9568" w:type="dxa"/>
          </w:tcPr>
          <w:p w14:paraId="7ED8AF5C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Give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w="4857" w:type="dxa"/>
          </w:tcPr>
          <w:p w14:paraId="59CC604B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Discussion — Childcare environment; Falls and behavioural exposure; Child-level factors; Prevalence and clinical pattern in context</w:t>
            </w:r>
          </w:p>
        </w:tc>
      </w:tr>
      <w:tr w:rsidR="000A3D82" w:rsidRPr="00847386" w14:paraId="03E6038D" w14:textId="77777777" w:rsidTr="001C072B">
        <w:trPr>
          <w:trHeight w:val="236"/>
        </w:trPr>
        <w:tc>
          <w:tcPr>
            <w:tcW w:w="620" w:type="dxa"/>
          </w:tcPr>
          <w:p w14:paraId="0E85AB25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568" w:type="dxa"/>
          </w:tcPr>
          <w:p w14:paraId="390364A9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Discuss the generalisability (external validity) of the study results.</w:t>
            </w:r>
          </w:p>
        </w:tc>
        <w:tc>
          <w:tcPr>
            <w:tcW w:w="4857" w:type="dxa"/>
          </w:tcPr>
          <w:p w14:paraId="52398667" w14:textId="77777777" w:rsidR="000A3D82" w:rsidRPr="00847386" w:rsidRDefault="000000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Discussion — Strengths and limitations (fifth limitation, generalisability)</w:t>
            </w:r>
          </w:p>
        </w:tc>
      </w:tr>
      <w:tr w:rsidR="00D27400" w:rsidRPr="00847386" w14:paraId="66FADA6C" w14:textId="77777777" w:rsidTr="001C072B">
        <w:trPr>
          <w:trHeight w:val="236"/>
        </w:trPr>
        <w:tc>
          <w:tcPr>
            <w:tcW w:w="620" w:type="dxa"/>
          </w:tcPr>
          <w:p w14:paraId="21E975EA" w14:textId="7893F12A" w:rsidR="00D27400" w:rsidRPr="00847386" w:rsidRDefault="00D274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568" w:type="dxa"/>
          </w:tcPr>
          <w:p w14:paraId="145D48C9" w14:textId="512C6E4F" w:rsidR="00D27400" w:rsidRPr="00847386" w:rsidRDefault="00D274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Funding</w:t>
            </w:r>
          </w:p>
        </w:tc>
        <w:tc>
          <w:tcPr>
            <w:tcW w:w="4857" w:type="dxa"/>
          </w:tcPr>
          <w:p w14:paraId="59BDF207" w14:textId="363403E3" w:rsidR="00D27400" w:rsidRPr="00847386" w:rsidRDefault="00D27400" w:rsidP="001C072B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 funded — stated on the Title Page</w:t>
            </w:r>
          </w:p>
        </w:tc>
      </w:tr>
    </w:tbl>
    <w:p w14:paraId="6C259B35" w14:textId="166EEC5F" w:rsidR="000A3D82" w:rsidRPr="00847386" w:rsidRDefault="000A3D82" w:rsidP="00847386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A3D82" w:rsidRPr="00847386">
      <w:footerReference w:type="default" r:id="rId7"/>
      <w:pgSz w:w="16838" w:h="11906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AF2F1B" w14:textId="77777777" w:rsidR="009E3B0B" w:rsidRDefault="009E3B0B">
      <w:r>
        <w:separator/>
      </w:r>
    </w:p>
  </w:endnote>
  <w:endnote w:type="continuationSeparator" w:id="0">
    <w:p w14:paraId="56DF117A" w14:textId="77777777" w:rsidR="009E3B0B" w:rsidRDefault="009E3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7E6564" w14:textId="02F14A17" w:rsidR="000A3D82" w:rsidRDefault="000A3D8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5E2E8B" w14:textId="77777777" w:rsidR="009E3B0B" w:rsidRDefault="009E3B0B">
      <w:r>
        <w:separator/>
      </w:r>
    </w:p>
  </w:footnote>
  <w:footnote w:type="continuationSeparator" w:id="0">
    <w:p w14:paraId="489BABB0" w14:textId="77777777" w:rsidR="009E3B0B" w:rsidRDefault="009E3B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F20899"/>
    <w:multiLevelType w:val="hybridMultilevel"/>
    <w:tmpl w:val="282C7928"/>
    <w:lvl w:ilvl="0" w:tplc="5E987422">
      <w:start w:val="1"/>
      <w:numFmt w:val="bullet"/>
      <w:lvlText w:val="●"/>
      <w:lvlJc w:val="left"/>
      <w:pPr>
        <w:ind w:left="720" w:hanging="360"/>
      </w:pPr>
    </w:lvl>
    <w:lvl w:ilvl="1" w:tplc="C0E6E2D6">
      <w:start w:val="1"/>
      <w:numFmt w:val="bullet"/>
      <w:lvlText w:val="○"/>
      <w:lvlJc w:val="left"/>
      <w:pPr>
        <w:ind w:left="1440" w:hanging="360"/>
      </w:pPr>
    </w:lvl>
    <w:lvl w:ilvl="2" w:tplc="E8B0512A">
      <w:start w:val="1"/>
      <w:numFmt w:val="bullet"/>
      <w:lvlText w:val="■"/>
      <w:lvlJc w:val="left"/>
      <w:pPr>
        <w:ind w:left="2160" w:hanging="360"/>
      </w:pPr>
    </w:lvl>
    <w:lvl w:ilvl="3" w:tplc="1BF04E70">
      <w:start w:val="1"/>
      <w:numFmt w:val="bullet"/>
      <w:lvlText w:val="●"/>
      <w:lvlJc w:val="left"/>
      <w:pPr>
        <w:ind w:left="2880" w:hanging="360"/>
      </w:pPr>
    </w:lvl>
    <w:lvl w:ilvl="4" w:tplc="7F9CEE3A">
      <w:start w:val="1"/>
      <w:numFmt w:val="bullet"/>
      <w:lvlText w:val="○"/>
      <w:lvlJc w:val="left"/>
      <w:pPr>
        <w:ind w:left="3600" w:hanging="360"/>
      </w:pPr>
    </w:lvl>
    <w:lvl w:ilvl="5" w:tplc="BD42FC22">
      <w:start w:val="1"/>
      <w:numFmt w:val="bullet"/>
      <w:lvlText w:val="■"/>
      <w:lvlJc w:val="left"/>
      <w:pPr>
        <w:ind w:left="4320" w:hanging="360"/>
      </w:pPr>
    </w:lvl>
    <w:lvl w:ilvl="6" w:tplc="2C041EBC">
      <w:start w:val="1"/>
      <w:numFmt w:val="bullet"/>
      <w:lvlText w:val="●"/>
      <w:lvlJc w:val="left"/>
      <w:pPr>
        <w:ind w:left="5040" w:hanging="360"/>
      </w:pPr>
    </w:lvl>
    <w:lvl w:ilvl="7" w:tplc="59B4AECA">
      <w:start w:val="1"/>
      <w:numFmt w:val="bullet"/>
      <w:lvlText w:val="●"/>
      <w:lvlJc w:val="left"/>
      <w:pPr>
        <w:ind w:left="5760" w:hanging="360"/>
      </w:pPr>
    </w:lvl>
    <w:lvl w:ilvl="8" w:tplc="0E0E9E16">
      <w:start w:val="1"/>
      <w:numFmt w:val="bullet"/>
      <w:lvlText w:val="●"/>
      <w:lvlJc w:val="left"/>
      <w:pPr>
        <w:ind w:left="6480" w:hanging="360"/>
      </w:pPr>
    </w:lvl>
  </w:abstractNum>
  <w:num w:numId="1" w16cid:durableId="9147027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82"/>
    <w:rsid w:val="000A3D82"/>
    <w:rsid w:val="0011412D"/>
    <w:rsid w:val="001C072B"/>
    <w:rsid w:val="003A509D"/>
    <w:rsid w:val="00676182"/>
    <w:rsid w:val="007129E9"/>
    <w:rsid w:val="00736918"/>
    <w:rsid w:val="007A16E2"/>
    <w:rsid w:val="00847386"/>
    <w:rsid w:val="0086479E"/>
    <w:rsid w:val="008D2C1F"/>
    <w:rsid w:val="008E48D2"/>
    <w:rsid w:val="009B2A82"/>
    <w:rsid w:val="009E3B0B"/>
    <w:rsid w:val="00A70082"/>
    <w:rsid w:val="00C81830"/>
    <w:rsid w:val="00D27400"/>
    <w:rsid w:val="00EC5AF7"/>
    <w:rsid w:val="00F8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ADEFE3"/>
  <w15:docId w15:val="{B4D3A62A-1F10-7E4B-A077-9F8886F8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MY" w:eastAsia="en-GB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1C0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509D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A509D"/>
    <w:rPr>
      <w:rFonts w:cs="Mangal"/>
      <w:szCs w:val="20"/>
    </w:rPr>
  </w:style>
  <w:style w:type="paragraph" w:styleId="Footer">
    <w:name w:val="footer"/>
    <w:basedOn w:val="Normal"/>
    <w:link w:val="FooterChar"/>
    <w:uiPriority w:val="99"/>
    <w:unhideWhenUsed/>
    <w:rsid w:val="003A509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A509D"/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946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 BIKASH CHAURASIA</cp:lastModifiedBy>
  <cp:revision>15</cp:revision>
  <dcterms:created xsi:type="dcterms:W3CDTF">2026-08-25T16:04:00Z</dcterms:created>
  <dcterms:modified xsi:type="dcterms:W3CDTF">2026-10-08T03:31:00Z</dcterms:modified>
</cp:coreProperties>
</file>