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23c21032bddfefc967d90cf878727839e2ab26d"/>
    <w:p>
      <w:pPr>
        <w:pStyle w:val="Heading1"/>
        <w:spacing w:line="240" w:lineRule="auto"/>
      </w:pPr>
      <w:r>
        <w:rPr>
          <w:rFonts w:ascii="Times New Roman" w:hAnsi="Times New Roman" w:eastAsia="Times New Roman" w:cs="Times New Roman"/>
          <w:b/>
          <w:color w:val="000000"/>
          <w:sz w:val="28"/>
        </w:rPr>
        <w:t xml:space="preserve">Additional file 1. Supplementary tables S1–S14</w:t>
      </w:r>
    </w:p>
    <w:p>
      <w:pPr>
        <w:pStyle w:val="FirstParagraph"/>
        <w:spacing w:line="240" w:lineRule="auto"/>
      </w:pPr>
      <w:r>
        <w:rPr>
          <w:rFonts w:ascii="Times New Roman" w:hAnsi="Times New Roman" w:eastAsia="Times New Roman" w:cs="Times New Roman"/>
          <w:sz w:val="24"/>
        </w:rPr>
        <w:t xml:space="preserve">Effect measure: PR = prevalence ratio (modified Poisson, primary).</w:t>
      </w:r>
    </w:p>
    <w:p>
      <w:pPr>
        <w:pStyle w:val="BodyText"/>
        <w:spacing w:line="240" w:lineRule="auto"/>
      </w:pPr>
      <w:r>
        <w:rPr>
          <w:rFonts w:ascii="Times New Roman" w:hAnsi="Times New Roman" w:eastAsia="Times New Roman" w:cs="Times New Roman"/>
          <w:b/>
          <w:bCs/>
          <w:sz w:val="24"/>
        </w:rPr>
        <w:t xml:space="preserve">Table S1.</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Analytic-sample flow for the age-at-first-birth analysis (restricted to parous women), by cohort. Exclusions reflect nulliparity, missing age at first birth, and missing Model 1 covariates.</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Step</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Description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excluded</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excluded</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Total postmenopausal analytic cohort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4357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Parous women with observed age at first birth (Model 0 analytic)</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3400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957</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 complete Model 1 covariates (Model 1 analytic)</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3405</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2985</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415</w:t>
            </w:r>
          </w:p>
        </w:tc>
      </w:tr>
    </w:tbl>
    <w:p>
      <w:pPr>
        <w:pStyle w:val="BodyText"/>
        <w:spacing w:line="240" w:lineRule="auto"/>
      </w:pPr>
      <w:r>
        <w:rPr>
          <w:rFonts w:ascii="Times New Roman" w:hAnsi="Times New Roman" w:eastAsia="Times New Roman" w:cs="Times New Roman"/>
          <w:b/>
          <w:bCs/>
          <w:sz w:val="24"/>
        </w:rPr>
        <w:t xml:space="preserve">Table S2.</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Parity categorical sensitivity under an alternative coding in which nulliparous women and women with one birth are collapsed into the reference category: cross-cohort comparison.</w:t>
      </w:r>
    </w:p>
    <w:tbl>
      <w:tblPr>
        <w:tblStyle w:val="Table"/>
        <w:tblLook w:firstRow="1" w:lastRow="0" w:firstColumn="0" w:lastColumn="0" w:noHBand="0" w:noVBand="0" w:val="0020"/>
        <w:tblLayout w:type="autofit"/>
        <w:tblW w:w="0" w:type="auto"/>
      </w:tblPr>
      <w:tblGrid>
        <w:gridCol w:w="1131"/>
        <w:gridCol w:w="1131"/>
        <w:gridCol w:w="1131"/>
        <w:gridCol w:w="1131"/>
        <w:gridCol w:w="1131"/>
        <w:gridCol w:w="1131"/>
        <w:gridCol w:w="1131"/>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Ratio of PRs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 for heterogeneity</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Same direction</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0.939 (0.858‑1.027)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(0.909‑1.064)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0.955 (0.847‑1.076)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0.447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(0.913‑1.067)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0.979 (0.905‑1.059)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1.009 (0.903‑1.127)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(0.899‑1.070)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0.965 (0.893‑1.042)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1.017 (0.905‑1.142)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0.779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1.142 (0.830‑1.572)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(0.703‑1.421)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1.143 (0.711‑1.838)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0.581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1.109 (0.810‑1.518)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1.026 (0.741‑1.420)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1.081 (0.688‑1.699)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0.735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0‑1 births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0.895 (0.631‑1.268)</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1.164 (0.835‑1.622)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0.768 (0.475‑1.243)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0.283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bl>
    <w:p>
      <w:pPr>
        <w:pStyle w:val="BodyText"/>
        <w:spacing w:line="240" w:lineRule="auto"/>
      </w:pPr>
      <w:r>
        <w:rPr>
          <w:rFonts w:ascii="Times New Roman" w:hAnsi="Times New Roman" w:eastAsia="Times New Roman" w:cs="Times New Roman"/>
          <w:b/>
          <w:bCs/>
          <w:sz w:val="24"/>
        </w:rPr>
        <w:t xml:space="preserve">Table S3.</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Operational definitions of the modified CKM stages (based on the American Heart Association framework) and of cardiometabolic multimorbidity, with the data source for each component in China (CHARLS) and the United States (NHANES). The highest satisfied stage was assigned. Chronic kidney disease was defined from the estimated glomerular filtration rate alone (2021 race-free CKD-EPI creatinine equation in both cohorts), without the urinary albumin-to-creatinine ratio, which was unavailable in one cohort, and without a 10-year risk equation. A missing component was treated as not met. Component prevalences are given in Table S4.</w:t>
      </w:r>
    </w:p>
    <w:tbl>
      <w:tblPr>
        <w:tblStyle w:val="Table"/>
        <w:tblLook w:firstRow="1" w:lastRow="0" w:firstColumn="0" w:lastColumn="0" w:noHBand="0" w:noVBand="0" w:val="0020"/>
        <w:tblLayout w:type="autofit"/>
        <w:tblW w:w="0" w:type="auto"/>
      </w:tblPr>
      <w:tblGrid>
        <w:gridCol w:w="1980"/>
        <w:gridCol w:w="1980"/>
        <w:gridCol w:w="1980"/>
        <w:gridCol w:w="198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Stage / component</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Harmonized criterion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 source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 source</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None of the criteria below</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Excess adiposity (BMI ≥25 kg/m² or waist circumference ≥88 cm, same cutpoints in both cohorts) or prediabetes (HbA1c 5.7‑6.4% or fasting glucose 100‑125 mg/dL)</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Measured 2011 BMI and waist circumference; 2011 HbA1c and glucose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Measured BMI and waist circumference; HbA1c and fasting glucose</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2 (primary-outcome threshold)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Any metabolic risk factor – hypertension (measured BP ≥130/80 mmHg, antihypertensive medication, or diagnosis), diabetes (HbA1c ≥6.5%, fasting glucose ≥126 mg/dL, or self-reported diagnosis), or triglycerides ≥135 mg/dL – or moderate CKD (eGFR 45‑59 mL/min/1.73 m²)</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Measured 2011 blood pressure, HbA1c, glucose, and triglycerides; self-reported diagnosis and antihypertensive medication; creatinine CKD-EPI eGFR</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Measured blood pressure, HbA1c, fasting glucose, and triglycerides (glucose and triglycerides in the morning fasting subsample only); self-reported diagnosis and antihypertensive medication; creatinine CKD-EPI eGFR</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Severe CKD (eGFR &lt;45 mL/min/1.73 m²); equation-free, no albuminuria</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Creatinine CKD-EPI eGFR (2011)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Creatinine CKD-EPI eGFR</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Clinically diagnosed cardiovascular disease (self-reported heart disease or stroke) together with at least one Stage 1‑3 criterion; women with cardiovascular disease who met none of those criteria were assigned Stage 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Self-reported heart disease or stroke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Self-reported heart disease or stroke</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Cardiometabolic multimorbidity (≥2 domains)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 of three domains: cardiovascular (heart disease or stroke), kidney (self-reported kidney disease), metabolic (hypertension, diabetes, or dyslipidemia). Cardiometabolic multimorbidity uses self-reported physician diagnoses in all three domains in both cohorts; it does NOT use the measured/eGFR-based components that build the CKM stages above.</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Self-reported physician diagnoses (all three domains)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Self-reported physician diagnoses (all three domains)</w:t>
            </w:r>
          </w:p>
        </w:tc>
      </w:tr>
    </w:tbl>
    <w:p>
      <w:pPr>
        <w:pStyle w:val="BodyText"/>
        <w:spacing w:line="240" w:lineRule="auto"/>
      </w:pPr>
      <w:r>
        <w:rPr>
          <w:rFonts w:ascii="Times New Roman" w:hAnsi="Times New Roman" w:eastAsia="Times New Roman" w:cs="Times New Roman"/>
          <w:b/>
          <w:bCs/>
          <w:sz w:val="24"/>
        </w:rPr>
        <w:t xml:space="preserve">Table S4.</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Prevalence of the components used to assign the modified CKM stages in each primary sample. China (CHARLS) percentages are unweighted; United States (NHANES) percentages are survey-weighted. Adiposity used the same cutpoints in both cohorts (body-mass index ≥25 kg/m² or waist circumference ≥88 cm). In NHANES, triglycerides and fasting glucose were measured only in the morning fasting subsample; women without a measurement were counted as not meeting the criterion when stages were assigned, so the first triglyceride row understates prevalence, and the last row gives the prevalence among women with a measurement.</w:t>
      </w:r>
    </w:p>
    <w:tbl>
      <w:tblPr>
        <w:tblStyle w:val="Table"/>
        <w:tblLook w:firstRow="1" w:lastRow="0" w:firstColumn="0" w:lastColumn="0" w:noHBand="0" w:noVBand="0" w:val="0020"/>
        <w:tblLayout w:type="autofit"/>
        <w:tblW w:w="0" w:type="auto"/>
      </w:tblPr>
      <w:tblGrid>
        <w:gridCol w:w="1584"/>
        <w:gridCol w:w="1584"/>
        <w:gridCol w:w="1584"/>
        <w:gridCol w:w="1584"/>
        <w:gridCol w:w="1584"/>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Component</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 %</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missing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 weighted %</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missing n</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Hypertension</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57.3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67.5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Diabetes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17.8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19.0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Triglycerides ≥135 mg/dL</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14.8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eGFR 45‑59 mL/min/1.73 m²</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8.6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279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eGFR &lt;45 mL/min/1.73 m²</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279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Clinical cardiovascular disease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17.7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Excess adiposity (BMI ≥25 kg/m² or waist ≥88 cm)</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43.6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Prediabetes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51.9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46.8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Triglycerides ≥135 mg/dL, among those measured</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31.8</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2329</w:t>
            </w:r>
          </w:p>
        </w:tc>
      </w:tr>
    </w:tbl>
    <w:p>
      <w:pPr>
        <w:pStyle w:val="BodyText"/>
        <w:spacing w:line="240" w:lineRule="auto"/>
      </w:pPr>
      <w:r>
        <w:rPr>
          <w:rFonts w:ascii="Times New Roman" w:hAnsi="Times New Roman" w:eastAsia="Times New Roman" w:cs="Times New Roman"/>
          <w:b/>
          <w:bCs/>
          <w:sz w:val="24"/>
        </w:rPr>
        <w:t xml:space="preserve">Table S5.</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Sensitivity of the China (CHARLS) Model 1 estimates to the level of clustering used for the variance. The primary analysis clusters at the county level (149 counties). The survey’s own primary sampling units are villages and urban communities (431 in the primary sample); the CR2 column applies a small-sample bias-reduced correction with Satterthwaite degrees of freedom at the county level. Point estimates are identical across columns; only the confidence intervals differ.</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a 95% confidence interval excluding 1.0.</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County clusters, 149 (primary)</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Village/community clusters, 431</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County clusters, CR2 correction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SE ratio, community / county</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(0.973‑0.997)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(0.980‑1.013)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(0.980‑1.013)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(0.935‑1.019)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(0.931‑1.083)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(0.941‑0.993)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(0.940‑0.995)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(0.927‑0.997)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(0.926‑0.998)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(0.926‑0.998)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(0.914‑1.063)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(0.923‑1.053)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(0.913‑1.065)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0.87</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(0.950‑1.0004)</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(0.952‑0.998) *</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(0.950‑1.001)</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w:t>
            </w:r>
          </w:p>
        </w:tc>
      </w:tr>
    </w:tbl>
    <w:p>
      <w:pPr>
        <w:pStyle w:val="BodyText"/>
        <w:spacing w:line="240" w:lineRule="auto"/>
      </w:pPr>
      <w:r>
        <w:rPr>
          <w:rFonts w:ascii="Times New Roman" w:hAnsi="Times New Roman" w:eastAsia="Times New Roman" w:cs="Times New Roman"/>
          <w:b/>
          <w:bCs/>
          <w:sz w:val="24"/>
        </w:rPr>
        <w:t xml:space="preserve">Table S6.</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Within-United-States (NHANES) robustness analyses. The biochemical CKM phenotype was modeled in the morning fasting subsample, in which triglycerides and fasting glucose are measured, with the fasting-subsample weights; it also stages kidney involvement by the KDIGO grid of eGFR by urinary albumin-to-creatinine ratio and counts high predicted 10-year risk by the PREVENT equations as a stage 3 criterion. The phenotype without triglycerides applies the same criteria without the fasting measurements (glycaemia by HbA1c alone) on the full examination sample. Two further variants reproduced these estimates exactly and are not shown: restricting PREVENT eligibility to ages 45-79 years (identical to the biochemical phenotype) and a pragmatic KDIGO stage 3 on the full examination sample (identical to the phenotype without triglycerides at stage ≥3). The covariate layers add age at menopause, hypertension treatment, or body-mass index to Model 1. Model 1 covariates throughout;</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a 95% confidence interval excluding 1.0.</w:t>
      </w:r>
    </w:p>
    <w:tbl>
      <w:tblPr>
        <w:tblStyle w:val="Table"/>
        <w:tblLook w:firstRow="1" w:lastRow="0" w:firstColumn="0" w:lastColumn="0" w:noHBand="0" w:noVBand="0" w:val="0020"/>
        <w:tblLayout w:type="autofit"/>
        <w:tblW w:w="0" w:type="auto"/>
      </w:tblPr>
      <w:tblGrid>
        <w:gridCol w:w="1584"/>
        <w:gridCol w:w="1584"/>
        <w:gridCol w:w="1584"/>
        <w:gridCol w:w="1584"/>
        <w:gridCol w:w="1584"/>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Layer</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(0.986‑0.997)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2852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3630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(0.960‑1.004)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3216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1.003 (0.975‑1.033)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2852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0.915 (0.867‑0.965)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3630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age at menopause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1.011 (0.936‑1.092)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3216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2968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3762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(0.963‑1.006)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3359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(0.971‑1.029)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2968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0.915 (0.869‑0.963)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3762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hypertension treatment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1.014 (0.939‑1.094)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3359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body-mass index</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1.000 (0.970‑1.031)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2936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body-mass index</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0.933 (0.882‑0.987)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3731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 body-mass index</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1.014 (0.938‑1.097)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3324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(0.979‑0.993)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(0.963‑0.9997)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1714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1.006 (0.980‑1.033)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1533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0.998 (0.967‑1.029)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0.909 (0.860‑0.962)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1714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Biochemical CKM phenotype (fasting subsample, fasting weights)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Biochem 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1.050 (0.971‑1.135)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1533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2985</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0.980 (0.967‑0.993)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3786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0.989 (0.970‑1.008)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3379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(0.964‑1.004)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2985</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0.941 (0.909‑0.974)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3786</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phenotype without triglycerides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no-TG CKM≥3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1.038 (0.985‑1.093)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3379</w:t>
            </w:r>
          </w:p>
        </w:tc>
      </w:tr>
    </w:tbl>
    <w:p>
      <w:pPr>
        <w:pStyle w:val="BodyText"/>
        <w:spacing w:line="240" w:lineRule="auto"/>
      </w:pPr>
      <w:r>
        <w:rPr>
          <w:rFonts w:ascii="Times New Roman" w:hAnsi="Times New Roman" w:eastAsia="Times New Roman" w:cs="Times New Roman"/>
          <w:b/>
          <w:bCs/>
          <w:sz w:val="24"/>
        </w:rPr>
        <w:t xml:space="preserve">Table S7.</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Prevalence ratios (modified Poisson regression, the primary effect measure) alongside odds ratios from logistic regression for the same Model 1 specification, and proportional-odds ratios for the ordinal CKM stage (0-1, 2, 3-4). For China (CHARLS), the prevalence-ratio and odds-ratio models use county-level cluster-robust variance; the ordinal model uses model-based variance because no cluster-robust implementation was available.</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a 95% confidence interval excluding 1.0.</w:t>
      </w:r>
    </w:p>
    <w:tbl>
      <w:tblPr>
        <w:tblStyle w:val="Table"/>
        <w:tblLook w:firstRow="1" w:lastRow="0" w:firstColumn="0" w:lastColumn="0" w:noHBand="0" w:noVBand="0" w:val="0020"/>
        <w:tblLayout w:type="autofit"/>
        <w:tblW w:w="0" w:type="auto"/>
      </w:tblPr>
      <w:tblGrid>
        <w:gridCol w:w="1584"/>
        <w:gridCol w:w="1584"/>
        <w:gridCol w:w="1584"/>
        <w:gridCol w:w="1584"/>
        <w:gridCol w:w="1584"/>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Cohort</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OR (95% CI)</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0.938 (0.893‑0.985)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0.988 (0.922‑1.058)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(0.963‑1.012)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0.971 (0.924‑1.021)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1.005 (0.919‑1.098)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(0.929‑0.993)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(0.927‑0.997)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0.952 (0.910‑0.997)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(0.914‑1.063)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(0.895‑1.080)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0.969 (0.939‑1.0003)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(0.969‑0.995)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0.916 (0.858‑0.978)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(0.964‑1.006)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0.924 (0.819‑1.041)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(0.936‑0.987)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0.919 (0.873‑0.967)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0.899 (0.842‑0.959)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1.012 (0.937‑1.092)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1.013 (0.915‑1.122)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(0.970‑1.029)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1.000 (0.965‑1.036)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0.940 (0.901‑0.982)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0.922 (0.870‑0.976)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1.006 (0.938‑1.079)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1.006 (0.912‑1.110)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1.007 (0.983‑1.032)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1.010 (0.980‑1.042)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0.943 (0.922‑0.966)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(0.932‑1.041)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(0.967‑0.995)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0.923 (0.878‑0.970)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0.957 (0.874‑1.047)</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(ordinal: 0‑1, 2, 3‑4)</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0.980 (0.961‑0.999) *</w:t>
            </w:r>
          </w:p>
        </w:tc>
      </w:tr>
    </w:tbl>
    <w:p>
      <w:pPr>
        <w:pStyle w:val="BodyText"/>
        <w:spacing w:line="240" w:lineRule="auto"/>
      </w:pPr>
      <w:r>
        <w:rPr>
          <w:rFonts w:ascii="Times New Roman" w:hAnsi="Times New Roman" w:eastAsia="Times New Roman" w:cs="Times New Roman"/>
          <w:b/>
          <w:bCs/>
          <w:sz w:val="24"/>
        </w:rPr>
        <w:t xml:space="preserve">Table S8.</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Sensitivity of the China (CHARLS) estimates to the timing of menopausal-status ascertainment. The primary analysis restricts the Chinese cohort to women who were already postmenopausal at the 2011 examination (recalled age at menopause not later than age at that examination; n=3876). The lenient-menopause layer additionally includes the 328 women whose recalled age at menopause was later than their age at the 2011 examination (n=4204). The two layers differ in this respect alone: both adjust for age at the 2011 examination and both use county-level cluster-robust variance. Model 1;</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a 95% confidence interval excluding 1.0. Point estimates differ by at most 0.005 on the prevalence-ratio scale, and the direction of every association is preserved. All nine cells also agree on whether the confidence interval excludes 1.0. Because the two layers do not contain the same women, they also do not contain the same county clusters, so differences in interval width reflect both the change in menopause-timing definition and county-level resampling and should not be attributed to the former alone.</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M1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Lenient-menopause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Lenient-menopause n</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(0.973‑0.995)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3742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0.998 (0.982‑1.015)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4190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(0.991‑1.002)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3687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3362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0.973 (0.935‑1.012)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3650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3757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1.001 (0.929‑1.078)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4077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0.964 (0.938‑0.992)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3587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(0.927‑0.997)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0.958 (0.924‑0.993) *</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3742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(0.914‑1.063)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0.980 (0.908‑1.059)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4190</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(0.950‑1.0004)</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3405</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(0.950‑1.0000)</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3687</w:t>
            </w:r>
          </w:p>
        </w:tc>
      </w:tr>
    </w:tbl>
    <w:p>
      <w:pPr>
        <w:pStyle w:val="BodyText"/>
        <w:spacing w:line="240" w:lineRule="auto"/>
      </w:pPr>
      <w:r>
        <w:rPr>
          <w:rFonts w:ascii="Times New Roman" w:hAnsi="Times New Roman" w:eastAsia="Times New Roman" w:cs="Times New Roman"/>
          <w:b/>
          <w:bCs/>
          <w:sz w:val="24"/>
        </w:rPr>
        <w:t xml:space="preserve">Table S9.</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Sensitivity of the China (CHARLS) estimates to two restrictions native to a longitudinal follow-up design. The primary analysis imposes neither. Column 2 additionally requires a second venous blood sample four years after the outcome; column 3 instead replaces the five 2011-wave covariates with the versions recorded seven years later; column 4 imposes both, the configuration under which the analytic file is usually derived for longitudinal work. Both restrictions condition eligibility or the complete-case sample on survey participation after the outcome was measured. Model 1 throughout;</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a 95% confidence interval excluding 1.0; complete-case n in brackets. The four columns are not independent samples of the same size, so differences in interval width reflect the change in sample as well as the change in covariates.</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(neither restriction)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2015 blood sample required</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Later-wave covariates</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Both restrictions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 * [n=3449]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0.979 (0.964‑0.993) * [n=2320]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(0.967‑0.995) * [n=2630]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0.978 (0.962‑0.994) * [n=1957]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 [n=3864]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(0.977‑1.016) [n=2592]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(0.964‑1.005) [n=2941]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(0.961‑1.006) [n=2180]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 [n=3405]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0.994 (0.986‑1.002) [n=2467]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(0.990‑1.003) [n=2737]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0.994 (0.986‑1.002) [n=2087]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 [n=3362]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0.948 (0.898‑1.0001) [n=2263]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0.980 (0.929‑1.033) [n=2560]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0.964 (0.907‑1.024) [n=1909]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 [n=3757]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1.058 (0.965‑1.160) [n=2524]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1.070 (0.967‑1.185) [n=2857]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1.073 (0.967‑1.191) [n=2123]</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 * [n=3311]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0.955 (0.925‑0.986) * [n=2401]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0.965 (0.929‑1.002) [n=2657]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0.958 (0.922‑0.995) * [n=2031]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(0.927‑0.997) * [n=3449]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0.943 (0.901‑0.986) * [n=2320]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(0.920‑1.005) [n=2630]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0.945 (0.899‑0.994) * [n=1957]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(0.914‑1.063) [n=3864]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1.033 (0.943‑1.131) [n=2592]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1.020 (0.925‑1.125) [n=2941]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1.039 (0.936‑1.154) [n=2180]</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(0.950‑1.0004) [n=3405]</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0.970 (0.942‑0.9996) * [n=2467]</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(0.943‑1.008) [n=2737]</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0.970 (0.937‑1.005) [n=2087]</w:t>
            </w:r>
          </w:p>
        </w:tc>
      </w:tr>
    </w:tbl>
    <w:p>
      <w:pPr>
        <w:pStyle w:val="BodyText"/>
        <w:spacing w:line="240" w:lineRule="auto"/>
      </w:pPr>
      <w:r>
        <w:rPr>
          <w:rFonts w:ascii="Times New Roman" w:hAnsi="Times New Roman" w:eastAsia="Times New Roman" w:cs="Times New Roman"/>
          <w:b/>
          <w:bCs/>
          <w:sz w:val="24"/>
        </w:rPr>
        <w:t xml:space="preserve">Table S10.</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Characteristics at the 2011 wave of the women in the China (CHARLS) primary sample with and without a usable birth history in the 2014 Life History Survey. Women without one were retained, with parity taken from the household roster, but have no age at first birth and therefore do not enter the age-at-first-birth analyses. Values are mean (SD) or percentage; ASD is the absolute standardized difference (continuous: difference in means divided by the pooled standard deviation; binary: difference in proportions divided by the pooled binomial standard deviation), with values of 0.1 or more usually regarded as meaningful imbalance.</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Characteristic</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With birth history,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With birth history</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Without birth history, n</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Without birth history</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ASD</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years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3485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61.7 (8.0)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63.5 (9.7)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0.21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BMI, kg/m²</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3062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23.8 (4.0)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23.7 (4.2)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Hypertension (self-reported)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3454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31.6%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390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Diabetes (self-reported)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3432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Heart disease (self-reported)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3453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15.1%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21.6%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Stroke (self-reported)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Kidney disease (self-reported)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5.5%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8.2%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0.11</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Rural residence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3485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64.8%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46.5%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Education below primary</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3485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68.4%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59.1%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0.19</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≥2 (2011)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3485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74.5%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76.5%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0.04</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Cardiometabolic multimorbidity (2011)</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3377</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382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18.8%</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0.15</w:t>
            </w:r>
          </w:p>
        </w:tc>
      </w:tr>
    </w:tbl>
    <w:p>
      <w:pPr>
        <w:pStyle w:val="BodyText"/>
        <w:spacing w:line="240" w:lineRule="auto"/>
      </w:pPr>
      <w:r>
        <w:rPr>
          <w:rFonts w:ascii="Times New Roman" w:hAnsi="Times New Roman" w:eastAsia="Times New Roman" w:cs="Times New Roman"/>
          <w:b/>
          <w:bCs/>
          <w:sz w:val="24"/>
        </w:rPr>
        <w:t xml:space="preserve">Table S11.</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Cross-cohort comparison repeated within each sensitivity layer applied to both cohorts, with the primary Model 1 shown first for reference. The ratio of prevalence ratios is the United States prevalence ratio divided by the China prevalence ratio (exp of the difference in log prevalence ratios), with its 95% confidence interval; the P value is from the two-sided Wald test of that difference. The core covariate set adjusts both cohorts for the same constructs only (age, age squared, education, smoking and alcohol use); its complete-case samples can exceed those of Model 1 because covariates included in only one cohort’s Model 1 are not required. Same direction indicates that both prevalence ratios lie on the same side of 1.0.</w:t>
      </w:r>
    </w:p>
    <w:tbl>
      <w:tblPr>
        <w:tblStyle w:val="Table"/>
        <w:tblLook w:firstRow="1" w:lastRow="0" w:firstColumn="0" w:lastColumn="0" w:noHBand="0" w:noVBand="0" w:val="0020"/>
        <w:tblLayout w:type="autofit"/>
        <w:tblW w:w="0" w:type="auto"/>
      </w:tblPr>
      <w:tblGrid>
        <w:gridCol w:w="990"/>
        <w:gridCol w:w="990"/>
        <w:gridCol w:w="990"/>
        <w:gridCol w:w="990"/>
        <w:gridCol w:w="990"/>
        <w:gridCol w:w="990"/>
        <w:gridCol w:w="990"/>
        <w:gridCol w:w="99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Layer</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Ratio of PRs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 for heterogeneity</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Same direction</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0.993 (0.985‑1.001)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(0.979‑1.015)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0.744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(0.964‑1.006)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0.989 (0.963‑1.015)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(0.970‑1.029)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1.033 (0.993‑1.076)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0.110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0.919 (0.873‑0.967)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0.942 (0.882‑1.005)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0.072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Primary Model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1.012 (0.937‑1.092)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1.008 (0.906‑1.121)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0.887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0.989 (0.983‑0.994)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0.998 (0.992‑1.004)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(0.983‑0.998)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(0.971‑0.996)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(0.973‑0.996)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(0.982‑1.017)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0.995 (0.976‑1.015)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0.992 (0.976‑1.007)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(0.979‑1.029)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(0.962‑1.012)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0.970 (0.944‑0.997)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1.017 (0.979‑1.055)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0.384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0.909 (0.865‑0.956)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0.972 (0.932‑1.014)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0.936 (0.876‑0.999)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0.047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Core covariate set common to both cohorts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1.044 (0.974‑1.120)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(0.906‑1.052)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1.070 (0.966‑1.185)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0.990 (0.984‑0.996)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(0.990‑1.003)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0.993 (0.984‑1.002)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0.151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(0.973‑1.002)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(0.970‑0.994)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1.005 (0.986‑1.024)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0.603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0.970 (0.945‑0.997)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(0.961‑1.008)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0.986 (0.952‑1.022)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0.436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1.003 (0.972‑1.035)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0.968 (0.939‑0.998)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1.036 (0.992‑1.082)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0.108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0.935 (0.878‑0.995)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0.974 (0.931‑1.018)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0.960 (0.889‑1.037)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0.300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Mutual adjustment for the other reproductive factors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1.007 (0.904‑1.122)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(0.898‑1.094)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1.016 (0.878‑1.176)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0.831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0.998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0.994 (0.985‑1.002)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0.984 (0.970‑0.999)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(0.970‑0.994)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1.002 (0.984‑1.022)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(0.955‑1.007)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0.989 (0.970‑1.009)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(0.959‑1.024)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0.601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1.001 (0.972‑1.030)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0.968 (0.939‑0.997)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1.034 (0.992‑1.078)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0.116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0.935 (0.879‑0.995)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0.970 (0.929‑1.014)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0.964 (0.893‑1.040)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0.344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Model 1 on the mutual-adjustment subset</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(0.904‑1.104)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1.033 (0.940‑1.136)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(0.842‑1.110)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0.633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0.993 (0.985‑1.001)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0.088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(0.970‑0.995)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(0.973‑0.996)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(0.980‑1.015)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(0.968‑1.007)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(0.966‑1.017)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0.492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0.998 (0.972‑1.024)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1.032 (0.993‑1.072)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0.912 (0.868‑0.959)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(0.937‑1.018)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0.934 (0.876‑0.997)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0.039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Multiple imputation (20 imputations)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1.020 (0.949‑1.097)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1.016 (0.916‑1.127)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0.940 (0.860‑1.027)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0.978 (0.897‑1.067)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(0.849‑1.088)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0.528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0.989 (0.915‑1.070)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0.975 (0.896‑1.060)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1.015 (0.905‑1.138)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(0.902‑1.071)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0.960 (0.883‑1.044)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1.023 (0.907‑1.154)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0.707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1.136 (0.826‑1.561)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1.136 (0.763‑1.691)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1.000 (0.601‑1.664)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&gt;0.99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1.103 (0.806‑1.508)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1.133 (0.793‑1.618)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0.973 (0.606‑1.564)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excluded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1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0.889 (0.628‑1.260)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1.306 (0.896‑1.905)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0.681 (0.407‑1.138)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0.939 (0.858‑1.027)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0.983 (0.909‑1.064)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0.955 (0.847‑1.076)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0.447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0.987 (0.913‑1.067)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0.979 (0.905‑1.059)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1.009 (0.903‑1.127)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0.876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0.981 (0.899‑1.070)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0.965 (0.893‑1.042)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1.017 (0.905‑1.142)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0.779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≥5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1.142 (0.830‑1.572)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(0.703‑1.421)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1.143 (0.711‑1.838)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0.581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2 births vs 0‑1 births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1.109 (0.810‑1.518)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1.026 (0.741‑1.420)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1.081 (0.688‑1.699)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0.735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yes</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categories, nulliparous women combined with one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3‑4 births vs 0‑1 births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0.895 (0.631‑1.268)</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1.164 (0.835‑1.622)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0.768 (0.475‑1.243)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0.283</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no</w:t>
            </w:r>
          </w:p>
        </w:tc>
      </w:tr>
    </w:tbl>
    <w:p>
      <w:pPr>
        <w:pStyle w:val="BodyText"/>
        <w:spacing w:line="240" w:lineRule="auto"/>
      </w:pPr>
      <w:r>
        <w:rPr>
          <w:rFonts w:ascii="Times New Roman" w:hAnsi="Times New Roman" w:eastAsia="Times New Roman" w:cs="Times New Roman"/>
          <w:b/>
          <w:bCs/>
          <w:sz w:val="24"/>
        </w:rPr>
        <w:t xml:space="preserve">Table S12.</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Survey-weighted versus unweighted CKM stage and cardiometabolic-multimorbidity prevalence in the United States (NHANES) sample, as a weighting sanity check.</w:t>
      </w:r>
    </w:p>
    <w:tbl>
      <w:tblPr>
        <w:tblStyle w:val="Table"/>
        <w:tblLook w:firstRow="1" w:lastRow="0" w:firstColumn="0" w:lastColumn="0" w:noHBand="0" w:noVBand="0" w:val="0020"/>
        <w:tblLayout w:type="autofit"/>
        <w:tblW w:w="0" w:type="auto"/>
      </w:tblPr>
      <w:tblGrid>
        <w:gridCol w:w="2640"/>
        <w:gridCol w:w="2640"/>
        <w:gridCol w:w="264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Measure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Unweighted, %</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Survey-weighted,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4.4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14.5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17.7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64.3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62.6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3.1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2.4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13.8</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 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81.2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76.0</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 stage ≥ 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16.9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13.4</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Cardiometabolic multimorbidity (≥ 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15.4</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12.6</w:t>
            </w:r>
          </w:p>
        </w:tc>
      </w:tr>
    </w:tbl>
    <w:p>
      <w:pPr>
        <w:pStyle w:val="BodyText"/>
        <w:spacing w:line="240" w:lineRule="auto"/>
      </w:pPr>
      <w:r>
        <w:rPr>
          <w:rFonts w:ascii="Times New Roman" w:hAnsi="Times New Roman" w:eastAsia="Times New Roman" w:cs="Times New Roman"/>
          <w:b/>
          <w:bCs/>
          <w:sz w:val="24"/>
        </w:rPr>
        <w:t xml:space="preserve">Table S13.</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Prevalence ratios for the three reproductive exposures in relation to CKM stage ≥2 and cardiometabolic multimorbidity (Model 1), with nominal P values and Benjamini-Hochberg false-discovery-rate q values. The correction was applied separately within each cohort’s family of six tests (three exposures x two outcomes);</w:t>
      </w:r>
      <w:r>
        <w:rPr>
          <w:rFonts w:ascii="Times New Roman" w:hAnsi="Times New Roman" w:eastAsia="Times New Roman" w:cs="Times New Roman"/>
          <w:sz w:val="24"/>
        </w:rPr>
        <w:t xml:space="preserve"> </w:t>
      </w:r>
      <w:r>
        <w:rPr>
          <w:rStyle w:val="VerbatimChar"/>
          <w:rFonts w:ascii="Times New Roman" w:hAnsi="Times New Roman" w:eastAsia="Times New Roman" w:cs="Times New Roman"/>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marks q &lt; 0.05. The six cross-cohort heterogeneity q values are reported in Table 2.</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Cohort</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 value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BH-adjusted q value</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0.010</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0.996 (0.981‑1.012)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0.647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0.776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0.997 (0.992‑1.003)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0.383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0.574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0.976 (0.936‑1.017)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0.249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0.498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1.004 (0.932‑1.081)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0.017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0.052</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0.009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0.017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(0.964‑1.006)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0.163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0.244</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0.002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0.005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0.919 (0.873‑0.967)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0.001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0.005 *</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Parity (capped)</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1.012 (0.937‑1.092)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0.769</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0.922</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0.999 (0.970‑1.029)</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0.949</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0.949</w:t>
            </w:r>
          </w:p>
        </w:tc>
      </w:tr>
    </w:tbl>
    <w:p>
      <w:pPr>
        <w:pStyle w:val="BodyText"/>
        <w:spacing w:line="240" w:lineRule="auto"/>
      </w:pPr>
      <w:r>
        <w:rPr>
          <w:rFonts w:ascii="Times New Roman" w:hAnsi="Times New Roman" w:eastAsia="Times New Roman" w:cs="Times New Roman"/>
          <w:b/>
          <w:bCs/>
          <w:sz w:val="24"/>
        </w:rPr>
        <w:t xml:space="preserve">Table S14.</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E-values for the primary and secondary associations whose 95% confidence interval excluded 1.0 (nominal significance, before multiplicity correction; see Table S13 for q values). The E-value is the minimum strength of association, on the risk-ratio scale, that an unmeasured confounder would need with both the exposure and the outcome to fully explain the estimate; the confidence-limit E-value is the corresponding value for the confidence limit closest to 1.0.</w:t>
      </w:r>
    </w:p>
    <w:tbl>
      <w:tblPr>
        <w:tblStyle w:val="Table"/>
        <w:tblLook w:firstRow="1" w:lastRow="0" w:firstColumn="0" w:lastColumn="0" w:noHBand="0" w:noVBand="0" w:val="0020"/>
        <w:tblLayout w:type="autofit"/>
        <w:tblW w:w="0" w:type="auto"/>
      </w:tblPr>
      <w:tblGrid>
        <w:gridCol w:w="1320"/>
        <w:gridCol w:w="1320"/>
        <w:gridCol w:w="1320"/>
        <w:gridCol w:w="1320"/>
        <w:gridCol w:w="1320"/>
        <w:gridCol w:w="1320"/>
      </w:tblGrid>
      <w:tr>
        <w:trPr>
          <w:tblHeader w:val="on"/>
        </w:trPr>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Cohort</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Outcome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Exposure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PR (95% CI)</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E-value, point estimate</w:t>
            </w:r>
          </w:p>
        </w:tc>
        <w:tc>
          <w:tcPr>
            <w:tcBorders>
              <w:top w:val="single" w:sz="12" w:space="0" w:color="000000"/>
              <w:bottom w:val="single" w:sz="6"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E-value, confidence limit</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0.985 (0.974‑0.996)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0.961 (0.927‑0.997)</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1.24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China (CHARLS)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0.967 (0.940‑0.994)</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1.22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1.08</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first birth</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0.991 (0.985‑0.996)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1.11</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1.06</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0.982 (0.969‑0.995)</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1.16</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1.07</w:t>
            </w:r>
          </w:p>
        </w:tc>
      </w:tr>
      <w:tr>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CKM≥3</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0.940 (0.901‑0.982)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1.32</w:t>
            </w:r>
          </w:p>
        </w:tc>
        <w:tc>
          <w:tcPr>
            <w:tcBorders>
              <w:top w:val="none" w:sz="0" w:space="0" w:color="auto"/>
              <w:bottom w:val="none" w:sz="0" w:space="0" w:color="auto"/>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1.16</w:t>
            </w:r>
          </w:p>
        </w:tc>
      </w:tr>
      <w:tr>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United States (NHANES)</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CMM≥2</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Age at menarche</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0.919 (0.873‑0.967)</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1.40</w:t>
            </w:r>
          </w:p>
        </w:tc>
        <w:tc>
          <w:tcPr>
            <w:tcBorders>
              <w:top w:val="none" w:sz="0" w:space="0" w:color="auto"/>
              <w:bottom w:val="single" w:sz="12" w:space="0" w:color="000000"/>
              <w:left w:val="none" w:sz="0" w:space="0" w:color="auto"/>
              <w:right w:val="none" w:sz="0" w:space="0" w:color="auto"/>
            </w:tcBorders>
          </w:tcPr>
          <w:p>
            <w:pPr>
              <w:pStyle w:val="Compact"/>
              <w:spacing w:line="240" w:lineRule="auto"/>
            </w:pPr>
            <w:r>
              <w:rPr>
                <w:rFonts w:ascii="Times New Roman" w:hAnsi="Times New Roman" w:eastAsia="Times New Roman" w:cs="Times New Roman"/>
                <w:sz w:val="16"/>
              </w:rPr>
              <w:t xml:space="preserve">1.22</w:t>
            </w:r>
          </w:p>
        </w:tc>
      </w:tr>
    </w:tbl>
    <w:bookmarkEnd w:id="9"/>
    <w:sectPr>
      <w:footerReference w:type="default" r:id="rId9"/>
      <w:footnotePr>
        <w:numRestart w:val="eachSect"/>
      </w:footnotePr>
      <w:pgSz w:w="16838" w:h="11906"/>
      <w:pgMar w:top="1440" w:bottom="1440" w:left="1440" w:right="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r>
    <w:r>
      <w:rPr>
        <w:rFonts w:ascii="Times New Roman" w:hAnsi="Times New Roman"/>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2026-10-11T08:53:17Z</dcterms:created>
  <dcterms:modified xsi:type="dcterms:W3CDTF">2026-10-11T08:53:17Z</dcterms:modified>
</cp:coreProperties>
</file>

<file path=docProps/custom.xml><?xml version="1.0" encoding="utf-8"?>
<Properties xmlns="http://schemas.openxmlformats.org/officeDocument/2006/custom-properties" xmlns:vt="http://schemas.openxmlformats.org/officeDocument/2006/docPropsVTypes"/>
</file>