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E7BEE" w14:textId="77777777" w:rsidR="00545B5F" w:rsidRPr="00CC5C45" w:rsidRDefault="00545B5F" w:rsidP="00545B5F">
      <w:pPr>
        <w:spacing w:before="100" w:beforeAutospacing="1" w:after="120" w:afterAutospacing="1" w:line="480" w:lineRule="auto"/>
        <w:rPr>
          <w:color w:val="000000" w:themeColor="text1"/>
          <w:sz w:val="28"/>
          <w:szCs w:val="28"/>
        </w:rPr>
      </w:pPr>
      <w:r w:rsidRPr="00CC5C45">
        <w:rPr>
          <w:color w:val="000000" w:themeColor="text1"/>
          <w:sz w:val="28"/>
          <w:szCs w:val="28"/>
        </w:rPr>
        <w:t>Supplementary information:</w:t>
      </w:r>
    </w:p>
    <w:p w14:paraId="0BD52538" w14:textId="77777777" w:rsidR="00545B5F" w:rsidRPr="00CC5C45" w:rsidRDefault="00545B5F" w:rsidP="00545B5F">
      <w:pPr>
        <w:spacing w:before="100" w:beforeAutospacing="1" w:after="120" w:afterAutospacing="1" w:line="480" w:lineRule="auto"/>
        <w:rPr>
          <w:color w:val="000000" w:themeColor="text1"/>
          <w:sz w:val="28"/>
          <w:szCs w:val="28"/>
        </w:rPr>
      </w:pPr>
      <w:r w:rsidRPr="00CC5C45">
        <w:rPr>
          <w:color w:val="000000" w:themeColor="text1"/>
          <w:sz w:val="28"/>
          <w:szCs w:val="28"/>
        </w:rPr>
        <w:t>Supplementary table S1: Baseline Outcome Comparability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2"/>
        <w:gridCol w:w="1434"/>
        <w:gridCol w:w="1885"/>
        <w:gridCol w:w="1416"/>
        <w:gridCol w:w="1744"/>
        <w:gridCol w:w="939"/>
      </w:tblGrid>
      <w:tr w:rsidR="00545B5F" w:rsidRPr="00CC5C45" w14:paraId="7944E7EB" w14:textId="77777777" w:rsidTr="00656BA7">
        <w:trPr>
          <w:trHeight w:val="399"/>
        </w:trPr>
        <w:tc>
          <w:tcPr>
            <w:tcW w:w="2085" w:type="dxa"/>
            <w:shd w:val="clear" w:color="auto" w:fill="D9EAF7"/>
            <w:vAlign w:val="center"/>
          </w:tcPr>
          <w:p w14:paraId="0B017AF6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t>Outcome</w:t>
            </w:r>
            <w:r w:rsidRPr="00CC5C45">
              <w:rPr>
                <w:rStyle w:val="eop"/>
                <w:rFonts w:eastAsiaTheme="majorEastAsia"/>
                <w:b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17" w:type="dxa"/>
            <w:shd w:val="clear" w:color="auto" w:fill="D9EAF7"/>
            <w:vAlign w:val="center"/>
          </w:tcPr>
          <w:p w14:paraId="52D6E9E3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t>Control mean (SD)</w:t>
            </w:r>
            <w:r w:rsidRPr="00CC5C45">
              <w:rPr>
                <w:rStyle w:val="eop"/>
                <w:rFonts w:eastAsiaTheme="majorEastAsia"/>
                <w:b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499" w:type="dxa"/>
            <w:shd w:val="clear" w:color="auto" w:fill="D9EAF7"/>
            <w:vAlign w:val="center"/>
          </w:tcPr>
          <w:p w14:paraId="19D77DFD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rStyle w:val="normaltextrun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t>IPE mean (SD)</w:t>
            </w:r>
            <w:r w:rsidRPr="00CC5C45">
              <w:rPr>
                <w:rStyle w:val="eop"/>
                <w:rFonts w:eastAsiaTheme="majorEastAsia"/>
                <w:b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440" w:type="dxa"/>
            <w:shd w:val="clear" w:color="auto" w:fill="D9EAF7"/>
            <w:vAlign w:val="center"/>
          </w:tcPr>
          <w:p w14:paraId="7B090230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t>Mean difference</w:t>
            </w:r>
            <w:r w:rsidRPr="00CC5C45">
              <w:rPr>
                <w:rStyle w:val="eop"/>
                <w:rFonts w:eastAsiaTheme="majorEastAsia"/>
                <w:b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863" w:type="dxa"/>
            <w:shd w:val="clear" w:color="auto" w:fill="D9EAF7"/>
            <w:vAlign w:val="center"/>
          </w:tcPr>
          <w:p w14:paraId="23A5DCE2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t>Statistic</w:t>
            </w:r>
            <w:r w:rsidRPr="00CC5C45">
              <w:rPr>
                <w:rStyle w:val="eop"/>
                <w:rFonts w:eastAsiaTheme="majorEastAsia"/>
                <w:b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976" w:type="dxa"/>
            <w:shd w:val="clear" w:color="auto" w:fill="D9EAF7"/>
            <w:vAlign w:val="center"/>
          </w:tcPr>
          <w:p w14:paraId="2D177DE1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t>p value</w:t>
            </w:r>
            <w:r w:rsidRPr="00CC5C45">
              <w:rPr>
                <w:rStyle w:val="eop"/>
                <w:rFonts w:eastAsiaTheme="majorEastAsia"/>
                <w:b/>
                <w:color w:val="000000" w:themeColor="text1"/>
                <w:sz w:val="28"/>
                <w:szCs w:val="28"/>
              </w:rPr>
              <w:t> </w:t>
            </w:r>
          </w:p>
        </w:tc>
      </w:tr>
      <w:tr w:rsidR="00545B5F" w:rsidRPr="00CC5C45" w14:paraId="5A137899" w14:textId="77777777" w:rsidTr="00656BA7">
        <w:trPr>
          <w:trHeight w:val="399"/>
        </w:trPr>
        <w:tc>
          <w:tcPr>
            <w:tcW w:w="2085" w:type="dxa"/>
            <w:vAlign w:val="center"/>
          </w:tcPr>
          <w:p w14:paraId="638211A3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Baseline ICCAS total score</w:t>
            </w:r>
            <w:r w:rsidRPr="00CC5C45">
              <w:rPr>
                <w:rStyle w:val="eop"/>
                <w:rFonts w:eastAsiaTheme="majorEastAsia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17" w:type="dxa"/>
            <w:vAlign w:val="center"/>
          </w:tcPr>
          <w:p w14:paraId="0FEB9061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69.85 (13.30)</w:t>
            </w:r>
            <w:r w:rsidRPr="00CC5C45">
              <w:rPr>
                <w:rStyle w:val="eop"/>
                <w:rFonts w:eastAsiaTheme="majorEastAsia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499" w:type="dxa"/>
            <w:vAlign w:val="center"/>
          </w:tcPr>
          <w:p w14:paraId="5B0E9DDF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70.47 (13.77)</w:t>
            </w:r>
            <w:r w:rsidRPr="00CC5C45">
              <w:rPr>
                <w:rStyle w:val="eop"/>
                <w:rFonts w:eastAsiaTheme="majorEastAsia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440" w:type="dxa"/>
            <w:vAlign w:val="center"/>
          </w:tcPr>
          <w:p w14:paraId="5ACB5C89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0.62</w:t>
            </w:r>
            <w:r w:rsidRPr="00CC5C45">
              <w:rPr>
                <w:rStyle w:val="eop"/>
                <w:rFonts w:eastAsiaTheme="majorEastAsia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863" w:type="dxa"/>
            <w:vAlign w:val="center"/>
          </w:tcPr>
          <w:p w14:paraId="46A9DC85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t (363.2) =0.44</w:t>
            </w:r>
            <w:r w:rsidRPr="00CC5C45">
              <w:rPr>
                <w:rStyle w:val="eop"/>
                <w:rFonts w:eastAsiaTheme="majorEastAsia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976" w:type="dxa"/>
            <w:vAlign w:val="center"/>
          </w:tcPr>
          <w:p w14:paraId="7D7DB19B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0.658</w:t>
            </w:r>
            <w:r w:rsidRPr="00CC5C45">
              <w:rPr>
                <w:rStyle w:val="eop"/>
                <w:rFonts w:eastAsiaTheme="majorEastAsia"/>
                <w:color w:val="000000" w:themeColor="text1"/>
                <w:sz w:val="28"/>
                <w:szCs w:val="28"/>
              </w:rPr>
              <w:t> </w:t>
            </w:r>
          </w:p>
        </w:tc>
      </w:tr>
      <w:tr w:rsidR="00545B5F" w:rsidRPr="00CC5C45" w14:paraId="2AF89CA9" w14:textId="77777777" w:rsidTr="00656BA7">
        <w:trPr>
          <w:trHeight w:val="382"/>
        </w:trPr>
        <w:tc>
          <w:tcPr>
            <w:tcW w:w="2085" w:type="dxa"/>
            <w:vAlign w:val="center"/>
          </w:tcPr>
          <w:p w14:paraId="38067800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Baseline knowledge score</w:t>
            </w:r>
          </w:p>
        </w:tc>
        <w:tc>
          <w:tcPr>
            <w:tcW w:w="1517" w:type="dxa"/>
            <w:vAlign w:val="center"/>
          </w:tcPr>
          <w:p w14:paraId="6B36597C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4.55 (0.79)</w:t>
            </w:r>
            <w:r w:rsidRPr="00CC5C45">
              <w:rPr>
                <w:rStyle w:val="eop"/>
                <w:rFonts w:eastAsiaTheme="majorEastAsia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499" w:type="dxa"/>
            <w:vAlign w:val="center"/>
          </w:tcPr>
          <w:p w14:paraId="1F13E0D0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4.45 (0.88)</w:t>
            </w:r>
            <w:r w:rsidRPr="00CC5C45">
              <w:rPr>
                <w:rStyle w:val="eop"/>
                <w:rFonts w:eastAsiaTheme="majorEastAsia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440" w:type="dxa"/>
            <w:vAlign w:val="center"/>
          </w:tcPr>
          <w:p w14:paraId="58A43B4A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Fonts w:eastAsiaTheme="minorEastAsia"/>
                <w:sz w:val="28"/>
                <w:szCs w:val="28"/>
              </w:rPr>
              <w:t>−</w:t>
            </w: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0.11</w:t>
            </w:r>
            <w:r w:rsidRPr="00CC5C45">
              <w:rPr>
                <w:rStyle w:val="eop"/>
                <w:rFonts w:eastAsiaTheme="majorEastAsia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863" w:type="dxa"/>
            <w:vAlign w:val="center"/>
          </w:tcPr>
          <w:p w14:paraId="2F837AC6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t (372.2) =</w:t>
            </w:r>
            <w:r w:rsidRPr="00CC5C45">
              <w:rPr>
                <w:rFonts w:eastAsiaTheme="minorEastAsia"/>
                <w:sz w:val="28"/>
                <w:szCs w:val="28"/>
              </w:rPr>
              <w:t>−</w:t>
            </w: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1.25</w:t>
            </w:r>
            <w:r w:rsidRPr="00CC5C45">
              <w:rPr>
                <w:rStyle w:val="eop"/>
                <w:rFonts w:eastAsiaTheme="majorEastAsia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976" w:type="dxa"/>
            <w:vAlign w:val="center"/>
          </w:tcPr>
          <w:p w14:paraId="6209BF31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0.212</w:t>
            </w:r>
            <w:r w:rsidRPr="00CC5C45">
              <w:rPr>
                <w:rStyle w:val="eop"/>
                <w:rFonts w:eastAsiaTheme="majorEastAsia"/>
                <w:color w:val="000000" w:themeColor="text1"/>
                <w:sz w:val="28"/>
                <w:szCs w:val="28"/>
              </w:rPr>
              <w:t> </w:t>
            </w:r>
          </w:p>
        </w:tc>
      </w:tr>
      <w:tr w:rsidR="00545B5F" w:rsidRPr="00CC5C45" w14:paraId="684D1569" w14:textId="77777777" w:rsidTr="00656BA7">
        <w:trPr>
          <w:trHeight w:val="382"/>
        </w:trPr>
        <w:tc>
          <w:tcPr>
            <w:tcW w:w="2085" w:type="dxa"/>
            <w:vAlign w:val="center"/>
          </w:tcPr>
          <w:p w14:paraId="1E9EBB6A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Baseline attitude score</w:t>
            </w:r>
            <w:r w:rsidRPr="00CC5C45">
              <w:rPr>
                <w:rStyle w:val="eop"/>
                <w:rFonts w:eastAsiaTheme="majorEastAsia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17" w:type="dxa"/>
            <w:vAlign w:val="center"/>
          </w:tcPr>
          <w:p w14:paraId="4A8897F1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19.33 (2.51)</w:t>
            </w:r>
            <w:r w:rsidRPr="00CC5C45">
              <w:rPr>
                <w:rStyle w:val="eop"/>
                <w:rFonts w:eastAsiaTheme="majorEastAsia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499" w:type="dxa"/>
            <w:vAlign w:val="center"/>
          </w:tcPr>
          <w:p w14:paraId="7539C87F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19.93 (2.71)</w:t>
            </w:r>
            <w:r w:rsidRPr="00CC5C45">
              <w:rPr>
                <w:rStyle w:val="eop"/>
                <w:rFonts w:eastAsiaTheme="majorEastAsia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440" w:type="dxa"/>
            <w:vAlign w:val="center"/>
          </w:tcPr>
          <w:p w14:paraId="44CDA912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0.61</w:t>
            </w:r>
            <w:r w:rsidRPr="00CC5C45">
              <w:rPr>
                <w:rStyle w:val="eop"/>
                <w:rFonts w:eastAsiaTheme="majorEastAsia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863" w:type="dxa"/>
            <w:vAlign w:val="center"/>
          </w:tcPr>
          <w:p w14:paraId="20DBF7F9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t (369.6) =2.26</w:t>
            </w:r>
            <w:r w:rsidRPr="00CC5C45">
              <w:rPr>
                <w:rStyle w:val="eop"/>
                <w:rFonts w:eastAsiaTheme="majorEastAsia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976" w:type="dxa"/>
            <w:vAlign w:val="center"/>
          </w:tcPr>
          <w:p w14:paraId="31C4DC88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0.024</w:t>
            </w:r>
            <w:r w:rsidRPr="00CC5C45">
              <w:rPr>
                <w:rStyle w:val="eop"/>
                <w:rFonts w:eastAsiaTheme="majorEastAsia"/>
                <w:color w:val="000000" w:themeColor="text1"/>
                <w:sz w:val="28"/>
                <w:szCs w:val="28"/>
              </w:rPr>
              <w:t> </w:t>
            </w:r>
          </w:p>
        </w:tc>
      </w:tr>
      <w:tr w:rsidR="00545B5F" w:rsidRPr="00CC5C45" w14:paraId="2BEEEA3F" w14:textId="77777777" w:rsidTr="00656BA7">
        <w:trPr>
          <w:trHeight w:val="199"/>
        </w:trPr>
        <w:tc>
          <w:tcPr>
            <w:tcW w:w="2085" w:type="dxa"/>
            <w:vAlign w:val="center"/>
          </w:tcPr>
          <w:p w14:paraId="703B4C56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Baseline practice-confidence score</w:t>
            </w:r>
            <w:r w:rsidRPr="00CC5C45">
              <w:rPr>
                <w:rStyle w:val="eop"/>
                <w:rFonts w:eastAsiaTheme="majorEastAsia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17" w:type="dxa"/>
            <w:vAlign w:val="center"/>
          </w:tcPr>
          <w:p w14:paraId="2DEC6E5D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43.06 (9.31)</w:t>
            </w:r>
            <w:r w:rsidRPr="00CC5C45">
              <w:rPr>
                <w:rStyle w:val="eop"/>
                <w:rFonts w:eastAsiaTheme="majorEastAsia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499" w:type="dxa"/>
            <w:vAlign w:val="center"/>
          </w:tcPr>
          <w:p w14:paraId="6252A7A5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42.99 (9.43)</w:t>
            </w:r>
            <w:r w:rsidRPr="00CC5C45">
              <w:rPr>
                <w:rStyle w:val="eop"/>
                <w:rFonts w:eastAsiaTheme="majorEastAsia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440" w:type="dxa"/>
            <w:vAlign w:val="center"/>
          </w:tcPr>
          <w:p w14:paraId="17F6582F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Fonts w:eastAsiaTheme="minorEastAsia"/>
                <w:sz w:val="28"/>
                <w:szCs w:val="28"/>
              </w:rPr>
              <w:t>−</w:t>
            </w: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0.07</w:t>
            </w:r>
            <w:r w:rsidRPr="00CC5C45">
              <w:rPr>
                <w:rStyle w:val="eop"/>
                <w:rFonts w:eastAsiaTheme="majorEastAsia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863" w:type="dxa"/>
            <w:vAlign w:val="center"/>
          </w:tcPr>
          <w:p w14:paraId="60A1C47C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t (360.4) =</w:t>
            </w:r>
            <w:r w:rsidRPr="00CC5C45">
              <w:rPr>
                <w:rFonts w:eastAsiaTheme="minorEastAsia"/>
                <w:sz w:val="28"/>
                <w:szCs w:val="28"/>
              </w:rPr>
              <w:t>−</w:t>
            </w: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0.07</w:t>
            </w:r>
            <w:r w:rsidRPr="00CC5C45">
              <w:rPr>
                <w:rStyle w:val="eop"/>
                <w:rFonts w:eastAsiaTheme="majorEastAsia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976" w:type="dxa"/>
            <w:vAlign w:val="center"/>
          </w:tcPr>
          <w:p w14:paraId="38FBB8D7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0.942</w:t>
            </w:r>
            <w:r w:rsidRPr="00CC5C45">
              <w:rPr>
                <w:rStyle w:val="eop"/>
                <w:rFonts w:eastAsiaTheme="majorEastAsia"/>
                <w:color w:val="000000" w:themeColor="text1"/>
                <w:sz w:val="28"/>
                <w:szCs w:val="28"/>
              </w:rPr>
              <w:t> </w:t>
            </w:r>
          </w:p>
        </w:tc>
      </w:tr>
      <w:tr w:rsidR="00545B5F" w:rsidRPr="00CC5C45" w14:paraId="15F9BFF4" w14:textId="77777777" w:rsidTr="00656BA7">
        <w:trPr>
          <w:trHeight w:val="399"/>
        </w:trPr>
        <w:tc>
          <w:tcPr>
            <w:tcW w:w="2085" w:type="dxa"/>
            <w:vAlign w:val="center"/>
          </w:tcPr>
          <w:p w14:paraId="079D3A13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Baseline composite SCC-related outcome score</w:t>
            </w:r>
            <w:r w:rsidRPr="00CC5C45">
              <w:rPr>
                <w:rStyle w:val="eop"/>
                <w:rFonts w:eastAsiaTheme="majorEastAsia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17" w:type="dxa"/>
            <w:vAlign w:val="center"/>
          </w:tcPr>
          <w:p w14:paraId="35C98D72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Fonts w:eastAsiaTheme="minorEastAsia"/>
                <w:sz w:val="28"/>
                <w:szCs w:val="28"/>
              </w:rPr>
              <w:t>−</w:t>
            </w: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0.02 (0.65)</w:t>
            </w:r>
            <w:r w:rsidRPr="00CC5C45">
              <w:rPr>
                <w:rStyle w:val="eop"/>
                <w:rFonts w:eastAsiaTheme="majorEastAsia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499" w:type="dxa"/>
            <w:vAlign w:val="center"/>
          </w:tcPr>
          <w:p w14:paraId="10441E24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0.02 (0.73)</w:t>
            </w:r>
            <w:r w:rsidRPr="00CC5C45">
              <w:rPr>
                <w:rStyle w:val="eop"/>
                <w:rFonts w:eastAsiaTheme="majorEastAsia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440" w:type="dxa"/>
            <w:vAlign w:val="center"/>
          </w:tcPr>
          <w:p w14:paraId="204508BF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0.03</w:t>
            </w:r>
            <w:r w:rsidRPr="00CC5C45">
              <w:rPr>
                <w:rStyle w:val="eop"/>
                <w:rFonts w:eastAsiaTheme="majorEastAsia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863" w:type="dxa"/>
            <w:vAlign w:val="center"/>
          </w:tcPr>
          <w:p w14:paraId="136D4DAC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t (372.5) =0.47</w:t>
            </w:r>
            <w:r w:rsidRPr="00CC5C45">
              <w:rPr>
                <w:rStyle w:val="eop"/>
                <w:rFonts w:eastAsiaTheme="majorEastAsia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976" w:type="dxa"/>
            <w:vAlign w:val="center"/>
          </w:tcPr>
          <w:p w14:paraId="6349817F" w14:textId="77777777" w:rsidR="00545B5F" w:rsidRPr="00CC5C45" w:rsidRDefault="00545B5F" w:rsidP="00656BA7">
            <w:pPr>
              <w:pStyle w:val="paragraph"/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normaltextrun"/>
                <w:rFonts w:eastAsiaTheme="majorEastAsia"/>
                <w:color w:val="000000" w:themeColor="text1"/>
                <w:sz w:val="28"/>
                <w:szCs w:val="28"/>
              </w:rPr>
              <w:t>0.641</w:t>
            </w:r>
            <w:r w:rsidRPr="00CC5C45">
              <w:rPr>
                <w:rStyle w:val="eop"/>
                <w:rFonts w:eastAsiaTheme="majorEastAsia"/>
                <w:color w:val="000000" w:themeColor="text1"/>
                <w:sz w:val="28"/>
                <w:szCs w:val="28"/>
              </w:rPr>
              <w:t> </w:t>
            </w:r>
          </w:p>
        </w:tc>
      </w:tr>
    </w:tbl>
    <w:p w14:paraId="2945ACD0" w14:textId="77777777" w:rsidR="00545B5F" w:rsidRPr="00CC5C45" w:rsidRDefault="00545B5F" w:rsidP="00545B5F">
      <w:pPr>
        <w:pStyle w:val="paragraph"/>
        <w:spacing w:before="0" w:beforeAutospacing="0" w:after="120" w:afterAutospacing="0" w:line="480" w:lineRule="auto"/>
        <w:textAlignment w:val="baseline"/>
        <w:rPr>
          <w:b/>
          <w:bCs/>
          <w:color w:val="000000" w:themeColor="text1"/>
          <w:sz w:val="28"/>
          <w:szCs w:val="28"/>
        </w:rPr>
      </w:pPr>
      <w:r w:rsidRPr="00CC5C45">
        <w:rPr>
          <w:rStyle w:val="eop"/>
          <w:rFonts w:eastAsiaTheme="majorEastAsia"/>
          <w:b/>
          <w:bCs/>
          <w:color w:val="000000" w:themeColor="text1"/>
          <w:sz w:val="28"/>
          <w:szCs w:val="28"/>
        </w:rPr>
        <w:lastRenderedPageBreak/>
        <w:t xml:space="preserve">Note. </w:t>
      </w:r>
      <w:r w:rsidRPr="00CC5C45">
        <w:rPr>
          <w:rStyle w:val="eop"/>
          <w:rFonts w:eastAsiaTheme="majorEastAsia"/>
          <w:color w:val="000000" w:themeColor="text1"/>
          <w:sz w:val="28"/>
          <w:szCs w:val="28"/>
        </w:rPr>
        <w:t>Mean differences and test statistics are expressed as IPE minus control; positive values indicate higher baseline scores in the IPE cohort.</w:t>
      </w:r>
    </w:p>
    <w:p w14:paraId="710371BD" w14:textId="77777777" w:rsidR="00545B5F" w:rsidRDefault="00545B5F" w:rsidP="00545B5F">
      <w:pPr>
        <w:spacing w:after="120" w:line="480" w:lineRule="auto"/>
        <w:rPr>
          <w:color w:val="000000" w:themeColor="text1"/>
          <w:sz w:val="28"/>
          <w:szCs w:val="28"/>
        </w:rPr>
      </w:pPr>
    </w:p>
    <w:p w14:paraId="2C2F591F" w14:textId="77777777" w:rsidR="00545B5F" w:rsidRDefault="00545B5F" w:rsidP="00545B5F">
      <w:pPr>
        <w:spacing w:after="120" w:line="480" w:lineRule="auto"/>
        <w:rPr>
          <w:color w:val="000000" w:themeColor="text1"/>
          <w:sz w:val="28"/>
          <w:szCs w:val="28"/>
        </w:rPr>
      </w:pPr>
    </w:p>
    <w:p w14:paraId="2F7ABEAC" w14:textId="77777777" w:rsidR="00545B5F" w:rsidRDefault="00545B5F" w:rsidP="00545B5F">
      <w:pPr>
        <w:spacing w:after="120" w:line="480" w:lineRule="auto"/>
        <w:rPr>
          <w:color w:val="000000" w:themeColor="text1"/>
          <w:sz w:val="28"/>
          <w:szCs w:val="28"/>
        </w:rPr>
      </w:pPr>
    </w:p>
    <w:p w14:paraId="12F1A01C" w14:textId="77777777" w:rsidR="00545B5F" w:rsidRDefault="00545B5F" w:rsidP="00545B5F">
      <w:pPr>
        <w:spacing w:after="120" w:line="480" w:lineRule="auto"/>
        <w:rPr>
          <w:color w:val="000000" w:themeColor="text1"/>
          <w:sz w:val="28"/>
          <w:szCs w:val="28"/>
        </w:rPr>
      </w:pPr>
    </w:p>
    <w:p w14:paraId="5A97FA8F" w14:textId="77777777" w:rsidR="00545B5F" w:rsidRDefault="00545B5F" w:rsidP="00545B5F">
      <w:pPr>
        <w:spacing w:after="120" w:line="480" w:lineRule="auto"/>
        <w:rPr>
          <w:color w:val="000000" w:themeColor="text1"/>
          <w:sz w:val="28"/>
          <w:szCs w:val="28"/>
        </w:rPr>
      </w:pPr>
    </w:p>
    <w:p w14:paraId="1374161F" w14:textId="77777777" w:rsidR="00545B5F" w:rsidRDefault="00545B5F" w:rsidP="00545B5F">
      <w:pPr>
        <w:spacing w:after="120" w:line="480" w:lineRule="auto"/>
        <w:rPr>
          <w:color w:val="000000" w:themeColor="text1"/>
          <w:sz w:val="28"/>
          <w:szCs w:val="28"/>
        </w:rPr>
      </w:pPr>
    </w:p>
    <w:p w14:paraId="67815264" w14:textId="77777777" w:rsidR="00545B5F" w:rsidRDefault="00545B5F" w:rsidP="00545B5F">
      <w:pPr>
        <w:spacing w:after="120" w:line="480" w:lineRule="auto"/>
        <w:rPr>
          <w:color w:val="000000" w:themeColor="text1"/>
          <w:sz w:val="28"/>
          <w:szCs w:val="28"/>
        </w:rPr>
      </w:pPr>
    </w:p>
    <w:p w14:paraId="6742A9D5" w14:textId="77777777" w:rsidR="00545B5F" w:rsidRDefault="00545B5F" w:rsidP="00545B5F">
      <w:pPr>
        <w:spacing w:after="120" w:line="480" w:lineRule="auto"/>
        <w:rPr>
          <w:color w:val="000000" w:themeColor="text1"/>
          <w:sz w:val="28"/>
          <w:szCs w:val="28"/>
        </w:rPr>
      </w:pPr>
    </w:p>
    <w:p w14:paraId="037A329D" w14:textId="77777777" w:rsidR="00545B5F" w:rsidRPr="00CC5C45" w:rsidRDefault="00545B5F" w:rsidP="00545B5F">
      <w:pPr>
        <w:spacing w:after="120" w:line="480" w:lineRule="auto"/>
        <w:rPr>
          <w:color w:val="000000" w:themeColor="text1"/>
          <w:sz w:val="28"/>
          <w:szCs w:val="28"/>
        </w:rPr>
      </w:pPr>
    </w:p>
    <w:p w14:paraId="01F46989" w14:textId="77777777" w:rsidR="00545B5F" w:rsidRPr="00CC5C45" w:rsidRDefault="00545B5F" w:rsidP="00545B5F">
      <w:pPr>
        <w:spacing w:after="120" w:line="480" w:lineRule="auto"/>
        <w:rPr>
          <w:color w:val="000000" w:themeColor="text1"/>
          <w:sz w:val="28"/>
          <w:szCs w:val="28"/>
        </w:rPr>
      </w:pPr>
      <w:r w:rsidRPr="00CC5C45">
        <w:rPr>
          <w:color w:val="000000" w:themeColor="text1"/>
          <w:sz w:val="28"/>
          <w:szCs w:val="28"/>
        </w:rPr>
        <w:t>Supplementary Table S2. Exploratory comparisons of MBBS and BPharm students within the IPE cohort</w:t>
      </w:r>
    </w:p>
    <w:p w14:paraId="18815E99" w14:textId="77777777" w:rsidR="00545B5F" w:rsidRPr="00CC5C45" w:rsidRDefault="00545B5F" w:rsidP="00545B5F">
      <w:pPr>
        <w:spacing w:after="120" w:line="480" w:lineRule="auto"/>
        <w:rPr>
          <w:b/>
          <w:bCs/>
          <w:color w:val="000000" w:themeColor="text1"/>
          <w:sz w:val="28"/>
          <w:szCs w:val="28"/>
        </w:rPr>
      </w:pPr>
      <w:r w:rsidRPr="00CC5C45">
        <w:rPr>
          <w:b/>
          <w:bCs/>
          <w:color w:val="000000" w:themeColor="text1"/>
          <w:sz w:val="28"/>
          <w:szCs w:val="28"/>
        </w:rPr>
        <w:t>Panel A. Baseline comparisons</w:t>
      </w:r>
    </w:p>
    <w:tbl>
      <w:tblPr>
        <w:tblStyle w:val="TableGrid"/>
        <w:tblW w:w="9468" w:type="dxa"/>
        <w:jc w:val="center"/>
        <w:tblLook w:val="04A0" w:firstRow="1" w:lastRow="0" w:firstColumn="1" w:lastColumn="0" w:noHBand="0" w:noVBand="1"/>
      </w:tblPr>
      <w:tblGrid>
        <w:gridCol w:w="1830"/>
        <w:gridCol w:w="2024"/>
        <w:gridCol w:w="2057"/>
        <w:gridCol w:w="2380"/>
        <w:gridCol w:w="1177"/>
      </w:tblGrid>
      <w:tr w:rsidR="00545B5F" w:rsidRPr="00CC5C45" w14:paraId="427D615B" w14:textId="77777777" w:rsidTr="00656BA7">
        <w:trPr>
          <w:trHeight w:val="356"/>
          <w:tblHeader/>
          <w:jc w:val="center"/>
        </w:trPr>
        <w:tc>
          <w:tcPr>
            <w:tcW w:w="1830" w:type="dxa"/>
            <w:shd w:val="clear" w:color="auto" w:fill="D9EAF7"/>
            <w:vAlign w:val="center"/>
          </w:tcPr>
          <w:p w14:paraId="3616E568" w14:textId="77777777" w:rsidR="00545B5F" w:rsidRPr="00CC5C45" w:rsidRDefault="00545B5F" w:rsidP="00656BA7">
            <w:pPr>
              <w:spacing w:line="48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C5C45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Outcome</w:t>
            </w:r>
          </w:p>
        </w:tc>
        <w:tc>
          <w:tcPr>
            <w:tcW w:w="2024" w:type="dxa"/>
            <w:shd w:val="clear" w:color="auto" w:fill="D9EAF7"/>
            <w:vAlign w:val="center"/>
          </w:tcPr>
          <w:p w14:paraId="276B9EC0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b/>
                <w:color w:val="000000" w:themeColor="text1"/>
                <w:sz w:val="28"/>
                <w:szCs w:val="28"/>
              </w:rPr>
              <w:t>MBBS, mean (SD)</w:t>
            </w:r>
          </w:p>
        </w:tc>
        <w:tc>
          <w:tcPr>
            <w:tcW w:w="2057" w:type="dxa"/>
            <w:shd w:val="clear" w:color="auto" w:fill="D9EAF7"/>
            <w:vAlign w:val="center"/>
          </w:tcPr>
          <w:p w14:paraId="66B5E8AA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b/>
                <w:color w:val="000000" w:themeColor="text1"/>
                <w:sz w:val="28"/>
                <w:szCs w:val="28"/>
              </w:rPr>
              <w:t>BPharm, mean (SD)</w:t>
            </w:r>
          </w:p>
        </w:tc>
        <w:tc>
          <w:tcPr>
            <w:tcW w:w="2380" w:type="dxa"/>
            <w:shd w:val="clear" w:color="auto" w:fill="D9EAF7"/>
            <w:vAlign w:val="center"/>
          </w:tcPr>
          <w:p w14:paraId="6BABB572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b/>
                <w:color w:val="000000" w:themeColor="text1"/>
                <w:sz w:val="28"/>
                <w:szCs w:val="28"/>
              </w:rPr>
              <w:t>Mean difference, BPharm minus MBBS (95% CI)</w:t>
            </w:r>
          </w:p>
        </w:tc>
        <w:tc>
          <w:tcPr>
            <w:tcW w:w="1177" w:type="dxa"/>
            <w:shd w:val="clear" w:color="auto" w:fill="D9EAF7"/>
            <w:vAlign w:val="center"/>
          </w:tcPr>
          <w:p w14:paraId="355CC1A3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b/>
                <w:color w:val="000000" w:themeColor="text1"/>
                <w:sz w:val="28"/>
                <w:szCs w:val="28"/>
              </w:rPr>
              <w:t>p value</w:t>
            </w:r>
          </w:p>
        </w:tc>
      </w:tr>
      <w:tr w:rsidR="00545B5F" w:rsidRPr="00CC5C45" w14:paraId="5FB8280D" w14:textId="77777777" w:rsidTr="00656BA7">
        <w:trPr>
          <w:trHeight w:val="993"/>
          <w:jc w:val="center"/>
        </w:trPr>
        <w:tc>
          <w:tcPr>
            <w:tcW w:w="1830" w:type="dxa"/>
            <w:vAlign w:val="center"/>
          </w:tcPr>
          <w:p w14:paraId="5F0CC369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ICCAS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total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score</w:t>
            </w:r>
          </w:p>
        </w:tc>
        <w:tc>
          <w:tcPr>
            <w:tcW w:w="2024" w:type="dxa"/>
            <w:vAlign w:val="center"/>
          </w:tcPr>
          <w:p w14:paraId="07B18DCE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71.24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(14.11)</w:t>
            </w:r>
          </w:p>
        </w:tc>
        <w:tc>
          <w:tcPr>
            <w:tcW w:w="2057" w:type="dxa"/>
            <w:vAlign w:val="center"/>
          </w:tcPr>
          <w:p w14:paraId="4199D893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66.44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(11.16)</w:t>
            </w:r>
          </w:p>
        </w:tc>
        <w:tc>
          <w:tcPr>
            <w:tcW w:w="2380" w:type="dxa"/>
            <w:vAlign w:val="center"/>
          </w:tcPr>
          <w:p w14:paraId="461656D8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−4.80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(−9.19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to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−0.42)</w:t>
            </w:r>
          </w:p>
        </w:tc>
        <w:tc>
          <w:tcPr>
            <w:tcW w:w="1177" w:type="dxa"/>
            <w:vAlign w:val="center"/>
          </w:tcPr>
          <w:p w14:paraId="620E7555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0.032</w:t>
            </w:r>
          </w:p>
        </w:tc>
      </w:tr>
      <w:tr w:rsidR="00545B5F" w:rsidRPr="00CC5C45" w14:paraId="5A5691E3" w14:textId="77777777" w:rsidTr="00656BA7">
        <w:trPr>
          <w:trHeight w:val="313"/>
          <w:jc w:val="center"/>
        </w:trPr>
        <w:tc>
          <w:tcPr>
            <w:tcW w:w="1830" w:type="dxa"/>
            <w:vAlign w:val="center"/>
          </w:tcPr>
          <w:p w14:paraId="36E56353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Composite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SCC-related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outcome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score</w:t>
            </w:r>
          </w:p>
        </w:tc>
        <w:tc>
          <w:tcPr>
            <w:tcW w:w="2024" w:type="dxa"/>
            <w:vAlign w:val="center"/>
          </w:tcPr>
          <w:p w14:paraId="19203083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0.07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(0.73)</w:t>
            </w:r>
          </w:p>
        </w:tc>
        <w:tc>
          <w:tcPr>
            <w:tcW w:w="2057" w:type="dxa"/>
            <w:vAlign w:val="center"/>
          </w:tcPr>
          <w:p w14:paraId="02F1BE67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−0.25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(0.67)</w:t>
            </w:r>
          </w:p>
        </w:tc>
        <w:tc>
          <w:tcPr>
            <w:tcW w:w="2380" w:type="dxa"/>
            <w:vAlign w:val="center"/>
          </w:tcPr>
          <w:p w14:paraId="0F221A5C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−0.31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(−0.57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to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−0.05)</w:t>
            </w:r>
          </w:p>
        </w:tc>
        <w:tc>
          <w:tcPr>
            <w:tcW w:w="1177" w:type="dxa"/>
            <w:vAlign w:val="center"/>
          </w:tcPr>
          <w:p w14:paraId="2A5A03F5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0.018</w:t>
            </w:r>
          </w:p>
        </w:tc>
      </w:tr>
    </w:tbl>
    <w:p w14:paraId="4627A108" w14:textId="77777777" w:rsidR="00545B5F" w:rsidRPr="00CC5C45" w:rsidRDefault="00545B5F" w:rsidP="00545B5F">
      <w:pPr>
        <w:spacing w:after="120" w:line="480" w:lineRule="auto"/>
        <w:rPr>
          <w:b/>
          <w:bCs/>
          <w:color w:val="000000" w:themeColor="text1"/>
          <w:sz w:val="28"/>
          <w:szCs w:val="28"/>
        </w:rPr>
      </w:pPr>
    </w:p>
    <w:p w14:paraId="79599B80" w14:textId="77777777" w:rsidR="00545B5F" w:rsidRDefault="00545B5F" w:rsidP="00545B5F">
      <w:pPr>
        <w:spacing w:after="120" w:line="480" w:lineRule="auto"/>
        <w:rPr>
          <w:b/>
          <w:bCs/>
          <w:color w:val="000000" w:themeColor="text1"/>
          <w:sz w:val="28"/>
          <w:szCs w:val="28"/>
        </w:rPr>
      </w:pPr>
    </w:p>
    <w:p w14:paraId="7DAF7768" w14:textId="77777777" w:rsidR="00545B5F" w:rsidRDefault="00545B5F" w:rsidP="00545B5F">
      <w:pPr>
        <w:spacing w:after="120" w:line="480" w:lineRule="auto"/>
        <w:rPr>
          <w:b/>
          <w:bCs/>
          <w:color w:val="000000" w:themeColor="text1"/>
          <w:sz w:val="28"/>
          <w:szCs w:val="28"/>
        </w:rPr>
      </w:pPr>
    </w:p>
    <w:p w14:paraId="4F84BF00" w14:textId="77777777" w:rsidR="00545B5F" w:rsidRDefault="00545B5F" w:rsidP="00545B5F">
      <w:pPr>
        <w:spacing w:after="120" w:line="480" w:lineRule="auto"/>
        <w:rPr>
          <w:b/>
          <w:bCs/>
          <w:color w:val="000000" w:themeColor="text1"/>
          <w:sz w:val="28"/>
          <w:szCs w:val="28"/>
        </w:rPr>
      </w:pPr>
    </w:p>
    <w:p w14:paraId="32A04455" w14:textId="77777777" w:rsidR="00545B5F" w:rsidRDefault="00545B5F" w:rsidP="00545B5F">
      <w:pPr>
        <w:spacing w:after="120" w:line="480" w:lineRule="auto"/>
        <w:rPr>
          <w:b/>
          <w:bCs/>
          <w:color w:val="000000" w:themeColor="text1"/>
          <w:sz w:val="28"/>
          <w:szCs w:val="28"/>
        </w:rPr>
      </w:pPr>
    </w:p>
    <w:p w14:paraId="496A48D8" w14:textId="77777777" w:rsidR="00545B5F" w:rsidRDefault="00545B5F" w:rsidP="00545B5F">
      <w:pPr>
        <w:spacing w:after="120" w:line="480" w:lineRule="auto"/>
        <w:rPr>
          <w:b/>
          <w:bCs/>
          <w:color w:val="000000" w:themeColor="text1"/>
          <w:sz w:val="28"/>
          <w:szCs w:val="28"/>
        </w:rPr>
      </w:pPr>
    </w:p>
    <w:p w14:paraId="0D7969C1" w14:textId="77777777" w:rsidR="00545B5F" w:rsidRDefault="00545B5F" w:rsidP="00545B5F">
      <w:pPr>
        <w:spacing w:after="120" w:line="480" w:lineRule="auto"/>
        <w:rPr>
          <w:b/>
          <w:bCs/>
          <w:color w:val="000000" w:themeColor="text1"/>
          <w:sz w:val="28"/>
          <w:szCs w:val="28"/>
        </w:rPr>
      </w:pPr>
    </w:p>
    <w:p w14:paraId="05DAB814" w14:textId="77777777" w:rsidR="00545B5F" w:rsidRPr="00CC5C45" w:rsidRDefault="00545B5F" w:rsidP="00545B5F">
      <w:pPr>
        <w:spacing w:after="120" w:line="480" w:lineRule="auto"/>
        <w:rPr>
          <w:b/>
          <w:bCs/>
          <w:color w:val="000000" w:themeColor="text1"/>
          <w:sz w:val="28"/>
          <w:szCs w:val="28"/>
        </w:rPr>
      </w:pPr>
      <w:r w:rsidRPr="00CC5C45">
        <w:rPr>
          <w:b/>
          <w:bCs/>
          <w:color w:val="000000" w:themeColor="text1"/>
          <w:sz w:val="28"/>
          <w:szCs w:val="28"/>
        </w:rPr>
        <w:t xml:space="preserve">Panel B. Within-discipline pre-post changes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30"/>
        <w:gridCol w:w="1494"/>
        <w:gridCol w:w="1398"/>
        <w:gridCol w:w="1646"/>
        <w:gridCol w:w="1322"/>
        <w:gridCol w:w="1056"/>
        <w:gridCol w:w="1004"/>
      </w:tblGrid>
      <w:tr w:rsidR="00545B5F" w:rsidRPr="00CC5C45" w14:paraId="6F64E726" w14:textId="77777777" w:rsidTr="00656BA7">
        <w:trPr>
          <w:trHeight w:val="290"/>
          <w:tblHeader/>
          <w:jc w:val="center"/>
        </w:trPr>
        <w:tc>
          <w:tcPr>
            <w:tcW w:w="1422" w:type="dxa"/>
            <w:shd w:val="clear" w:color="auto" w:fill="D9EAF7"/>
            <w:vAlign w:val="center"/>
          </w:tcPr>
          <w:p w14:paraId="32D49C20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lastRenderedPageBreak/>
              <w:t>Outcome</w:t>
            </w:r>
          </w:p>
        </w:tc>
        <w:tc>
          <w:tcPr>
            <w:tcW w:w="1513" w:type="dxa"/>
            <w:shd w:val="clear" w:color="auto" w:fill="D9EAF7"/>
            <w:vAlign w:val="center"/>
          </w:tcPr>
          <w:p w14:paraId="21764EB2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t>Discipline</w:t>
            </w:r>
          </w:p>
        </w:tc>
        <w:tc>
          <w:tcPr>
            <w:tcW w:w="1545" w:type="dxa"/>
            <w:shd w:val="clear" w:color="auto" w:fill="D9EAF7"/>
            <w:vAlign w:val="center"/>
          </w:tcPr>
          <w:p w14:paraId="52B5B8B0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b/>
                <w:bCs/>
                <w:i/>
                <w:iCs/>
                <w:color w:val="000000" w:themeColor="text1"/>
                <w:sz w:val="28"/>
                <w:szCs w:val="28"/>
              </w:rPr>
              <w:t>n</w:t>
            </w:r>
          </w:p>
        </w:tc>
        <w:tc>
          <w:tcPr>
            <w:tcW w:w="1764" w:type="dxa"/>
            <w:shd w:val="clear" w:color="auto" w:fill="D9EAF7"/>
            <w:vAlign w:val="center"/>
          </w:tcPr>
          <w:p w14:paraId="207B105B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t>Pre,</w:t>
            </w:r>
            <w:r w:rsidRPr="00CC5C45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t>mean</w:t>
            </w:r>
            <w:r w:rsidRPr="00CC5C45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t>(SD)</w:t>
            </w:r>
          </w:p>
        </w:tc>
        <w:tc>
          <w:tcPr>
            <w:tcW w:w="1378" w:type="dxa"/>
            <w:shd w:val="clear" w:color="auto" w:fill="D9EAF7"/>
            <w:vAlign w:val="center"/>
          </w:tcPr>
          <w:p w14:paraId="2C2F336C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t>Post,</w:t>
            </w:r>
            <w:r w:rsidRPr="00CC5C45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t>mean</w:t>
            </w:r>
            <w:r w:rsidRPr="00CC5C45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t>(SD)</w:t>
            </w:r>
          </w:p>
        </w:tc>
        <w:tc>
          <w:tcPr>
            <w:tcW w:w="941" w:type="dxa"/>
            <w:shd w:val="clear" w:color="auto" w:fill="D9EAF7"/>
            <w:vAlign w:val="center"/>
          </w:tcPr>
          <w:p w14:paraId="29D49133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t>Mean</w:t>
            </w:r>
            <w:r w:rsidRPr="00CC5C45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t>change</w:t>
            </w:r>
            <w:r w:rsidRPr="00CC5C45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t>(95%</w:t>
            </w:r>
            <w:r w:rsidRPr="00CC5C45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t>CI)</w:t>
            </w:r>
          </w:p>
        </w:tc>
        <w:tc>
          <w:tcPr>
            <w:tcW w:w="797" w:type="dxa"/>
            <w:shd w:val="clear" w:color="auto" w:fill="D9EAF7"/>
            <w:vAlign w:val="center"/>
          </w:tcPr>
          <w:p w14:paraId="5AD318A2" w14:textId="77777777" w:rsidR="00545B5F" w:rsidRPr="00CC5C45" w:rsidRDefault="00545B5F" w:rsidP="00656BA7">
            <w:pPr>
              <w:spacing w:line="480" w:lineRule="auto"/>
              <w:rPr>
                <w:b/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b/>
                <w:bCs/>
                <w:i/>
                <w:iCs/>
                <w:color w:val="000000" w:themeColor="text1"/>
                <w:sz w:val="28"/>
                <w:szCs w:val="28"/>
              </w:rPr>
              <w:t>p</w:t>
            </w:r>
            <w:r w:rsidRPr="00CC5C45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t>value</w:t>
            </w:r>
          </w:p>
        </w:tc>
      </w:tr>
      <w:tr w:rsidR="00545B5F" w:rsidRPr="00CC5C45" w14:paraId="30F36307" w14:textId="77777777" w:rsidTr="00656BA7">
        <w:trPr>
          <w:trHeight w:val="804"/>
          <w:jc w:val="center"/>
        </w:trPr>
        <w:tc>
          <w:tcPr>
            <w:tcW w:w="1422" w:type="dxa"/>
            <w:vAlign w:val="center"/>
          </w:tcPr>
          <w:p w14:paraId="0D049704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ICCAS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total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score</w:t>
            </w:r>
          </w:p>
        </w:tc>
        <w:tc>
          <w:tcPr>
            <w:tcW w:w="1513" w:type="dxa"/>
            <w:vAlign w:val="center"/>
          </w:tcPr>
          <w:p w14:paraId="042231D3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MBBS</w:t>
            </w:r>
          </w:p>
        </w:tc>
        <w:tc>
          <w:tcPr>
            <w:tcW w:w="1545" w:type="dxa"/>
            <w:vAlign w:val="center"/>
          </w:tcPr>
          <w:p w14:paraId="2EDE1610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175</w:t>
            </w:r>
          </w:p>
        </w:tc>
        <w:tc>
          <w:tcPr>
            <w:tcW w:w="1764" w:type="dxa"/>
            <w:vAlign w:val="center"/>
          </w:tcPr>
          <w:p w14:paraId="19013650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71.08 (14.04)</w:t>
            </w:r>
          </w:p>
        </w:tc>
        <w:tc>
          <w:tcPr>
            <w:tcW w:w="1378" w:type="dxa"/>
            <w:vAlign w:val="center"/>
          </w:tcPr>
          <w:p w14:paraId="5E8D4E03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83.90 (11.28)</w:t>
            </w:r>
          </w:p>
        </w:tc>
        <w:tc>
          <w:tcPr>
            <w:tcW w:w="941" w:type="dxa"/>
            <w:vAlign w:val="center"/>
          </w:tcPr>
          <w:p w14:paraId="6DF6B6B5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12.82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(10.93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to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14.72)</w:t>
            </w:r>
          </w:p>
        </w:tc>
        <w:tc>
          <w:tcPr>
            <w:tcW w:w="797" w:type="dxa"/>
            <w:vAlign w:val="center"/>
          </w:tcPr>
          <w:p w14:paraId="2CCC33FE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&lt;0.001</w:t>
            </w:r>
          </w:p>
        </w:tc>
      </w:tr>
      <w:tr w:rsidR="00545B5F" w:rsidRPr="00CC5C45" w14:paraId="10719DAD" w14:textId="77777777" w:rsidTr="00656BA7">
        <w:trPr>
          <w:trHeight w:val="255"/>
          <w:jc w:val="center"/>
        </w:trPr>
        <w:tc>
          <w:tcPr>
            <w:tcW w:w="1422" w:type="dxa"/>
            <w:vAlign w:val="center"/>
          </w:tcPr>
          <w:p w14:paraId="042ACF86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ICCAS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total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score</w:t>
            </w:r>
          </w:p>
        </w:tc>
        <w:tc>
          <w:tcPr>
            <w:tcW w:w="1513" w:type="dxa"/>
            <w:vAlign w:val="center"/>
          </w:tcPr>
          <w:p w14:paraId="79680232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BPharm</w:t>
            </w:r>
          </w:p>
        </w:tc>
        <w:tc>
          <w:tcPr>
            <w:tcW w:w="1545" w:type="dxa"/>
            <w:vAlign w:val="center"/>
          </w:tcPr>
          <w:p w14:paraId="2629330C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1764" w:type="dxa"/>
            <w:vAlign w:val="center"/>
          </w:tcPr>
          <w:p w14:paraId="15982901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66.44 (11.16)</w:t>
            </w:r>
          </w:p>
        </w:tc>
        <w:tc>
          <w:tcPr>
            <w:tcW w:w="1378" w:type="dxa"/>
            <w:vAlign w:val="center"/>
          </w:tcPr>
          <w:p w14:paraId="0969D672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75.24 (15.42)</w:t>
            </w:r>
          </w:p>
        </w:tc>
        <w:tc>
          <w:tcPr>
            <w:tcW w:w="941" w:type="dxa"/>
            <w:vAlign w:val="center"/>
          </w:tcPr>
          <w:p w14:paraId="3C54870A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8.79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(3.79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to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13.80)</w:t>
            </w:r>
          </w:p>
        </w:tc>
        <w:tc>
          <w:tcPr>
            <w:tcW w:w="797" w:type="dxa"/>
            <w:vAlign w:val="center"/>
          </w:tcPr>
          <w:p w14:paraId="11CD6A3F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0.001</w:t>
            </w:r>
          </w:p>
        </w:tc>
      </w:tr>
      <w:tr w:rsidR="00545B5F" w:rsidRPr="00CC5C45" w14:paraId="6FCC6929" w14:textId="77777777" w:rsidTr="00656BA7">
        <w:trPr>
          <w:trHeight w:val="512"/>
          <w:jc w:val="center"/>
        </w:trPr>
        <w:tc>
          <w:tcPr>
            <w:tcW w:w="1422" w:type="dxa"/>
            <w:vAlign w:val="center"/>
          </w:tcPr>
          <w:p w14:paraId="71BA9E75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Composite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SCC-related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outcome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score</w:t>
            </w:r>
          </w:p>
        </w:tc>
        <w:tc>
          <w:tcPr>
            <w:tcW w:w="1513" w:type="dxa"/>
            <w:vAlign w:val="center"/>
          </w:tcPr>
          <w:p w14:paraId="1F5DD994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MBBS</w:t>
            </w:r>
          </w:p>
        </w:tc>
        <w:tc>
          <w:tcPr>
            <w:tcW w:w="1545" w:type="dxa"/>
            <w:vAlign w:val="center"/>
          </w:tcPr>
          <w:p w14:paraId="6E70CBF8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177</w:t>
            </w:r>
          </w:p>
        </w:tc>
        <w:tc>
          <w:tcPr>
            <w:tcW w:w="1764" w:type="dxa"/>
            <w:vAlign w:val="center"/>
          </w:tcPr>
          <w:p w14:paraId="784DD4B0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0.06 (0.73)</w:t>
            </w:r>
          </w:p>
        </w:tc>
        <w:tc>
          <w:tcPr>
            <w:tcW w:w="1378" w:type="dxa"/>
            <w:vAlign w:val="center"/>
          </w:tcPr>
          <w:p w14:paraId="5CE55DD8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0.37 (0.81)</w:t>
            </w:r>
          </w:p>
        </w:tc>
        <w:tc>
          <w:tcPr>
            <w:tcW w:w="941" w:type="dxa"/>
            <w:vAlign w:val="center"/>
          </w:tcPr>
          <w:p w14:paraId="664E15B0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0.30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(0.22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to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0.38)</w:t>
            </w:r>
          </w:p>
        </w:tc>
        <w:tc>
          <w:tcPr>
            <w:tcW w:w="797" w:type="dxa"/>
            <w:vAlign w:val="center"/>
          </w:tcPr>
          <w:p w14:paraId="5CA2E231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&lt;0.001</w:t>
            </w:r>
          </w:p>
        </w:tc>
      </w:tr>
      <w:tr w:rsidR="00545B5F" w:rsidRPr="00CC5C45" w14:paraId="4456630F" w14:textId="77777777" w:rsidTr="00656BA7">
        <w:trPr>
          <w:trHeight w:val="512"/>
          <w:jc w:val="center"/>
        </w:trPr>
        <w:tc>
          <w:tcPr>
            <w:tcW w:w="1422" w:type="dxa"/>
            <w:vAlign w:val="center"/>
          </w:tcPr>
          <w:p w14:paraId="0FEB314D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Composite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SCC-related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lastRenderedPageBreak/>
              <w:t>outcome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score</w:t>
            </w:r>
          </w:p>
        </w:tc>
        <w:tc>
          <w:tcPr>
            <w:tcW w:w="1513" w:type="dxa"/>
            <w:vAlign w:val="center"/>
          </w:tcPr>
          <w:p w14:paraId="4CCEFD8F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lastRenderedPageBreak/>
              <w:t>BPharm</w:t>
            </w:r>
          </w:p>
        </w:tc>
        <w:tc>
          <w:tcPr>
            <w:tcW w:w="1545" w:type="dxa"/>
            <w:vAlign w:val="center"/>
          </w:tcPr>
          <w:p w14:paraId="3BE245B2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1764" w:type="dxa"/>
            <w:vAlign w:val="center"/>
          </w:tcPr>
          <w:p w14:paraId="729882F8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Fonts w:eastAsiaTheme="minorEastAsia"/>
                <w:sz w:val="28"/>
                <w:szCs w:val="28"/>
              </w:rPr>
              <w:t>−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0.25 (0.67)</w:t>
            </w:r>
          </w:p>
        </w:tc>
        <w:tc>
          <w:tcPr>
            <w:tcW w:w="1378" w:type="dxa"/>
            <w:vAlign w:val="center"/>
          </w:tcPr>
          <w:p w14:paraId="5FE564F8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Fonts w:eastAsiaTheme="minorEastAsia"/>
                <w:sz w:val="28"/>
                <w:szCs w:val="28"/>
              </w:rPr>
              <w:t>−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0.10 (0.85)</w:t>
            </w:r>
          </w:p>
        </w:tc>
        <w:tc>
          <w:tcPr>
            <w:tcW w:w="941" w:type="dxa"/>
            <w:vAlign w:val="center"/>
          </w:tcPr>
          <w:p w14:paraId="7E5F681D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0.15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(−0.06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lastRenderedPageBreak/>
              <w:t>to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0.36)</w:t>
            </w:r>
          </w:p>
        </w:tc>
        <w:tc>
          <w:tcPr>
            <w:tcW w:w="797" w:type="dxa"/>
            <w:vAlign w:val="center"/>
          </w:tcPr>
          <w:p w14:paraId="2D2A2190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lastRenderedPageBreak/>
              <w:t>0.159</w:t>
            </w:r>
          </w:p>
        </w:tc>
      </w:tr>
    </w:tbl>
    <w:p w14:paraId="412316CF" w14:textId="77777777" w:rsidR="00545B5F" w:rsidRPr="00CC5C45" w:rsidRDefault="00545B5F" w:rsidP="00545B5F">
      <w:pPr>
        <w:spacing w:after="120" w:line="480" w:lineRule="auto"/>
        <w:rPr>
          <w:color w:val="000000" w:themeColor="text1"/>
          <w:sz w:val="28"/>
          <w:szCs w:val="28"/>
        </w:rPr>
      </w:pPr>
    </w:p>
    <w:p w14:paraId="7A2ECD4D" w14:textId="77777777" w:rsidR="00545B5F" w:rsidRPr="00CC5C45" w:rsidRDefault="00545B5F" w:rsidP="00545B5F">
      <w:pPr>
        <w:spacing w:after="120" w:line="480" w:lineRule="auto"/>
        <w:rPr>
          <w:b/>
          <w:bCs/>
          <w:color w:val="000000" w:themeColor="text1"/>
          <w:sz w:val="28"/>
          <w:szCs w:val="28"/>
        </w:rPr>
      </w:pPr>
      <w:r w:rsidRPr="00CC5C45">
        <w:rPr>
          <w:b/>
          <w:bCs/>
          <w:color w:val="000000" w:themeColor="text1"/>
          <w:sz w:val="28"/>
          <w:szCs w:val="28"/>
        </w:rPr>
        <w:t xml:space="preserve">Panel C. Between-discipline comparisons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44"/>
        <w:gridCol w:w="1856"/>
        <w:gridCol w:w="1895"/>
        <w:gridCol w:w="2163"/>
        <w:gridCol w:w="1690"/>
      </w:tblGrid>
      <w:tr w:rsidR="00545B5F" w:rsidRPr="00CC5C45" w14:paraId="08776DFE" w14:textId="77777777" w:rsidTr="00656BA7">
        <w:trPr>
          <w:trHeight w:val="335"/>
          <w:tblHeader/>
          <w:jc w:val="center"/>
        </w:trPr>
        <w:tc>
          <w:tcPr>
            <w:tcW w:w="1744" w:type="dxa"/>
            <w:shd w:val="clear" w:color="auto" w:fill="D9EAF7"/>
            <w:vAlign w:val="center"/>
          </w:tcPr>
          <w:p w14:paraId="7086F576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t>Analysis</w:t>
            </w:r>
          </w:p>
        </w:tc>
        <w:tc>
          <w:tcPr>
            <w:tcW w:w="1856" w:type="dxa"/>
            <w:shd w:val="clear" w:color="auto" w:fill="D9EAF7"/>
            <w:vAlign w:val="center"/>
          </w:tcPr>
          <w:p w14:paraId="04839EB1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t>Outcome</w:t>
            </w:r>
          </w:p>
        </w:tc>
        <w:tc>
          <w:tcPr>
            <w:tcW w:w="1895" w:type="dxa"/>
            <w:shd w:val="clear" w:color="auto" w:fill="D9EAF7"/>
            <w:vAlign w:val="center"/>
          </w:tcPr>
          <w:p w14:paraId="486B924A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t>Estimate</w:t>
            </w:r>
            <w:r w:rsidRPr="00CC5C45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t>for</w:t>
            </w:r>
            <w:r w:rsidRPr="00CC5C45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t>BPharm</w:t>
            </w:r>
            <w:r w:rsidRPr="00CC5C45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t>relative</w:t>
            </w:r>
            <w:r w:rsidRPr="00CC5C45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t>to</w:t>
            </w:r>
            <w:r w:rsidRPr="00CC5C45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t>MBBS</w:t>
            </w:r>
            <w:r w:rsidRPr="00CC5C45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t>(95%</w:t>
            </w:r>
            <w:r w:rsidRPr="00CC5C45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t>CI)</w:t>
            </w:r>
          </w:p>
        </w:tc>
        <w:tc>
          <w:tcPr>
            <w:tcW w:w="2163" w:type="dxa"/>
            <w:shd w:val="clear" w:color="auto" w:fill="D9EAF7"/>
            <w:vAlign w:val="center"/>
          </w:tcPr>
          <w:p w14:paraId="61D7FE3E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b/>
                <w:bCs/>
                <w:i/>
                <w:iCs/>
                <w:color w:val="000000" w:themeColor="text1"/>
                <w:sz w:val="28"/>
                <w:szCs w:val="28"/>
              </w:rPr>
              <w:t>p</w:t>
            </w:r>
            <w:r w:rsidRPr="00CC5C45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t>value</w:t>
            </w:r>
          </w:p>
        </w:tc>
        <w:tc>
          <w:tcPr>
            <w:tcW w:w="1690" w:type="dxa"/>
            <w:shd w:val="clear" w:color="auto" w:fill="D9EAF7"/>
            <w:vAlign w:val="center"/>
          </w:tcPr>
          <w:p w14:paraId="364176CD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t>Adjusted</w:t>
            </w:r>
            <w:r w:rsidRPr="00CC5C45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b/>
                <w:bCs/>
                <w:i/>
                <w:iCs/>
                <w:color w:val="000000" w:themeColor="text1"/>
                <w:sz w:val="28"/>
                <w:szCs w:val="28"/>
              </w:rPr>
              <w:t>p</w:t>
            </w:r>
            <w:r w:rsidRPr="00CC5C45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b/>
                <w:bCs/>
                <w:color w:val="000000" w:themeColor="text1"/>
                <w:sz w:val="28"/>
                <w:szCs w:val="28"/>
              </w:rPr>
              <w:t>value</w:t>
            </w:r>
          </w:p>
        </w:tc>
      </w:tr>
      <w:tr w:rsidR="00545B5F" w:rsidRPr="00CC5C45" w14:paraId="3CCABB58" w14:textId="77777777" w:rsidTr="00656BA7">
        <w:trPr>
          <w:trHeight w:val="929"/>
          <w:jc w:val="center"/>
        </w:trPr>
        <w:tc>
          <w:tcPr>
            <w:tcW w:w="1744" w:type="dxa"/>
            <w:vAlign w:val="center"/>
          </w:tcPr>
          <w:p w14:paraId="68C362BE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Difference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in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mean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change</w:t>
            </w:r>
          </w:p>
        </w:tc>
        <w:tc>
          <w:tcPr>
            <w:tcW w:w="1856" w:type="dxa"/>
            <w:vAlign w:val="center"/>
          </w:tcPr>
          <w:p w14:paraId="2AAFF914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ICCAS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total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score</w:t>
            </w:r>
          </w:p>
        </w:tc>
        <w:tc>
          <w:tcPr>
            <w:tcW w:w="1895" w:type="dxa"/>
            <w:vAlign w:val="center"/>
          </w:tcPr>
          <w:p w14:paraId="3BF336E1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−4.03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(−9.35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to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1.30)</w:t>
            </w:r>
          </w:p>
        </w:tc>
        <w:tc>
          <w:tcPr>
            <w:tcW w:w="2163" w:type="dxa"/>
            <w:vAlign w:val="center"/>
          </w:tcPr>
          <w:p w14:paraId="7C8D1B91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0.134</w:t>
            </w:r>
          </w:p>
        </w:tc>
        <w:tc>
          <w:tcPr>
            <w:tcW w:w="1690" w:type="dxa"/>
            <w:vAlign w:val="center"/>
          </w:tcPr>
          <w:p w14:paraId="4C6794F8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0.180</w:t>
            </w:r>
          </w:p>
        </w:tc>
      </w:tr>
      <w:tr w:rsidR="00545B5F" w:rsidRPr="00CC5C45" w14:paraId="6B9FA4A2" w14:textId="77777777" w:rsidTr="00656BA7">
        <w:trPr>
          <w:trHeight w:val="294"/>
          <w:jc w:val="center"/>
        </w:trPr>
        <w:tc>
          <w:tcPr>
            <w:tcW w:w="1744" w:type="dxa"/>
            <w:vAlign w:val="center"/>
          </w:tcPr>
          <w:p w14:paraId="48820339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Difference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in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mean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change</w:t>
            </w:r>
          </w:p>
        </w:tc>
        <w:tc>
          <w:tcPr>
            <w:tcW w:w="1856" w:type="dxa"/>
            <w:vAlign w:val="center"/>
          </w:tcPr>
          <w:p w14:paraId="3EC27CE5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Composite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SCC-related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outcome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score</w:t>
            </w:r>
          </w:p>
        </w:tc>
        <w:tc>
          <w:tcPr>
            <w:tcW w:w="1895" w:type="dxa"/>
            <w:vAlign w:val="center"/>
          </w:tcPr>
          <w:p w14:paraId="463E3934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−0.15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(−0.38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to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0.07)</w:t>
            </w:r>
          </w:p>
        </w:tc>
        <w:tc>
          <w:tcPr>
            <w:tcW w:w="2163" w:type="dxa"/>
            <w:vAlign w:val="center"/>
          </w:tcPr>
          <w:p w14:paraId="5C255BD4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0.180</w:t>
            </w:r>
          </w:p>
        </w:tc>
        <w:tc>
          <w:tcPr>
            <w:tcW w:w="1690" w:type="dxa"/>
            <w:vAlign w:val="center"/>
          </w:tcPr>
          <w:p w14:paraId="2040A8FD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0.180</w:t>
            </w:r>
          </w:p>
        </w:tc>
      </w:tr>
      <w:tr w:rsidR="00545B5F" w:rsidRPr="00CC5C45" w14:paraId="666CFD3D" w14:textId="77777777" w:rsidTr="00656BA7">
        <w:trPr>
          <w:trHeight w:val="591"/>
          <w:jc w:val="center"/>
        </w:trPr>
        <w:tc>
          <w:tcPr>
            <w:tcW w:w="1744" w:type="dxa"/>
            <w:vAlign w:val="center"/>
          </w:tcPr>
          <w:p w14:paraId="667BD9EE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lastRenderedPageBreak/>
              <w:t>Baseline-adjusted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post-tutorial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comparison</w:t>
            </w:r>
          </w:p>
        </w:tc>
        <w:tc>
          <w:tcPr>
            <w:tcW w:w="1856" w:type="dxa"/>
            <w:vAlign w:val="center"/>
          </w:tcPr>
          <w:p w14:paraId="38645BB3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ICCAS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total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score</w:t>
            </w:r>
          </w:p>
        </w:tc>
        <w:tc>
          <w:tcPr>
            <w:tcW w:w="1895" w:type="dxa"/>
            <w:vAlign w:val="center"/>
          </w:tcPr>
          <w:p w14:paraId="7D1EAC81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−6.65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(−10.55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to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−2.74)</w:t>
            </w:r>
          </w:p>
        </w:tc>
        <w:tc>
          <w:tcPr>
            <w:tcW w:w="2163" w:type="dxa"/>
            <w:vAlign w:val="center"/>
          </w:tcPr>
          <w:p w14:paraId="1CCCBFD6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&lt;0.001</w:t>
            </w:r>
          </w:p>
        </w:tc>
        <w:tc>
          <w:tcPr>
            <w:tcW w:w="1690" w:type="dxa"/>
            <w:vAlign w:val="center"/>
          </w:tcPr>
          <w:p w14:paraId="75E828AA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0.002</w:t>
            </w:r>
          </w:p>
        </w:tc>
      </w:tr>
      <w:tr w:rsidR="00545B5F" w:rsidRPr="00CC5C45" w14:paraId="075B6FF3" w14:textId="77777777" w:rsidTr="00656BA7">
        <w:trPr>
          <w:trHeight w:val="591"/>
          <w:jc w:val="center"/>
        </w:trPr>
        <w:tc>
          <w:tcPr>
            <w:tcW w:w="1744" w:type="dxa"/>
            <w:vAlign w:val="center"/>
          </w:tcPr>
          <w:p w14:paraId="7E3BF42F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Baseline-adjusted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post-tutorial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comparison</w:t>
            </w:r>
          </w:p>
        </w:tc>
        <w:tc>
          <w:tcPr>
            <w:tcW w:w="1856" w:type="dxa"/>
            <w:vAlign w:val="center"/>
          </w:tcPr>
          <w:p w14:paraId="5D13A5E9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Composite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SCC-related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outcome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score</w:t>
            </w:r>
          </w:p>
        </w:tc>
        <w:tc>
          <w:tcPr>
            <w:tcW w:w="1895" w:type="dxa"/>
            <w:vAlign w:val="center"/>
          </w:tcPr>
          <w:p w14:paraId="55D0B8C8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−0.20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(−0.41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to</w:t>
            </w:r>
            <w:r w:rsidRPr="00CC5C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0.00)</w:t>
            </w:r>
          </w:p>
        </w:tc>
        <w:tc>
          <w:tcPr>
            <w:tcW w:w="2163" w:type="dxa"/>
            <w:vAlign w:val="center"/>
          </w:tcPr>
          <w:p w14:paraId="434DA207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1cs5bdp"/>
                <w:rFonts w:eastAsiaTheme="majorEastAsia"/>
                <w:color w:val="000000" w:themeColor="text1"/>
                <w:sz w:val="28"/>
                <w:szCs w:val="28"/>
              </w:rPr>
              <w:t>0.053</w:t>
            </w:r>
          </w:p>
        </w:tc>
        <w:tc>
          <w:tcPr>
            <w:tcW w:w="1690" w:type="dxa"/>
            <w:vAlign w:val="center"/>
          </w:tcPr>
          <w:p w14:paraId="144DCA6D" w14:textId="77777777" w:rsidR="00545B5F" w:rsidRPr="00CC5C45" w:rsidRDefault="00545B5F" w:rsidP="00656BA7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CC5C45">
              <w:rPr>
                <w:rStyle w:val="xxxjie0"/>
                <w:rFonts w:eastAsiaTheme="majorEastAsia"/>
                <w:color w:val="000000" w:themeColor="text1"/>
                <w:sz w:val="28"/>
                <w:szCs w:val="28"/>
              </w:rPr>
              <w:t>0.053</w:t>
            </w:r>
          </w:p>
        </w:tc>
      </w:tr>
    </w:tbl>
    <w:p w14:paraId="59E2612B" w14:textId="77777777" w:rsidR="00545B5F" w:rsidRPr="00CC5C45" w:rsidRDefault="00545B5F" w:rsidP="00545B5F">
      <w:pPr>
        <w:spacing w:after="120" w:line="480" w:lineRule="auto"/>
        <w:rPr>
          <w:color w:val="000000" w:themeColor="text1"/>
          <w:sz w:val="28"/>
          <w:szCs w:val="28"/>
        </w:rPr>
      </w:pPr>
    </w:p>
    <w:p w14:paraId="5CB688AF" w14:textId="77777777" w:rsidR="00545B5F" w:rsidRDefault="00545B5F" w:rsidP="00545B5F">
      <w:pPr>
        <w:autoSpaceDE w:val="0"/>
        <w:autoSpaceDN w:val="0"/>
        <w:adjustRightInd w:val="0"/>
        <w:spacing w:line="480" w:lineRule="auto"/>
        <w:rPr>
          <w:rFonts w:ascii="AppleSystemUIFont" w:eastAsiaTheme="minorEastAsia" w:hAnsi="AppleSystemUIFont" w:cs="AppleSystemUIFont"/>
          <w:sz w:val="26"/>
          <w:szCs w:val="26"/>
        </w:rPr>
      </w:pPr>
      <w:r w:rsidRPr="00CC5C45">
        <w:rPr>
          <w:color w:val="000000" w:themeColor="text1"/>
          <w:sz w:val="28"/>
          <w:szCs w:val="28"/>
        </w:rPr>
        <w:t>Note:</w:t>
      </w:r>
      <w:r>
        <w:rPr>
          <w:color w:val="000000" w:themeColor="text1"/>
          <w:sz w:val="28"/>
          <w:szCs w:val="28"/>
        </w:rPr>
        <w:t xml:space="preserve"> </w:t>
      </w:r>
      <w:r w:rsidRPr="00177563">
        <w:rPr>
          <w:rFonts w:eastAsiaTheme="minorEastAsia"/>
          <w:sz w:val="26"/>
          <w:szCs w:val="26"/>
        </w:rPr>
        <w:t xml:space="preserve">Benjamini–Hochberg-adjusted </w:t>
      </w:r>
      <w:r w:rsidRPr="00177563">
        <w:rPr>
          <w:rFonts w:eastAsiaTheme="minorEastAsia"/>
          <w:i/>
          <w:iCs/>
          <w:sz w:val="26"/>
          <w:szCs w:val="26"/>
        </w:rPr>
        <w:t>p</w:t>
      </w:r>
      <w:r w:rsidRPr="00177563">
        <w:rPr>
          <w:rFonts w:eastAsiaTheme="minorEastAsia"/>
          <w:sz w:val="26"/>
          <w:szCs w:val="26"/>
        </w:rPr>
        <w:t xml:space="preserve"> values were calculated separately for the two change-score comparisons and the two baseline-adjusted post-tutorial comparisons.</w:t>
      </w:r>
    </w:p>
    <w:p w14:paraId="61A68826" w14:textId="77777777" w:rsidR="00545B5F" w:rsidRPr="00CC5C45" w:rsidRDefault="00545B5F" w:rsidP="00545B5F">
      <w:pPr>
        <w:spacing w:after="120" w:line="480" w:lineRule="auto"/>
        <w:rPr>
          <w:color w:val="000000" w:themeColor="text1"/>
          <w:sz w:val="28"/>
          <w:szCs w:val="28"/>
        </w:rPr>
      </w:pP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Negative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estimates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indicate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lower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scores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or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smaller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improvements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among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BPharm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students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relative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to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MBBS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students.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Within-discipline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changes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were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xxxjie0"/>
          <w:rFonts w:eastAsiaTheme="majorEastAsia"/>
          <w:color w:val="000000" w:themeColor="text1"/>
          <w:sz w:val="28"/>
          <w:szCs w:val="28"/>
        </w:rPr>
        <w:t>assessed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xxxjie0"/>
          <w:rFonts w:eastAsiaTheme="majorEastAsia"/>
          <w:color w:val="000000" w:themeColor="text1"/>
          <w:sz w:val="28"/>
          <w:szCs w:val="28"/>
        </w:rPr>
        <w:t>using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xxxjie0"/>
          <w:rFonts w:eastAsiaTheme="majorEastAsia"/>
          <w:color w:val="000000" w:themeColor="text1"/>
          <w:sz w:val="28"/>
          <w:szCs w:val="28"/>
        </w:rPr>
        <w:t>paired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xxxjie0"/>
          <w:rFonts w:eastAsiaTheme="majorEastAsia"/>
          <w:i/>
          <w:iCs/>
          <w:color w:val="000000" w:themeColor="text1"/>
          <w:sz w:val="28"/>
          <w:szCs w:val="28"/>
        </w:rPr>
        <w:t>t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-tests.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Between-discipline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differences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in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change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scores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were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assessed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using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xxxjie0"/>
          <w:rFonts w:eastAsiaTheme="majorEastAsia"/>
          <w:color w:val="000000" w:themeColor="text1"/>
          <w:sz w:val="28"/>
          <w:szCs w:val="28"/>
        </w:rPr>
        <w:t>Welch’s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xxxjie0"/>
          <w:rFonts w:eastAsiaTheme="majorEastAsia"/>
          <w:color w:val="000000" w:themeColor="text1"/>
          <w:sz w:val="28"/>
          <w:szCs w:val="28"/>
        </w:rPr>
        <w:t>independent-samples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xxxjie0"/>
          <w:rFonts w:eastAsiaTheme="majorEastAsia"/>
          <w:i/>
          <w:iCs/>
          <w:color w:val="000000" w:themeColor="text1"/>
          <w:sz w:val="28"/>
          <w:szCs w:val="28"/>
        </w:rPr>
        <w:t>t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-tests.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Post-tutorial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outcomes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were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compared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using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lastRenderedPageBreak/>
        <w:t>ANCOVA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adjusted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for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the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corresponding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baseline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score.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The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discipline-by-baseline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interactions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were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not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statistically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significant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xxxjie0"/>
          <w:rFonts w:eastAsiaTheme="majorEastAsia"/>
          <w:color w:val="000000" w:themeColor="text1"/>
          <w:sz w:val="28"/>
          <w:szCs w:val="28"/>
        </w:rPr>
        <w:t>for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xxxjie0"/>
          <w:rFonts w:eastAsiaTheme="majorEastAsia"/>
          <w:color w:val="000000" w:themeColor="text1"/>
          <w:sz w:val="28"/>
          <w:szCs w:val="28"/>
        </w:rPr>
        <w:t>ICCAS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xxxjie0"/>
          <w:rFonts w:eastAsiaTheme="majorEastAsia"/>
          <w:color w:val="000000" w:themeColor="text1"/>
          <w:sz w:val="28"/>
          <w:szCs w:val="28"/>
        </w:rPr>
        <w:t>(</w:t>
      </w:r>
      <w:r w:rsidRPr="00CC5C45">
        <w:rPr>
          <w:rStyle w:val="xxxjie0"/>
          <w:rFonts w:eastAsiaTheme="majorEastAsia"/>
          <w:i/>
          <w:iCs/>
          <w:color w:val="000000" w:themeColor="text1"/>
          <w:sz w:val="28"/>
          <w:szCs w:val="28"/>
        </w:rPr>
        <w:t xml:space="preserve">p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= 0.213)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or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the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composite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xxxjie0"/>
          <w:rFonts w:eastAsiaTheme="majorEastAsia"/>
          <w:color w:val="000000" w:themeColor="text1"/>
          <w:sz w:val="28"/>
          <w:szCs w:val="28"/>
        </w:rPr>
        <w:t>SCC-related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xxxjie0"/>
          <w:rFonts w:eastAsiaTheme="majorEastAsia"/>
          <w:color w:val="000000" w:themeColor="text1"/>
          <w:sz w:val="28"/>
          <w:szCs w:val="28"/>
        </w:rPr>
        <w:t>outcome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xxxjie0"/>
          <w:rFonts w:eastAsiaTheme="majorEastAsia"/>
          <w:color w:val="000000" w:themeColor="text1"/>
          <w:sz w:val="28"/>
          <w:szCs w:val="28"/>
        </w:rPr>
        <w:t>score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xxxjie0"/>
          <w:rFonts w:eastAsiaTheme="majorEastAsia"/>
          <w:color w:val="000000" w:themeColor="text1"/>
          <w:sz w:val="28"/>
          <w:szCs w:val="28"/>
        </w:rPr>
        <w:t>(</w:t>
      </w:r>
      <w:r w:rsidRPr="00CC5C45">
        <w:rPr>
          <w:rStyle w:val="xxxjie0"/>
          <w:rFonts w:eastAsiaTheme="majorEastAsia"/>
          <w:i/>
          <w:iCs/>
          <w:color w:val="000000" w:themeColor="text1"/>
          <w:sz w:val="28"/>
          <w:szCs w:val="28"/>
        </w:rPr>
        <w:t xml:space="preserve">p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= 0.621),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providing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no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evidence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that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the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homogeneity-of-regression-slopes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assumption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was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violated.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Adjusted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xxxjie0"/>
          <w:rFonts w:eastAsiaTheme="majorEastAsia"/>
          <w:i/>
          <w:iCs/>
          <w:color w:val="000000" w:themeColor="text1"/>
          <w:sz w:val="28"/>
          <w:szCs w:val="28"/>
        </w:rPr>
        <w:t>p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values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were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calculated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using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the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Benjamini–Hochberg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procedure.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BPharm,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Bachelor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of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Pharmacy;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CI,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confidence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interval;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ICCAS,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Interprofessional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Collaborative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Competency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Attainment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Survey;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IPE,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interprofessional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education;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MBBS,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Bachelor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of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1cs5bdp"/>
          <w:rFonts w:eastAsiaTheme="majorEastAsia"/>
          <w:color w:val="000000" w:themeColor="text1"/>
          <w:sz w:val="28"/>
          <w:szCs w:val="28"/>
        </w:rPr>
        <w:t>Medicine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xxxjie0"/>
          <w:rFonts w:eastAsiaTheme="majorEastAsia"/>
          <w:color w:val="000000" w:themeColor="text1"/>
          <w:sz w:val="28"/>
          <w:szCs w:val="28"/>
        </w:rPr>
        <w:t>and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xxxjie0"/>
          <w:rFonts w:eastAsiaTheme="majorEastAsia"/>
          <w:color w:val="000000" w:themeColor="text1"/>
          <w:sz w:val="28"/>
          <w:szCs w:val="28"/>
        </w:rPr>
        <w:t>Bachelor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xxxjie0"/>
          <w:rFonts w:eastAsiaTheme="majorEastAsia"/>
          <w:color w:val="000000" w:themeColor="text1"/>
          <w:sz w:val="28"/>
          <w:szCs w:val="28"/>
        </w:rPr>
        <w:t>of</w:t>
      </w:r>
      <w:r w:rsidRPr="00CC5C45">
        <w:rPr>
          <w:color w:val="000000" w:themeColor="text1"/>
          <w:sz w:val="28"/>
          <w:szCs w:val="28"/>
        </w:rPr>
        <w:t xml:space="preserve"> </w:t>
      </w:r>
      <w:r w:rsidRPr="00CC5C45">
        <w:rPr>
          <w:rStyle w:val="xxxjie0"/>
          <w:rFonts w:eastAsiaTheme="majorEastAsia"/>
          <w:color w:val="000000" w:themeColor="text1"/>
          <w:sz w:val="28"/>
          <w:szCs w:val="28"/>
        </w:rPr>
        <w:t>Surgery.</w:t>
      </w:r>
    </w:p>
    <w:p w14:paraId="135EE7D0" w14:textId="77777777" w:rsidR="008B07A6" w:rsidRDefault="008B07A6"/>
    <w:sectPr w:rsidR="008B07A6" w:rsidSect="00545B5F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"/>
    </w:sdtPr>
    <w:sdtContent>
      <w:p w14:paraId="67127C3B" w14:textId="77777777" w:rsidR="00545B5F" w:rsidRDefault="00545B5F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B34CFDB" w14:textId="77777777" w:rsidR="00545B5F" w:rsidRDefault="00545B5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756249479"/>
    </w:sdtPr>
    <w:sdtContent>
      <w:p w14:paraId="3B6A6BB8" w14:textId="77777777" w:rsidR="00545B5F" w:rsidRDefault="00545B5F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7CB35040" w14:textId="77777777" w:rsidR="00545B5F" w:rsidRDefault="00545B5F">
    <w:pPr>
      <w:pStyle w:val="Footer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20D32" w14:textId="77777777" w:rsidR="00545B5F" w:rsidRDefault="00545B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3B724" w14:textId="77777777" w:rsidR="00545B5F" w:rsidRDefault="00545B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367AE" w14:textId="77777777" w:rsidR="00545B5F" w:rsidRDefault="00545B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B5F"/>
    <w:rsid w:val="00066677"/>
    <w:rsid w:val="00153A17"/>
    <w:rsid w:val="001A37F3"/>
    <w:rsid w:val="003A4E89"/>
    <w:rsid w:val="00545B5F"/>
    <w:rsid w:val="00556784"/>
    <w:rsid w:val="008B07A6"/>
    <w:rsid w:val="0097029A"/>
    <w:rsid w:val="00987B63"/>
    <w:rsid w:val="00990454"/>
    <w:rsid w:val="009D222F"/>
    <w:rsid w:val="00A234E6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C666B"/>
  <w15:chartTrackingRefBased/>
  <w15:docId w15:val="{514A1D56-0E74-4429-BFC9-E8C51F95A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B5F"/>
    <w:pPr>
      <w:spacing w:after="0" w:line="240" w:lineRule="auto"/>
    </w:pPr>
    <w:rPr>
      <w:rFonts w:ascii="Times New Roman" w:eastAsia="Times New Roman" w:hAnsi="Times New Roman" w:cs="Times New Roman"/>
      <w:kern w:val="0"/>
      <w:lang w:eastAsia="zh-TW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5B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5B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5B5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5B5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B5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B5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5B5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5B5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5B5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5B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5B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5B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B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B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B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5B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5B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5B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5B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45B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5B5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45B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5B5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45B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5B5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45B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B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B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5B5F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545B5F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545B5F"/>
    <w:rPr>
      <w:rFonts w:eastAsiaTheme="minorEastAsia"/>
      <w:lang w:eastAsia="zh-TW"/>
    </w:rPr>
  </w:style>
  <w:style w:type="paragraph" w:styleId="Header">
    <w:name w:val="header"/>
    <w:basedOn w:val="Normal"/>
    <w:link w:val="HeaderChar"/>
    <w:uiPriority w:val="99"/>
    <w:unhideWhenUsed/>
    <w:rsid w:val="00545B5F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545B5F"/>
    <w:rPr>
      <w:rFonts w:eastAsiaTheme="minorEastAsia"/>
      <w:lang w:eastAsia="zh-TW"/>
    </w:rPr>
  </w:style>
  <w:style w:type="table" w:styleId="TableGrid">
    <w:name w:val="Table Grid"/>
    <w:basedOn w:val="TableNormal"/>
    <w:uiPriority w:val="59"/>
    <w:rsid w:val="00545B5F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zh-TW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545B5F"/>
  </w:style>
  <w:style w:type="character" w:customStyle="1" w:styleId="1cs5bdp">
    <w:name w:val="___1cs5bdp"/>
    <w:basedOn w:val="DefaultParagraphFont"/>
    <w:rsid w:val="00545B5F"/>
  </w:style>
  <w:style w:type="character" w:customStyle="1" w:styleId="xxxjie0">
    <w:name w:val="___xxxjie0"/>
    <w:basedOn w:val="DefaultParagraphFont"/>
    <w:rsid w:val="00545B5F"/>
  </w:style>
  <w:style w:type="paragraph" w:customStyle="1" w:styleId="paragraph">
    <w:name w:val="paragraph"/>
    <w:basedOn w:val="Normal"/>
    <w:rsid w:val="00545B5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45B5F"/>
  </w:style>
  <w:style w:type="character" w:customStyle="1" w:styleId="eop">
    <w:name w:val="eop"/>
    <w:basedOn w:val="DefaultParagraphFont"/>
    <w:rsid w:val="00545B5F"/>
  </w:style>
  <w:style w:type="character" w:styleId="LineNumber">
    <w:name w:val="line number"/>
    <w:basedOn w:val="DefaultParagraphFont"/>
    <w:uiPriority w:val="99"/>
    <w:semiHidden/>
    <w:unhideWhenUsed/>
    <w:rsid w:val="00545B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10" Type="http://schemas.openxmlformats.org/officeDocument/2006/relationships/theme" Target="theme/theme1.xml"/><Relationship Id="rId4" Type="http://schemas.openxmlformats.org/officeDocument/2006/relationships/header" Target="header1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486</Words>
  <Characters>2772</Characters>
  <Application>Microsoft Office Word</Application>
  <DocSecurity>0</DocSecurity>
  <Lines>23</Lines>
  <Paragraphs>6</Paragraphs>
  <ScaleCrop>false</ScaleCrop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2026-10-30T11:05:00Z</dcterms:created>
  <dcterms:modified xsi:type="dcterms:W3CDTF">2026-10-30T11:05:00Z</dcterms:modified>
</cp:coreProperties>
</file>