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Methodology</w:t>
      </w:r>
      <w:r>
        <w:t xml:space="preserve"> </w:t>
      </w:r>
      <w:r>
        <w:t xml:space="preserve">and</w:t>
      </w:r>
      <w:r>
        <w:t xml:space="preserve"> </w:t>
      </w:r>
      <w:r>
        <w:t xml:space="preserve">Search</w:t>
      </w:r>
      <w:r>
        <w:t xml:space="preserve"> </w:t>
      </w:r>
      <w:r>
        <w:t xml:space="preserve">Appendix</w:t>
      </w:r>
      <w:r>
        <w:t xml:space="preserve"> </w:t>
      </w:r>
      <w:r>
        <w:t xml:space="preserve">(Online</w:t>
      </w:r>
      <w:r>
        <w:t xml:space="preserve"> </w:t>
      </w:r>
      <w:r>
        <w:t xml:space="preserve">Appendix</w:t>
      </w:r>
      <w:r>
        <w:t xml:space="preserve"> </w:t>
      </w:r>
      <w:r>
        <w:t xml:space="preserve">A)</w:t>
      </w:r>
    </w:p>
    <w:p>
      <w:pPr>
        <w:pStyle w:val="Subtitle"/>
      </w:pPr>
      <w:r>
        <w:t xml:space="preserve">Measuring</w:t>
      </w:r>
      <w:r>
        <w:t xml:space="preserve"> </w:t>
      </w:r>
      <w:r>
        <w:t xml:space="preserve">brands</w:t>
      </w:r>
      <w:r>
        <w:t xml:space="preserve"> </w:t>
      </w:r>
      <w:r>
        <w:t xml:space="preserve">in</w:t>
      </w:r>
      <w:r>
        <w:t xml:space="preserve"> </w:t>
      </w:r>
      <w:r>
        <w:t xml:space="preserve">machine</w:t>
      </w:r>
      <w:r>
        <w:t xml:space="preserve"> </w:t>
      </w:r>
      <w:r>
        <w:t xml:space="preserve">answers:</w:t>
      </w:r>
      <w:r>
        <w:t xml:space="preserve"> </w:t>
      </w:r>
      <w:r>
        <w:t xml:space="preserve">A</w:t>
      </w:r>
      <w:r>
        <w:t xml:space="preserve"> </w:t>
      </w:r>
      <w:r>
        <w:t xml:space="preserve">scoping</w:t>
      </w:r>
      <w:r>
        <w:t xml:space="preserve"> </w:t>
      </w:r>
      <w:r>
        <w:t xml:space="preserve">review</w:t>
      </w:r>
      <w:r>
        <w:t xml:space="preserve"> </w:t>
      </w:r>
      <w:r>
        <w:t xml:space="preserve">and</w:t>
      </w:r>
      <w:r>
        <w:t xml:space="preserve"> </w:t>
      </w:r>
      <w:r>
        <w:t xml:space="preserve">validity</w:t>
      </w:r>
      <w:r>
        <w:t xml:space="preserve"> </w:t>
      </w:r>
      <w:r>
        <w:t xml:space="preserve">framework</w:t>
      </w:r>
      <w:r>
        <w:t xml:space="preserve"> </w:t>
      </w:r>
      <w:r>
        <w:t xml:space="preserve">for</w:t>
      </w:r>
      <w:r>
        <w:t xml:space="preserve"> </w:t>
      </w:r>
      <w:r>
        <w:t xml:space="preserve">large</w:t>
      </w:r>
      <w:r>
        <w:t xml:space="preserve"> </w:t>
      </w:r>
      <w:r>
        <w:t xml:space="preserve">language</w:t>
      </w:r>
      <w:r>
        <w:t xml:space="preserve"> </w:t>
      </w:r>
      <w:r>
        <w:t xml:space="preserve">model</w:t>
      </w:r>
      <w:r>
        <w:t xml:space="preserve"> </w:t>
      </w:r>
      <w:r>
        <w:t xml:space="preserve">brand-visibility</w:t>
      </w:r>
      <w:r>
        <w:t xml:space="preserve"> </w:t>
      </w:r>
      <w:r>
        <w:t xml:space="preserve">audits</w:t>
      </w:r>
    </w:p>
    <w:p>
      <w:pPr>
        <w:pStyle w:val="FirstParagraph"/>
      </w:pPr>
      <w:r>
        <w:t xml:space="preserve">This appendix documents the review protocol, searches, deviations, PRISMA-ScR reporting, and the use of generative AI. The evidence register (Online Appendix B) is supplied as a spreadsheet (GenAI_Marketing_Verified_Literature.xlsx).</w:t>
      </w:r>
    </w:p>
    <w:bookmarkStart w:id="29" w:name="X831407f5ff0b0bed027993b70073916761f9989"/>
    <w:p>
      <w:pPr>
        <w:pStyle w:val="Heading1"/>
      </w:pPr>
      <w:r>
        <w:t xml:space="preserve">1. Protocol (version 1.0, written 15 October 2026 before screening; not registered)</w:t>
      </w:r>
    </w:p>
    <w:p>
      <w:pPr>
        <w:pStyle w:val="FirstParagraph"/>
      </w:pPr>
      <w:r>
        <w:t xml:space="preserve">Design: systematic scoping review with evidence mapping and measurement-validity appraisal, reported per PRISMA-ScR (Tricco et al., 2018). Not registered (registration on OSF recommended before submission — author action).</w:t>
      </w:r>
    </w:p>
    <w:bookmarkStart w:id="20" w:name="review-questions"/>
    <w:p>
      <w:pPr>
        <w:pStyle w:val="Heading3"/>
      </w:pPr>
      <w:r>
        <w:t xml:space="preserve">Review questions</w:t>
      </w:r>
    </w:p>
    <w:p>
      <w:pPr>
        <w:numPr>
          <w:ilvl w:val="0"/>
          <w:numId w:val="1001"/>
        </w:numPr>
        <w:pStyle w:val="Compact"/>
      </w:pPr>
      <w:r>
        <w:t xml:space="preserve">RQ1. How do empirical studies operationalise a brand’s</w:t>
      </w:r>
      <w:r>
        <w:t xml:space="preserve"> </w:t>
      </w:r>
      <w:r>
        <w:t xml:space="preserve">“</w:t>
      </w:r>
      <w:r>
        <w:t xml:space="preserve">visibility</w:t>
      </w:r>
      <w:r>
        <w:t xml:space="preserve">”</w:t>
      </w:r>
      <w:r>
        <w:t xml:space="preserve"> </w:t>
      </w:r>
      <w:r>
        <w:t xml:space="preserve">in the outputs of large language models and AI answer engines?</w:t>
      </w:r>
    </w:p>
    <w:p>
      <w:pPr>
        <w:numPr>
          <w:ilvl w:val="0"/>
          <w:numId w:val="1001"/>
        </w:numPr>
        <w:pStyle w:val="Compact"/>
      </w:pPr>
      <w:r>
        <w:t xml:space="preserve">RQ2. Which design choices (sampling, prompt type, competitive-set definition, model and access mode, metric, validation benchmark, timing) vary across studies, and are divergent substantive conclusions (incumbent advantage vs. visibility-signal dependence vs. instability) associated with them?</w:t>
      </w:r>
    </w:p>
    <w:p>
      <w:pPr>
        <w:numPr>
          <w:ilvl w:val="0"/>
          <w:numId w:val="1001"/>
        </w:numPr>
        <w:pStyle w:val="Compact"/>
      </w:pPr>
      <w:r>
        <w:t xml:space="preserve">RQ3. Against marketing measurement standards, what validity threats recur, and what minimum design and reporting standards follow?</w:t>
      </w:r>
    </w:p>
    <w:bookmarkEnd w:id="20"/>
    <w:bookmarkStart w:id="21" w:name="eligibility-pcc"/>
    <w:p>
      <w:pPr>
        <w:pStyle w:val="Heading3"/>
      </w:pPr>
      <w:r>
        <w:t xml:space="preserve">Eligibility (PCC)</w:t>
      </w:r>
    </w:p>
    <w:p>
      <w:pPr>
        <w:numPr>
          <w:ilvl w:val="0"/>
          <w:numId w:val="1002"/>
        </w:numPr>
        <w:pStyle w:val="Compact"/>
      </w:pPr>
      <w:r>
        <w:t xml:space="preserve">Population/objects: general-purpose LLMs, LLM-based assistants, or AI answer engines (e.g., ChatGPT, Gemini, Claude, Perplexity, Copilot, Google AI Overviews).</w:t>
      </w:r>
    </w:p>
    <w:p>
      <w:pPr>
        <w:numPr>
          <w:ilvl w:val="0"/>
          <w:numId w:val="1002"/>
        </w:numPr>
        <w:pStyle w:val="Compact"/>
      </w:pPr>
      <w:r>
        <w:t xml:space="preserve">Concept: systematic querying of these systems with the outcome measured at the</w:t>
      </w:r>
      <w:r>
        <w:t xml:space="preserve"> </w:t>
      </w:r>
      <w:r>
        <w:rPr>
          <w:bCs/>
          <w:b/>
        </w:rPr>
        <w:t xml:space="preserve">brand / company / product-brand</w:t>
      </w:r>
      <w:r>
        <w:t xml:space="preserve"> </w:t>
      </w:r>
      <w:r>
        <w:t xml:space="preserve">level (mention, inclusion, rank, share, sentiment/attributes of named brands, or citation of brand-owned sources).</w:t>
      </w:r>
    </w:p>
    <w:p>
      <w:pPr>
        <w:numPr>
          <w:ilvl w:val="0"/>
          <w:numId w:val="1002"/>
        </w:numPr>
        <w:pStyle w:val="Compact"/>
      </w:pPr>
      <w:r>
        <w:t xml:space="preserve">Context: any product or service category, market, or language.</w:t>
      </w:r>
    </w:p>
    <w:p>
      <w:pPr>
        <w:numPr>
          <w:ilvl w:val="0"/>
          <w:numId w:val="1002"/>
        </w:numPr>
        <w:pStyle w:val="Compact"/>
      </w:pPr>
      <w:r>
        <w:t xml:space="preserve">Include: empirical studies (journal, conference, preprint, working paper, thesis) published 1 Jan 2023 – search date, English, full text openly accessible.</w:t>
      </w:r>
    </w:p>
    <w:p>
      <w:pPr>
        <w:numPr>
          <w:ilvl w:val="0"/>
          <w:numId w:val="1002"/>
        </w:numPr>
        <w:pStyle w:val="Compact"/>
      </w:pPr>
      <w:r>
        <w:t xml:space="preserve">Exclude: (a) content-level GEO studies whose outcome is document retrieval/citation with no brand-level outcome; (b) experiments on human responses to LLM recommendations (retained as context, not in the evidence map); (c) purely conceptual papers (retained for theory); (d) vendor or blog reports without a described method; (e) studies that use LLMs as research instruments (e.g., synthetic respondents, perceptual maps) rather than auditing LLM outputs as a market channel; (f) full text not accessible.</w:t>
      </w:r>
    </w:p>
    <w:bookmarkEnd w:id="21"/>
    <w:bookmarkStart w:id="22" w:name="information-sources"/>
    <w:p>
      <w:pPr>
        <w:pStyle w:val="Heading3"/>
      </w:pPr>
      <w:r>
        <w:t xml:space="preserve">Information sources</w:t>
      </w:r>
    </w:p>
    <w:p>
      <w:pPr>
        <w:pStyle w:val="FirstParagraph"/>
      </w:pPr>
      <w:r>
        <w:t xml:space="preserve">arXiv (arxiv.org search), Google Scholar (via author’s Chrome), SSRN (via Google Scholar results and SSRN pages), ACM Digital Library and IEEE Xplore records reached through Google Scholar, OpenAlex API (when not rate-limited). Backward and forward citation chasing of included studies. No Scopus/Web of Science (no access) — stated as a limitation.</w:t>
      </w:r>
    </w:p>
    <w:bookmarkEnd w:id="22"/>
    <w:bookmarkStart w:id="23" w:name="X24eee1f493c97ce4518d4d71d17b3e26818cbac"/>
    <w:p>
      <w:pPr>
        <w:pStyle w:val="Heading3"/>
      </w:pPr>
      <w:r>
        <w:t xml:space="preserve">Search strings (adapted per source; exact strings and dates logged in search_log.csv)</w:t>
      </w:r>
    </w:p>
    <w:p>
      <w:pPr>
        <w:pStyle w:val="FirstParagraph"/>
      </w:pPr>
      <w:r>
        <w:t xml:space="preserve">Core concept blocks:</w:t>
      </w:r>
      <w:r>
        <w:t xml:space="preserve"> </w:t>
      </w:r>
      <w:r>
        <w:t xml:space="preserve">- A (system):</w:t>
      </w:r>
      <w:r>
        <w:t xml:space="preserve"> </w:t>
      </w:r>
      <w:r>
        <w:t xml:space="preserve">“</w:t>
      </w:r>
      <w:r>
        <w:t xml:space="preserve">large language model</w:t>
      </w:r>
      <w:r>
        <w:rPr>
          <w:iCs/>
          <w:i/>
        </w:rPr>
        <w:t xml:space="preserve">” OR LLM</w:t>
      </w:r>
      <w:r>
        <w:t xml:space="preserve"> </w:t>
      </w:r>
      <w:r>
        <w:t xml:space="preserve">OR ChatGPT OR GPT-4* OR Gemini OR Perplexity OR</w:t>
      </w:r>
      <w:r>
        <w:t xml:space="preserve">”</w:t>
      </w:r>
      <w:r>
        <w:t xml:space="preserve">AI search” OR</w:t>
      </w:r>
      <w:r>
        <w:t xml:space="preserve"> </w:t>
      </w:r>
      <w:r>
        <w:t xml:space="preserve">“</w:t>
      </w:r>
      <w:r>
        <w:t xml:space="preserve">answer engine</w:t>
      </w:r>
      <w:r>
        <w:rPr>
          <w:iCs/>
          <w:i/>
        </w:rPr>
        <w:t xml:space="preserve">” OR ”generative engine</w:t>
      </w:r>
      <w:r>
        <w:t xml:space="preserve">”</w:t>
      </w:r>
      <w:r>
        <w:t xml:space="preserve"> </w:t>
      </w:r>
      <w:r>
        <w:t xml:space="preserve">OR</w:t>
      </w:r>
      <w:r>
        <w:t xml:space="preserve"> </w:t>
      </w:r>
      <w:r>
        <w:t xml:space="preserve">“</w:t>
      </w:r>
      <w:r>
        <w:t xml:space="preserve">generative search</w:t>
      </w:r>
      <w:r>
        <w:t xml:space="preserve">”</w:t>
      </w:r>
      <w:r>
        <w:t xml:space="preserve"> </w:t>
      </w:r>
      <w:r>
        <w:t xml:space="preserve">- B (brand outcome): brand* OR</w:t>
      </w:r>
      <w:r>
        <w:t xml:space="preserve"> </w:t>
      </w:r>
      <w:r>
        <w:t xml:space="preserve">“</w:t>
      </w:r>
      <w:r>
        <w:t xml:space="preserve">product recommendation</w:t>
      </w:r>
      <w:r>
        <w:rPr>
          <w:iCs/>
          <w:i/>
        </w:rPr>
        <w:t xml:space="preserve">” OR ”brand visibility” OR ”share of voice” OR ”brand bias” OR ”brand mention</w:t>
      </w:r>
      <w:r>
        <w:t xml:space="preserve">”</w:t>
      </w:r>
      <w:r>
        <w:t xml:space="preserve"> </w:t>
      </w:r>
      <w:r>
        <w:t xml:space="preserve">- C (measurement): audit* OR recommend* OR visibility OR rank* OR bias OR</w:t>
      </w:r>
      <w:r>
        <w:t xml:space="preserve"> </w:t>
      </w:r>
      <w:r>
        <w:t xml:space="preserve">“</w:t>
      </w:r>
      <w:r>
        <w:t xml:space="preserve">optimization</w:t>
      </w:r>
      <w:r>
        <w:t xml:space="preserve">”</w:t>
      </w:r>
      <w:r>
        <w:t xml:space="preserve"> </w:t>
      </w:r>
      <w:r>
        <w:t xml:space="preserve">Query = A AND B AND C, plus targeted phrase searches:</w:t>
      </w:r>
      <w:r>
        <w:t xml:space="preserve"> </w:t>
      </w:r>
      <w:r>
        <w:t xml:space="preserve">“</w:t>
      </w:r>
      <w:r>
        <w:t xml:space="preserve">generative engine optimization</w:t>
      </w:r>
      <w:r>
        <w:t xml:space="preserve">”</w:t>
      </w:r>
      <w:r>
        <w:t xml:space="preserve"> </w:t>
      </w:r>
      <w:r>
        <w:t xml:space="preserve">brand;</w:t>
      </w:r>
      <w:r>
        <w:t xml:space="preserve"> </w:t>
      </w:r>
      <w:r>
        <w:t xml:space="preserve">“</w:t>
      </w:r>
      <w:r>
        <w:t xml:space="preserve">brand bias</w:t>
      </w:r>
      <w:r>
        <w:t xml:space="preserve">”</w:t>
      </w:r>
      <w:r>
        <w:t xml:space="preserve"> </w:t>
      </w:r>
      <w:r>
        <w:t xml:space="preserve">LLM;</w:t>
      </w:r>
      <w:r>
        <w:t xml:space="preserve"> </w:t>
      </w:r>
      <w:r>
        <w:t xml:space="preserve">“</w:t>
      </w:r>
      <w:r>
        <w:t xml:space="preserve">LLM recommendations</w:t>
      </w:r>
      <w:r>
        <w:t xml:space="preserve">”</w:t>
      </w:r>
      <w:r>
        <w:t xml:space="preserve"> </w:t>
      </w:r>
      <w:r>
        <w:t xml:space="preserve">brands;</w:t>
      </w:r>
      <w:r>
        <w:t xml:space="preserve"> </w:t>
      </w:r>
      <w:r>
        <w:t xml:space="preserve">“</w:t>
      </w:r>
      <w:r>
        <w:t xml:space="preserve">AI visibility</w:t>
      </w:r>
      <w:r>
        <w:t xml:space="preserve">”</w:t>
      </w:r>
      <w:r>
        <w:t xml:space="preserve"> </w:t>
      </w:r>
      <w:r>
        <w:t xml:space="preserve">brand.</w:t>
      </w:r>
    </w:p>
    <w:bookmarkEnd w:id="23"/>
    <w:bookmarkStart w:id="24" w:name="selection"/>
    <w:p>
      <w:pPr>
        <w:pStyle w:val="Heading3"/>
      </w:pPr>
      <w:r>
        <w:t xml:space="preserve">Selection</w:t>
      </w:r>
    </w:p>
    <w:p>
      <w:pPr>
        <w:pStyle w:val="FirstParagraph"/>
      </w:pPr>
      <w:r>
        <w:t xml:space="preserve">Single reviewer (Claude) screens titles/abstracts, then full texts, recording an exclusion reason per record. Reliability is checked on a random 20% sample of decisions; see deviation D13. This single-screener design is a limitation.</w:t>
      </w:r>
    </w:p>
    <w:bookmarkEnd w:id="24"/>
    <w:bookmarkStart w:id="25" w:name="data-charting-coding-sheet-fields"/>
    <w:p>
      <w:pPr>
        <w:pStyle w:val="Heading3"/>
      </w:pPr>
      <w:r>
        <w:t xml:space="preserve">Data charting (coding sheet fields)</w:t>
      </w:r>
    </w:p>
    <w:p>
      <w:pPr>
        <w:pStyle w:val="FirstParagraph"/>
      </w:pPr>
      <w:r>
        <w:t xml:space="preserve">id; citation; status (peer-reviewed / preprint / thesis / working paper); discipline; systems and versions; access mode (API / consumer UI; retrieval/web search on or off); date(s) of data collection; markets &amp; languages; categories; prompt types (category-only, needs-based, brand-cued, comparative, persona); number of prompts; repetitions per prompt; sampling parameters (temperature); competitive-set definition (external / derived from outputs / none); metrics (mention rate, rank, share, sentiment, attribute association, cited sources); validation benchmark (market share, search interest, surveys, sales, none); temporal design (single snapshot / repeated); key brand-level findings; data/code availability; stated limitations.</w:t>
      </w:r>
    </w:p>
    <w:bookmarkEnd w:id="25"/>
    <w:bookmarkStart w:id="26" w:name="X9225923ddc68c1be27c124b9155af8a10857c49"/>
    <w:p>
      <w:pPr>
        <w:pStyle w:val="Heading3"/>
      </w:pPr>
      <w:r>
        <w:t xml:space="preserve">Validity appraisal (applied per study; Yes / Partly / No / Not reported)</w:t>
      </w:r>
    </w:p>
    <w:p>
      <w:pPr>
        <w:pStyle w:val="FirstParagraph"/>
      </w:pPr>
      <w:r>
        <w:t xml:space="preserve">V1 Construct definition (is</w:t>
      </w:r>
      <w:r>
        <w:t xml:space="preserve"> </w:t>
      </w:r>
      <w:r>
        <w:t xml:space="preserve">“</w:t>
      </w:r>
      <w:r>
        <w:t xml:space="preserve">visibility</w:t>
      </w:r>
      <w:r>
        <w:t xml:space="preserve">”</w:t>
      </w:r>
      <w:r>
        <w:t xml:space="preserve"> </w:t>
      </w:r>
      <w:r>
        <w:t xml:space="preserve">defined and distinguished, e.g., inclusion vs prominence vs favourability?)</w:t>
      </w:r>
      <w:r>
        <w:t xml:space="preserve"> </w:t>
      </w:r>
      <w:r>
        <w:t xml:space="preserve">V2 Stochastic sampling (repeated draws per prompt; variance reported)</w:t>
      </w:r>
      <w:r>
        <w:t xml:space="preserve"> </w:t>
      </w:r>
      <w:r>
        <w:t xml:space="preserve">V3 Prompt representativeness (prompt source justified; varied phrasings)</w:t>
      </w:r>
      <w:r>
        <w:t xml:space="preserve"> </w:t>
      </w:r>
      <w:r>
        <w:t xml:space="preserve">V4 Competitive-set independence (brand universe defined outside model outputs)</w:t>
      </w:r>
      <w:r>
        <w:t xml:space="preserve"> </w:t>
      </w:r>
      <w:r>
        <w:t xml:space="preserve">V5 System specification (model/version, access mode, retrieval setting, date reported)</w:t>
      </w:r>
      <w:r>
        <w:t xml:space="preserve"> </w:t>
      </w:r>
      <w:r>
        <w:t xml:space="preserve">V6 Criterion validity (outputs compared with an external benchmark)</w:t>
      </w:r>
      <w:r>
        <w:t xml:space="preserve"> </w:t>
      </w:r>
      <w:r>
        <w:t xml:space="preserve">V7 Temporal stability (repeated over time)</w:t>
      </w:r>
      <w:r>
        <w:t xml:space="preserve"> </w:t>
      </w:r>
      <w:r>
        <w:t xml:space="preserve">V8 Transparency (data/code/prompts available)</w:t>
      </w:r>
    </w:p>
    <w:bookmarkEnd w:id="26"/>
    <w:bookmarkStart w:id="27" w:name="synthesis"/>
    <w:p>
      <w:pPr>
        <w:pStyle w:val="Heading3"/>
      </w:pPr>
      <w:r>
        <w:t xml:space="preserve">Synthesis</w:t>
      </w:r>
    </w:p>
    <w:p>
      <w:pPr>
        <w:pStyle w:val="FirstParagraph"/>
      </w:pPr>
      <w:r>
        <w:t xml:space="preserve">Descriptive evidence map (counts by field); cross-tabulation of design features against substantive conclusions; narrative synthesis; derivation of a validity framework and propositions. No meta-analysis (heterogeneous metrics).</w:t>
      </w:r>
    </w:p>
    <w:bookmarkEnd w:id="27"/>
    <w:bookmarkStart w:id="28" w:name="deviations"/>
    <w:p>
      <w:pPr>
        <w:pStyle w:val="Heading3"/>
      </w:pPr>
      <w:r>
        <w:t xml:space="preserve">Deviations</w:t>
      </w:r>
    </w:p>
    <w:p>
      <w:pPr>
        <w:pStyle w:val="FirstParagraph"/>
      </w:pPr>
      <w:r>
        <w:t xml:space="preserve">Any deviation from this protocol will be logged with date and reason.</w:t>
      </w:r>
    </w:p>
    <w:bookmarkEnd w:id="28"/>
    <w:bookmarkEnd w:id="29"/>
    <w:bookmarkStart w:id="30" w:name="search-log"/>
    <w:p>
      <w:pPr>
        <w:pStyle w:val="Heading1"/>
      </w:pPr>
      <w:r>
        <w:t xml:space="preserve">2. Search log</w:t>
      </w:r>
    </w:p>
    <w:p>
      <w:pPr>
        <w:pStyle w:val="FirstParagraph"/>
      </w:pPr>
      <w:r>
        <w:t xml:space="preserve">All searches were run on 15 October 2026. Google Scholar and SSRN pages were accessed through the author’s browser. arXiv listings S15–S17 were screened in full; S01–S07 screened the first page of results sorted by date.</w:t>
      </w:r>
    </w:p>
    <w:tbl>
      <w:tblPr>
        <w:tblStyle w:val="Table"/>
        <w:tblW w:type="pct" w:w="5000"/>
        <w:tblLook w:firstRow="1" w:lastRow="0" w:firstColumn="0" w:lastColumn="0" w:noHBand="0" w:noVBand="0" w:val="0020"/>
        <w:jc w:val="start"/>
      </w:tblPr>
      <w:tblGrid>
        <w:gridCol w:w="495"/>
        <w:gridCol w:w="495"/>
        <w:gridCol w:w="1485"/>
        <w:gridCol w:w="2722"/>
        <w:gridCol w:w="1237"/>
        <w:gridCol w:w="1485"/>
      </w:tblGrid>
      <w:tr>
        <w:trPr>
          <w:tblHeader w:val="true"/>
        </w:trPr>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ID</w:t>
            </w:r>
          </w:p>
        </w:tc>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Date</w:t>
            </w:r>
          </w:p>
        </w:tc>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Source</w:t>
            </w:r>
          </w:p>
        </w:tc>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Query</w:t>
            </w:r>
          </w:p>
        </w:tc>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Results</w:t>
            </w:r>
          </w:p>
        </w:tc>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Notes</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S01</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arXiv (all fields; sorted newest)</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brand LLM recommendations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30</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S02</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arXiv</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brand bias language models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S03</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arXiv</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w:t>
            </w:r>
            <w:r>
              <w:rPr>
                <w:rFonts w:ascii="Times New Roman" w:hAnsi="Times New Roman"/>
                <w:sz w:val="17"/>
              </w:rPr>
              <w:t xml:space="preserve">generative engine optimization</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brand</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10</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S04</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arXiv</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w:t>
            </w:r>
            <w:r>
              <w:rPr>
                <w:rFonts w:ascii="Times New Roman" w:hAnsi="Times New Roman"/>
                <w:sz w:val="17"/>
              </w:rPr>
              <w:t xml:space="preserve">AI visibility</w:t>
            </w:r>
            <w:r>
              <w:rPr>
                <w:rFonts w:ascii="Times New Roman" w:hAnsi="Times New Roman"/>
                <w:sz w:val="17"/>
              </w:rPr>
              <w:t xml:space="preserv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13</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S05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arXiv</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brand ChatGPT recommend</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6</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S06</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arXiv</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w:t>
            </w:r>
            <w:r>
              <w:rPr>
                <w:rFonts w:ascii="Times New Roman" w:hAnsi="Times New Roman"/>
                <w:sz w:val="17"/>
              </w:rPr>
              <w:t xml:space="preserve">AI search</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brand</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S07</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arXiv</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w:t>
            </w:r>
            <w:r>
              <w:rPr>
                <w:rFonts w:ascii="Times New Roman" w:hAnsi="Times New Roman"/>
                <w:sz w:val="17"/>
              </w:rPr>
              <w:t xml:space="preserve">product recommendations</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w:t>
            </w:r>
            <w:r>
              <w:rPr>
                <w:rFonts w:ascii="Times New Roman" w:hAnsi="Times New Roman"/>
                <w:sz w:val="17"/>
              </w:rPr>
              <w:t xml:space="preserve">large language models</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brands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S08</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Google Scholar (since 2023; via Chrome)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w:t>
            </w:r>
            <w:r>
              <w:rPr>
                <w:rFonts w:ascii="Times New Roman" w:hAnsi="Times New Roman"/>
                <w:sz w:val="17"/>
              </w:rPr>
              <w:t xml:space="preserve">large language model</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brand recommendations visibility audit</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 screened (pp.1-2)</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Scholar result totals not captured</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S09</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Google Scholar (since 2023)</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ChatGPT OR</w:t>
            </w:r>
            <w:r>
              <w:rPr>
                <w:rFonts w:ascii="Times New Roman" w:hAnsi="Times New Roman"/>
                <w:sz w:val="17"/>
              </w:rPr>
              <w:t xml:space="preserve"> </w:t>
            </w:r>
            <w:r>
              <w:rPr>
                <w:rFonts w:ascii="Times New Roman" w:hAnsi="Times New Roman"/>
                <w:sz w:val="17"/>
              </w:rPr>
              <w:t xml:space="preserve">“</w:t>
            </w:r>
            <w:r>
              <w:rPr>
                <w:rFonts w:ascii="Times New Roman" w:hAnsi="Times New Roman"/>
                <w:sz w:val="17"/>
              </w:rPr>
              <w:t xml:space="preserve">generative AI</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brand mentions</w:t>
            </w:r>
            <w:r>
              <w:rPr>
                <w:rFonts w:ascii="Times New Roman" w:hAnsi="Times New Roman"/>
                <w:sz w:val="17"/>
              </w:rPr>
              <w:t xml:space="preserve"> </w:t>
            </w:r>
            <w:r>
              <w:rPr>
                <w:rFonts w:ascii="Times New Roman" w:hAnsi="Times New Roman"/>
                <w:sz w:val="17"/>
              </w:rPr>
              <w:t xml:space="preserve">“</w:t>
            </w:r>
            <w:r>
              <w:rPr>
                <w:rFonts w:ascii="Times New Roman" w:hAnsi="Times New Roman"/>
                <w:sz w:val="17"/>
              </w:rPr>
              <w:t xml:space="preserve">AI search</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visibility brands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10 screened</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S10</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Google Scholar (since 2023)</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w:t>
            </w:r>
            <w:r>
              <w:rPr>
                <w:rFonts w:ascii="Times New Roman" w:hAnsi="Times New Roman"/>
                <w:sz w:val="17"/>
              </w:rPr>
              <w:t xml:space="preserve">LLM</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w:t>
            </w:r>
            <w:r>
              <w:rPr>
                <w:rFonts w:ascii="Times New Roman" w:hAnsi="Times New Roman"/>
                <w:sz w:val="17"/>
              </w:rPr>
              <w:t xml:space="preserve">brand bias</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recommendations products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10 screened</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S11</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Google Scholar (since 2023)</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w:t>
            </w:r>
            <w:r>
              <w:rPr>
                <w:rFonts w:ascii="Times New Roman" w:hAnsi="Times New Roman"/>
                <w:sz w:val="17"/>
              </w:rPr>
              <w:t xml:space="preserve">consideration set</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w:t>
            </w:r>
            <w:r>
              <w:rPr>
                <w:rFonts w:ascii="Times New Roman" w:hAnsi="Times New Roman"/>
                <w:sz w:val="17"/>
              </w:rPr>
              <w:t xml:space="preserve">large language models</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brands recommendations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10 screened</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S12</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Google Scholar (since 2023)</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w:t>
            </w:r>
            <w:r>
              <w:rPr>
                <w:rFonts w:ascii="Times New Roman" w:hAnsi="Times New Roman"/>
                <w:sz w:val="17"/>
              </w:rPr>
              <w:t xml:space="preserve">share of voice</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OR</w:t>
            </w:r>
            <w:r>
              <w:rPr>
                <w:rFonts w:ascii="Times New Roman" w:hAnsi="Times New Roman"/>
                <w:sz w:val="17"/>
              </w:rPr>
              <w:t xml:space="preserve"> </w:t>
            </w:r>
            <w:r>
              <w:rPr>
                <w:rFonts w:ascii="Times New Roman" w:hAnsi="Times New Roman"/>
                <w:sz w:val="17"/>
              </w:rPr>
              <w:t xml:space="preserve">“</w:t>
            </w:r>
            <w:r>
              <w:rPr>
                <w:rFonts w:ascii="Times New Roman" w:hAnsi="Times New Roman"/>
                <w:sz w:val="17"/>
              </w:rPr>
              <w:t xml:space="preserve">share of model</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LLM brands generative AI</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10 screened</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S13</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Google Scholar (since 2024)</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w:t>
            </w:r>
            <w:r>
              <w:rPr>
                <w:rFonts w:ascii="Times New Roman" w:hAnsi="Times New Roman"/>
                <w:sz w:val="17"/>
              </w:rPr>
              <w:t xml:space="preserve">AI Overviews</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OR Perplexity OR Gemini brands recommended audit empirical</w:t>
            </w:r>
            <w:r>
              <w:rPr>
                <w:rFonts w:ascii="Times New Roman" w:hAnsi="Times New Roman"/>
                <w:sz w:val="17"/>
              </w:rPr>
              <w:t xml:space="preserve"> </w:t>
            </w:r>
            <w:r>
              <w:rPr>
                <w:rFonts w:ascii="Times New Roman" w:hAnsi="Times New Roman"/>
                <w:sz w:val="17"/>
              </w:rPr>
              <w:t xml:space="preserve">“</w:t>
            </w:r>
            <w:r>
              <w:rPr>
                <w:rFonts w:ascii="Times New Roman" w:hAnsi="Times New Roman"/>
                <w:sz w:val="17"/>
              </w:rPr>
              <w:t xml:space="preserve">brand visibility</w:t>
            </w:r>
            <w:r>
              <w:rPr>
                <w:rFonts w:ascii="Times New Roman" w:hAnsi="Times New Roman"/>
                <w:sz w:val="17"/>
              </w:rPr>
              <w:t xml:space="preserv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10 screened</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S14</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Google Scholar (since 2024)</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LLM</w:t>
            </w:r>
            <w:r>
              <w:rPr>
                <w:rFonts w:ascii="Times New Roman" w:hAnsi="Times New Roman"/>
                <w:sz w:val="17"/>
              </w:rPr>
              <w:t xml:space="preserve"> </w:t>
            </w:r>
            <w:r>
              <w:rPr>
                <w:rFonts w:ascii="Times New Roman" w:hAnsi="Times New Roman"/>
                <w:sz w:val="17"/>
              </w:rPr>
              <w:t xml:space="preserve">“</w:t>
            </w:r>
            <w:r>
              <w:rPr>
                <w:rFonts w:ascii="Times New Roman" w:hAnsi="Times New Roman"/>
                <w:sz w:val="17"/>
              </w:rPr>
              <w:t xml:space="preserve">product recommendations</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brands market share popularity</w:t>
            </w:r>
            <w:r>
              <w:rPr>
                <w:rFonts w:ascii="Times New Roman" w:hAnsi="Times New Roman"/>
                <w:sz w:val="17"/>
              </w:rPr>
              <w:t xml:space="preserve"> </w:t>
            </w:r>
            <w:r>
              <w:rPr>
                <w:rFonts w:ascii="Times New Roman" w:hAnsi="Times New Roman"/>
                <w:sz w:val="17"/>
              </w:rPr>
              <w:t xml:space="preserve">“</w:t>
            </w:r>
            <w:r>
              <w:rPr>
                <w:rFonts w:ascii="Times New Roman" w:hAnsi="Times New Roman"/>
                <w:sz w:val="17"/>
              </w:rPr>
              <w:t xml:space="preserve">large language models</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audit concentration</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10 screened</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arXiv advanced search via browser (abstract field; all results)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brand LLM</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126 (all screened on title)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total = 126; complete listing</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S16</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arXiv (abstract field; all results)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brands</w:t>
            </w:r>
            <w:r>
              <w:rPr>
                <w:rFonts w:ascii="Times New Roman" w:hAnsi="Times New Roman"/>
                <w:sz w:val="17"/>
              </w:rPr>
              <w:t xml:space="preserve"> </w:t>
            </w:r>
            <w:r>
              <w:rPr>
                <w:rFonts w:ascii="Times New Roman" w:hAnsi="Times New Roman"/>
                <w:sz w:val="17"/>
              </w:rPr>
              <w:t xml:space="preserve">“</w:t>
            </w:r>
            <w:r>
              <w:rPr>
                <w:rFonts w:ascii="Times New Roman" w:hAnsi="Times New Roman"/>
                <w:sz w:val="17"/>
              </w:rPr>
              <w:t xml:space="preserve">language models</w:t>
            </w:r>
            <w:r>
              <w:rPr>
                <w:rFonts w:ascii="Times New Roman" w:hAnsi="Times New Roman"/>
                <w:sz w:val="17"/>
              </w:rPr>
              <w:t xml:space="preserve">”</w:t>
            </w:r>
            <w:r>
              <w:rPr>
                <w:rFonts w:ascii="Times New Roman" w:hAnsi="Times New Roman"/>
                <w:sz w:val="17"/>
              </w:rPr>
              <w:t xml:space="preserve"> </w:t>
            </w:r>
            <w:r>
              <w:rPr>
                <w:rFonts w:ascii="Times New Roman" w:hAnsi="Times New Roman"/>
                <w:sz w:val="17"/>
              </w:rPr>
              <w:t xml:space="preserve">recommendations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25 (all)</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total = 25</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S17</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arXiv (abstract field; all results)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w:t>
            </w:r>
            <w:r>
              <w:rPr>
                <w:rFonts w:ascii="Times New Roman" w:hAnsi="Times New Roman"/>
                <w:sz w:val="17"/>
              </w:rPr>
              <w:t xml:space="preserve">generative engine optimization</w:t>
            </w:r>
            <w:r>
              <w:rPr>
                <w:rFonts w:ascii="Times New Roman" w:hAnsi="Times New Roman"/>
                <w:sz w:val="17"/>
              </w:rPr>
              <w:t xml:space="preserv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53 (all)</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total = 53</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FC1</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Semantic Scholar API forward citations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citations of Kamruzzaman et al. 2024 (arXiv 2406.13997)</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 (all)</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FC2</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Semantic Scholar API forward citations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citations of Jack et al. 2026d (arXiv 2605.27439)</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4 (all)</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pP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FCx</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2026-10-15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Semantic Scholar API / Google Scholar cited-by</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forward citations of Chen et al. 2025; Kumar 2026; Chu &amp; Hou 2026; Żatuchin 2026e; Scholar cited-by</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0</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NOT COMPLETED: API errors (rate limits) and Google CAPTCHA (not circumvented)</w:t>
            </w:r>
          </w:p>
        </w:tc>
      </w:tr>
    </w:tbl>
    <w:p>
      <w:pPr>
        <w:pStyle w:val="BodyText"/>
      </w:pPr>
      <w:r>
        <w:rPr>
          <w:bCs/>
          <w:b/>
        </w:rPr>
        <w:t xml:space="preserve">Flow summary.</w:t>
      </w:r>
      <w:r>
        <w:t xml:space="preserve"> </w:t>
      </w:r>
      <w:r>
        <w:t xml:space="preserve">402 records identified (arXiv 289; Google Scholar 80; citation searching 33); 112 duplicates removed; 290 titles screened; 201 excluded on title (counts only); 89 abstracts screened; 39 excluded; 50 reports sought; 9 not retrievable; 41 assessed; 3 excluded (2 context, 1 duplicate); 38 included (25 full text; 13 abstract-level).</w:t>
      </w:r>
    </w:p>
    <w:bookmarkEnd w:id="30"/>
    <w:bookmarkStart w:id="31" w:name="deviations-from-the-protocol"/>
    <w:p>
      <w:pPr>
        <w:pStyle w:val="Heading1"/>
      </w:pPr>
      <w:r>
        <w:t xml:space="preserve">3. Deviations from the protocol</w:t>
      </w:r>
    </w:p>
    <w:p>
      <w:pPr>
        <w:numPr>
          <w:ilvl w:val="0"/>
          <w:numId w:val="1003"/>
        </w:numPr>
      </w:pPr>
      <w:r>
        <w:t xml:space="preserve">D1 (15 Oct 2026). Studies whose full text could not be read but whose abstract/landing page reported design details sufficient for charting (systems, sample, metric, finding) were included in the evidence map and flagged</w:t>
      </w:r>
      <w:r>
        <w:t xml:space="preserve"> </w:t>
      </w:r>
      <w:r>
        <w:t xml:space="preserve">“</w:t>
      </w:r>
      <w:r>
        <w:t xml:space="preserve">abstract-level</w:t>
      </w:r>
      <w:r>
        <w:t xml:space="preserve">”</w:t>
      </w:r>
      <w:r>
        <w:t xml:space="preserve"> </w:t>
      </w:r>
      <w:r>
        <w:t xml:space="preserve">(13 studies in the final map). Reason: much of this literature is posted as SSRN working papers or vendor technical reports behind bot checks. Mitigation: synthesis reports patterns with and without abstract-level studies; no validity criterion is scored</w:t>
      </w:r>
      <w:r>
        <w:t xml:space="preserve"> </w:t>
      </w:r>
      <w:r>
        <w:t xml:space="preserve">“</w:t>
      </w:r>
      <w:r>
        <w:t xml:space="preserve">No</w:t>
      </w:r>
      <w:r>
        <w:t xml:space="preserve">”</w:t>
      </w:r>
      <w:r>
        <w:t xml:space="preserve"> </w:t>
      </w:r>
      <w:r>
        <w:t xml:space="preserve">solely because the abstract is silent (scored</w:t>
      </w:r>
      <w:r>
        <w:t xml:space="preserve"> </w:t>
      </w:r>
      <w:r>
        <w:t xml:space="preserve">“</w:t>
      </w:r>
      <w:r>
        <w:t xml:space="preserve">NR</w:t>
      </w:r>
      <w:r>
        <w:t xml:space="preserve">”</w:t>
      </w:r>
      <w:r>
        <w:t xml:space="preserve">).</w:t>
      </w:r>
    </w:p>
    <w:p>
      <w:pPr>
        <w:numPr>
          <w:ilvl w:val="0"/>
          <w:numId w:val="1003"/>
        </w:numPr>
      </w:pPr>
      <w:r>
        <w:t xml:space="preserve">D2 (15 Oct 2026). Twelve full texts were charted from a machine-assisted structured extraction of the arXiv HTML (WebFetch) rather than a complete manual read; these are flagged</w:t>
      </w:r>
      <w:r>
        <w:t xml:space="preserve"> </w:t>
      </w:r>
      <w:r>
        <w:t xml:space="preserve">“</w:t>
      </w:r>
      <w:r>
        <w:t xml:space="preserve">secondary read</w:t>
      </w:r>
      <w:r>
        <w:t xml:space="preserve">”</w:t>
      </w:r>
      <w:r>
        <w:t xml:space="preserve"> </w:t>
      </w:r>
      <w:r>
        <w:t xml:space="preserve">and key figures quoted in the manuscript are spot-checked against the source before use.</w:t>
      </w:r>
    </w:p>
    <w:p>
      <w:pPr>
        <w:numPr>
          <w:ilvl w:val="0"/>
          <w:numId w:val="1003"/>
        </w:numPr>
      </w:pPr>
      <w:r>
        <w:t xml:space="preserve">D3 (15 Oct 2026). Google Scholar was searched via the author’s browser on the day of search; Scholar does not support exact Boolean reproduction, so strings were adapted and the first 10–20 results per string screened (S08–S14). Logged as a limitation.</w:t>
      </w:r>
    </w:p>
    <w:p>
      <w:pPr>
        <w:numPr>
          <w:ilvl w:val="0"/>
          <w:numId w:val="1003"/>
        </w:numPr>
      </w:pPr>
      <w:r>
        <w:t xml:space="preserve">D4 (15 Oct 2026). Measurement-framework papers without audit data (e.g., open specifications, conceptual frameworks) were excluded from the evidence map but retained in the register’s Proposed_metrics sheet and cited in the manuscript’s positioning table (Table 1). Proposals that report audit data (e.g., Lüders 2026, N = 885 brands) were included in the map.</w:t>
      </w:r>
    </w:p>
    <w:p>
      <w:pPr>
        <w:numPr>
          <w:ilvl w:val="0"/>
          <w:numId w:val="1003"/>
        </w:numPr>
      </w:pPr>
      <w:r>
        <w:t xml:space="preserve">D5 (15 Oct 2026). Full texts behind interactive bot challenges were not accessed (no CAPTCHA circumvention); such records are counted as</w:t>
      </w:r>
      <w:r>
        <w:t xml:space="preserve"> </w:t>
      </w:r>
      <w:r>
        <w:t xml:space="preserve">“</w:t>
      </w:r>
      <w:r>
        <w:t xml:space="preserve">not retrievable</w:t>
      </w:r>
      <w:r>
        <w:t xml:space="preserve">”</w:t>
      </w:r>
      <w:r>
        <w:t xml:space="preserve">.</w:t>
      </w:r>
    </w:p>
    <w:p>
      <w:pPr>
        <w:numPr>
          <w:ilvl w:val="0"/>
          <w:numId w:val="1003"/>
        </w:numPr>
      </w:pPr>
      <w:r>
        <w:t xml:space="preserve">D6 (15 Oct 2026). Criterion V9 (entity-extraction validity) added during charting; scored</w:t>
      </w:r>
      <w:r>
        <w:t xml:space="preserve"> </w:t>
      </w:r>
      <w:r>
        <w:t xml:space="preserve">“</w:t>
      </w:r>
      <w:r>
        <w:t xml:space="preserve">NA</w:t>
      </w:r>
      <w:r>
        <w:t xml:space="preserve">”</w:t>
      </w:r>
      <w:r>
        <w:t xml:space="preserve"> </w:t>
      </w:r>
      <w:r>
        <w:t xml:space="preserve">for supplied-list and forced-choice designs where extraction is trivial.</w:t>
      </w:r>
    </w:p>
    <w:p>
      <w:pPr>
        <w:numPr>
          <w:ilvl w:val="0"/>
          <w:numId w:val="1003"/>
        </w:numPr>
      </w:pPr>
      <w:r>
        <w:t xml:space="preserve">D7 (15 Oct 2026, after internal review). Appraisal rules tightened and all studies re-scored: V2 Yes requires ≥5 draws per prompt and condition for the main outcome; V6 Yes requires an external brand or market benchmark (brand equity, revenue/market share, market census) — proxies score Partly; V8 refers to data/prompt/code availability only (interests charted separately); V9 LLM-judge agreement scores Partly (reliability, not accuracy). Summed totals replaced by percentage of applicable maximum.</w:t>
      </w:r>
    </w:p>
    <w:p>
      <w:pPr>
        <w:numPr>
          <w:ilvl w:val="0"/>
          <w:numId w:val="1003"/>
        </w:numPr>
      </w:pPr>
      <w:r>
        <w:t xml:space="preserve">D8 (15 Oct 2026, after internal review). Supplementary searches added: complete arXiv abstract-field listings (S15–S17; 204 results) and forward citation searches (FC1–FC2; 24 results) via Semantic Scholar. Further forward searches (Google Scholar cited-by) could not be completed because of rate limits and a CAPTCHA that was not circumvented. Original arXiv searches S01–S07 recorded the results screened (first page, sorted by date), not total hits. OpenAlex, SSRN native search, ACM DL and IEEE Xplore were not searched directly (access or rate limits); SSRN, ACM and IEEE records were reached through Google Scholar.</w:t>
      </w:r>
    </w:p>
    <w:p>
      <w:pPr>
        <w:numPr>
          <w:ilvl w:val="0"/>
          <w:numId w:val="1003"/>
        </w:numPr>
      </w:pPr>
      <w:r>
        <w:t xml:space="preserve">D9 (15 Oct 2026). Conclusion family A split into A1 (prominence advantage in inclusion), A2 (brand identity shifts selection/rank), A3 (advantage attenuated: compressed, conditional or weak link to market position).</w:t>
      </w:r>
    </w:p>
    <w:p>
      <w:pPr>
        <w:numPr>
          <w:ilvl w:val="0"/>
          <w:numId w:val="1003"/>
        </w:numPr>
      </w:pPr>
      <w:r>
        <w:t xml:space="preserve">D10 (15 Oct 2026). Five full texts (R13, R03, R39, R16, R28) were read through the first ~50,000 characters (methods and main results) rather than in full; key figures from R39 re-checked against the v2 full text (Section 4.2).</w:t>
      </w:r>
    </w:p>
    <w:p>
      <w:pPr>
        <w:numPr>
          <w:ilvl w:val="0"/>
          <w:numId w:val="1003"/>
        </w:numPr>
      </w:pPr>
      <w:r>
        <w:t xml:space="preserve">D11 (15 Oct 2026). Screening and charting were performed by an LLM (Claude) as the first screener under the author’s direction; reliability was assessed with a blind second screener (D13).</w:t>
      </w:r>
    </w:p>
    <w:p>
      <w:pPr>
        <w:numPr>
          <w:ilvl w:val="0"/>
          <w:numId w:val="1003"/>
        </w:numPr>
      </w:pPr>
      <w:r>
        <w:t xml:space="preserve">D12 (15 Oct 2026, during supplementary screening). Concept (b) broadened from</w:t>
      </w:r>
      <w:r>
        <w:t xml:space="preserve"> </w:t>
      </w:r>
      <w:r>
        <w:t xml:space="preserve">‘</w:t>
      </w:r>
      <w:r>
        <w:t xml:space="preserve">brands, companies or branded products</w:t>
      </w:r>
      <w:r>
        <w:t xml:space="preserve">’</w:t>
      </w:r>
      <w:r>
        <w:t xml:space="preserve"> </w:t>
      </w:r>
      <w:r>
        <w:t xml:space="preserve">to include individual businesses (e.g., restaurants, local service firms) competing as brands in local markets; exclusion added for studies using only fictitious or hypothetical brands (already applied to R34). Affects inclusion of R49 (House), R79 (Pitenin), R80 (Chen et al.) and exclusion of R82 (Baig).</w:t>
      </w:r>
    </w:p>
    <w:p>
      <w:pPr>
        <w:numPr>
          <w:ilvl w:val="0"/>
          <w:numId w:val="1003"/>
        </w:numPr>
      </w:pPr>
      <w:r>
        <w:t xml:space="preserve">D13 (15 Oct 2026). The planned human audit of 20% of screening decisions was replaced, at the author’s instruction, by a blind second LLM screener (independent instance; criteria and identifiers only). Random sample of 18/89 records (seed 20261015): agreement 16/18, kappa = 0.81 (4 categories); both disagreements due to access failures; 13/13 agreement where both could read. Validity double-coding of 5 included studies (R13, R05, R29, R02, R03; R16 dropped because the second screener read only its abstract): exact agreement 56% of 45 cells, within one point 89%.</w:t>
      </w:r>
    </w:p>
    <w:bookmarkEnd w:id="31"/>
    <w:bookmarkStart w:id="32" w:name="prisma-scr-checklist"/>
    <w:p>
      <w:pPr>
        <w:pStyle w:val="Heading1"/>
      </w:pPr>
      <w:r>
        <w:t xml:space="preserve">4. PRISMA-ScR checklist</w:t>
      </w:r>
    </w:p>
    <w:tbl>
      <w:tblPr>
        <w:tblStyle w:val="Table"/>
        <w:tblW w:type="pct" w:w="5000"/>
        <w:tblLook w:firstRow="1" w:lastRow="0" w:firstColumn="0" w:lastColumn="0" w:noHBand="0" w:noVBand="0" w:val="0020"/>
        <w:jc w:val="start"/>
      </w:tblPr>
      <w:tblGrid>
        <w:gridCol w:w="304"/>
        <w:gridCol w:w="1523"/>
        <w:gridCol w:w="3046"/>
        <w:gridCol w:w="3046"/>
      </w:tblGrid>
      <w:tr>
        <w:trPr>
          <w:tblHeader w:val="true"/>
        </w:trPr>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Item</w:t>
            </w:r>
          </w:p>
        </w:tc>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Section</w:t>
            </w:r>
          </w:p>
        </w:tc>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Checklist item (abridged)</w:t>
            </w:r>
          </w:p>
        </w:tc>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Reported in</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Title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Identify the report as a scoping review</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Title page; title</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Structured summary</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Background, objectives, eligibility, sources, charting, results, conclusions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Abstract (unstructured per journal style)</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3</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Rationale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Rationale in context of what is known</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Introduction; Table 1</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4</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Objectives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Questions and objectives (PCC)</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Introduction (RQ1–RQ3)</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Protocol and registration</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Protocol existence; registration</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Method: Design and protocol; Appendix A §1 (not registered)</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6</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Eligibility criteria</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Characteristics of sources used as criteria</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Method: Eligibility criteria</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7</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Information sources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All sources and dates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Method: Information sources; Appendix A §2</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8</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Search</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Full electronic search strategy for at least one database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Appendix A §2 (search log)</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9</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Selection of sources of evidence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Screening and inclusion process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Method: Selection and charting</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10</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Data charting process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Methods of charting; calibration</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Method: Selection and charting</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11</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Data items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Variables for which data were sought</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Method: Selection and charting; Appendix B</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12</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Critical appraisal (optional)</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Methods of appraisal</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Method: Validity appraisal; Table 2</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13</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Synthesis of results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Methods of handling and summarising data</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Method: Synthesis</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14</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Selection of sources of evidence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Numbers screened, assessed, included, with reasons; flow diagram</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Results; Fig. 1</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15</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Characteristics of sources of evidence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Characteristics of each source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Table 3; Appendix B</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16</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Critical appraisal within sources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Appraisal results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RQ3; Fig. 2; Appendix B</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17</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Results of individual sources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Relevant data for each source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Table 3; Appendix B</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18</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Synthesis of results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Summarise results relative to objectives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RQ1–RQ3; Table 4</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19</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Summary of evidence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Main results, links to objectives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Two-stage account; Discussion</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20</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Limitations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Limitations of the review process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Discussion: Limitations</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21</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Conclusions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General interpretation and implications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Conclusion; Discussion</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22</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Funding</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Sources of funding</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Declarations; title page</w:t>
            </w:r>
          </w:p>
        </w:tc>
      </w:tr>
    </w:tbl>
    <w:bookmarkEnd w:id="32"/>
    <w:bookmarkStart w:id="33" w:name="use-of-generative-ai-process-log"/>
    <w:p>
      <w:pPr>
        <w:pStyle w:val="Heading1"/>
      </w:pPr>
      <w:r>
        <w:t xml:space="preserve">5. Use of generative AI: process log</w:t>
      </w:r>
    </w:p>
    <w:tbl>
      <w:tblPr>
        <w:tblStyle w:val="Table"/>
        <w:tblW w:type="pct" w:w="5000"/>
        <w:tblLook w:firstRow="1" w:lastRow="0" w:firstColumn="0" w:lastColumn="0" w:noHBand="0" w:noVBand="0" w:val="0020"/>
        <w:jc w:val="start"/>
      </w:tblPr>
      <w:tblGrid>
        <w:gridCol w:w="2184"/>
        <w:gridCol w:w="1911"/>
        <w:gridCol w:w="3823"/>
      </w:tblGrid>
      <w:tr>
        <w:trPr>
          <w:tblHeader w:val="true"/>
        </w:trPr>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Task</w:t>
            </w:r>
          </w:p>
        </w:tc>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Performed by</w:t>
            </w:r>
          </w:p>
        </w:tc>
        <w:tc>
          <w:tcPr>
            <w:tcBorders>
              <w:top w:val="single" w:sz="4" w:color="808080"/>
              <w:left w:val="single" w:sz="4" w:color="808080"/>
              <w:bottom w:val="single" w:sz="4" w:color="808080"/>
              <w:right w:val="single" w:sz="4" w:color="808080"/>
            </w:tcBorders>
            <w:shd w:val="clear" w:color="auto" w:fill="E7E6E6"/>
          </w:tcPr>
          <w:p>
            <w:pPr>
              <w:pStyle w:val="Compact"/>
              <w:spacing w:line="240" w:lineRule="auto" w:after="20"/>
              <w:ind w:firstLine="0"/>
              <w:jc w:val="left"/>
            </w:pPr>
            <w:r>
              <w:rPr>
                <w:rFonts w:ascii="Times New Roman" w:hAnsi="Times New Roman"/>
                <w:b/>
                <w:sz w:val="17"/>
              </w:rPr>
              <w:t xml:space="preserve">Human role</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Topic selection</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Claude (within author’s criteria)</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Author set aim and constraints; approved topic</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Protocol and appraisal criteria</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Claude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Read and approved by the author</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Searches, logging</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Claude (browser and web tools)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Author approved sources</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Screening and charting</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Claude (first screener)</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Blind second LLM instance re-screened 20% (kappa = 0.81)</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Statistics, tables and figures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Claude (Python)</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Independent AI reviewer recomputed all counts</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Interpretation and propositions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Proposed by Claude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Read and approved by the author</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Drafting</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Claude</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Read and approved by the author</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Reference verification</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Claude (Crossref, ACL Anthology, arXiv, SSRN)</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Reviewed by the author</w:t>
            </w:r>
          </w:p>
        </w:tc>
      </w:tr>
      <w:tr>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Internal peer review</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Separate AI reviewer agent (two rounds)</w:t>
            </w:r>
          </w:p>
        </w:tc>
        <w:tc>
          <w:tcPr>
            <w:tcBorders>
              <w:top w:val="single" w:sz="4" w:color="808080"/>
              <w:left w:val="single" w:sz="4" w:color="808080"/>
              <w:bottom w:val="single" w:sz="4" w:color="808080"/>
              <w:right w:val="single" w:sz="4" w:color="808080"/>
            </w:tcBorders>
          </w:tcPr>
          <w:p>
            <w:pPr>
              <w:pStyle w:val="Compact"/>
              <w:spacing w:line="240" w:lineRule="auto" w:after="20"/>
              <w:ind w:firstLine="0"/>
              <w:jc w:val="left"/>
            </w:pPr>
            <w:r>
              <w:rPr>
                <w:rFonts w:ascii="Times New Roman" w:hAnsi="Times New Roman"/>
                <w:sz w:val="17"/>
              </w:rPr>
              <w:t xml:space="preserve">Reports read by the author</w:t>
            </w:r>
          </w:p>
        </w:tc>
      </w:tr>
    </w:tbl>
    <w:bookmarkEnd w:id="33"/>
    <w:bookmarkStart w:id="35" w:name="spot-check-log-of-quoted-figures"/>
    <w:p>
      <w:pPr>
        <w:pStyle w:val="Heading1"/>
      </w:pPr>
      <w:r>
        <w:t xml:space="preserve">6. Spot-check log of quoted figures</w:t>
      </w:r>
    </w:p>
    <w:p>
      <w:pPr>
        <w:numPr>
          <w:ilvl w:val="0"/>
          <w:numId w:val="1004"/>
        </w:numPr>
        <w:pStyle w:val="Compact"/>
      </w:pPr>
      <w:r>
        <w:t xml:space="preserve">R21 (2605.27440): rerun Jaccard 0.50–0.61; cosmetic paraphrase 0.288 [0.215, 0.361]; constraint-adding 0.135 [0.098, 0.175]; ~6,000 + ~6,000 runs — MATCHES coding.</w:t>
      </w:r>
    </w:p>
    <w:p>
      <w:pPr>
        <w:numPr>
          <w:ilvl w:val="0"/>
          <w:numId w:val="1004"/>
        </w:numPr>
        <w:pStyle w:val="Compact"/>
      </w:pPr>
      <w:r>
        <w:t xml:space="preserve">R29 (2609.23162): 34,960 obs, 75 projects, 2,854 prompts, Jun–Sep 2026; 2.8%/3.8% vs 91.4%/100%; AUC 0.963/0.942 — MATCHES (coding said 91–100%).</w:t>
      </w:r>
    </w:p>
    <w:p>
      <w:pPr>
        <w:numPr>
          <w:ilvl w:val="0"/>
          <w:numId w:val="1004"/>
        </w:numPr>
        <w:pStyle w:val="Compact"/>
      </w:pPr>
      <w:r>
        <w:t xml:space="preserve">R22 (2601.00912): 112 startups, 2,240 queries; 99.4%/94.3% named; 3.32%/8.29% discovery; r=+0.319 referring domains, +0.395 Reddit — MATCHES. Submitted 1 Jan 2026 → cite as 2026.</w:t>
      </w:r>
    </w:p>
    <w:p>
      <w:pPr>
        <w:numPr>
          <w:ilvl w:val="0"/>
          <w:numId w:val="1004"/>
        </w:numPr>
        <w:pStyle w:val="Compact"/>
      </w:pPr>
      <w:r>
        <w:t xml:space="preserve">R08 (2601.00869): 1,909 English queries, 30 brands; 88.9% vs 58.3%; focal brand 65.6% vs 0% — MATCHES. Submitted 30 Dec 2025 → cite as 2025 (resolves date discrepancy). The</w:t>
      </w:r>
      <w:r>
        <w:t xml:space="preserve"> </w:t>
      </w:r>
      <w:r>
        <w:t xml:space="preserve">‘</w:t>
      </w:r>
      <w:r>
        <w:t xml:space="preserve">96.8% vs 31.2%</w:t>
      </w:r>
      <w:r>
        <w:t xml:space="preserve">’</w:t>
      </w:r>
      <w:r>
        <w:t xml:space="preserve"> </w:t>
      </w:r>
      <w:r>
        <w:t xml:space="preserve">Chinese-brand figure is body-text only (not re-verified) → do not quote in manuscript. Focal brand = authors’ employer (COI).</w:t>
      </w:r>
    </w:p>
    <w:p>
      <w:pPr>
        <w:numPr>
          <w:ilvl w:val="0"/>
          <w:numId w:val="1004"/>
        </w:numPr>
        <w:pStyle w:val="Compact"/>
      </w:pPr>
      <w:r>
        <w:t xml:space="preserve">R09 page range: ACL Anthology gives 12695–12702 (DOI 10.18653/v1/2024.emnlp-main.707). Chu &amp; Hou (R06) cite 12704–12721 → citation error in source. Corrected in register.</w:t>
      </w:r>
    </w:p>
    <w:bookmarkStart w:id="34" w:name="Xb591b6a19d1064cc804c55c62daf1bee60b9e0d"/>
    <w:p>
      <w:pPr>
        <w:pStyle w:val="Heading3"/>
      </w:pPr>
      <w:r>
        <w:t xml:space="preserve">Second round (after internal review), 15 Oct 2026</w:t>
      </w:r>
    </w:p>
    <w:p>
      <w:pPr>
        <w:numPr>
          <w:ilvl w:val="0"/>
          <w:numId w:val="1005"/>
        </w:numPr>
        <w:pStyle w:val="Compact"/>
      </w:pPr>
      <w:r>
        <w:t xml:space="preserve">R39 (Żatuchin 2026h, v2 HTML §3.2, §3.6, §4.2): Gini computed on RS = mean CIR (inclusion), not recommendation conditional on inclusion; recommendation Gini below size-benchmark Gini in every industry (e.g., SaaS 0.19 vs 0.81; consulting 0.23 vs 0.45); pooled Spearman RS–size rank 0.635 (47 brands with size figures); benchmark mixes audited revenue, recurring-revenue estimates and trade sources;</w:t>
      </w:r>
      <w:r>
        <w:t xml:space="preserve"> </w:t>
      </w:r>
      <w:r>
        <w:t xml:space="preserve">‘</w:t>
      </w:r>
      <w:r>
        <w:t xml:space="preserve">no test is applied</w:t>
      </w:r>
      <w:r>
        <w:t xml:space="preserve">’</w:t>
      </w:r>
      <w:r>
        <w:t xml:space="preserve">. v1 HTML (Feb only) reports mean Gini 0.28 and no size benchmark. Manuscript now uses this only as membership-stage, suggestive evidence. MATCH (v2).</w:t>
      </w:r>
    </w:p>
    <w:p>
      <w:pPr>
        <w:numPr>
          <w:ilvl w:val="0"/>
          <w:numId w:val="1005"/>
        </w:numPr>
        <w:pStyle w:val="Compact"/>
      </w:pPr>
      <w:r>
        <w:t xml:space="preserve">R79 (Pitenin 2608.07069, abstract): 4,776 venues; 96 queries; 2,208 responses; 85.6% never recommended (72.6% of ≥50 ratings); ORs review volume 1.64, website 1.92, price info 1.54, third-party mentions 1.44, rating 0.89 (entry); rating OR 1.17 (first position); Jaccard 0.33–0.54; test–retest. MATCH.</w:t>
      </w:r>
    </w:p>
    <w:p>
      <w:pPr>
        <w:numPr>
          <w:ilvl w:val="0"/>
          <w:numId w:val="1005"/>
        </w:numPr>
        <w:pStyle w:val="Compact"/>
      </w:pPr>
      <w:r>
        <w:t xml:space="preserve">R80 (Chen, Weng &amp; Moro 2607.06260, abstract): 304 neighbourhoods, 5 US cities, 320 profiles; 47.5% never recommended from fixed list; 31.9% shared blind spots; fabrication concentrated in neighbourhoods with weaker footprints; chain→independent shift from demand simulation. MATCH (manuscript wording corrected).</w:t>
      </w:r>
    </w:p>
    <w:p>
      <w:pPr>
        <w:numPr>
          <w:ilvl w:val="0"/>
          <w:numId w:val="1005"/>
        </w:numPr>
        <w:pStyle w:val="Compact"/>
      </w:pPr>
      <w:r>
        <w:t xml:space="preserve">R81 (Kireyev 2609.31468, HTML §3–6, App. E): brand = chain affiliation dummies (Hilton, Marriott, IHG, Hyatt, Wyndham vs independent); 11 of 23 engaged LLMs prefer all five chains (7 of 23 with neighbourhood controls). MATCH; eligibility (b) confirmed.</w:t>
      </w:r>
    </w:p>
    <w:p>
      <w:pPr>
        <w:numPr>
          <w:ilvl w:val="0"/>
          <w:numId w:val="1005"/>
        </w:numPr>
        <w:pStyle w:val="Compact"/>
      </w:pPr>
      <w:r>
        <w:t xml:space="preserve">R05 (Żatuchin 2026e, full text §4.4): +0.80 vs +0.15 on a 0–1 recommendation-share scale. MATCH (reviewer-verified).</w:t>
      </w:r>
    </w:p>
    <w:p>
      <w:pPr>
        <w:numPr>
          <w:ilvl w:val="0"/>
          <w:numId w:val="1005"/>
        </w:numPr>
        <w:pStyle w:val="Compact"/>
      </w:pPr>
      <w:r>
        <w:t xml:space="preserve">R09 page range: ACL Anthology record and BibTeX give 12695–12702. MATCH.</w:t>
      </w:r>
    </w:p>
    <w:p>
      <w:pPr>
        <w:numPr>
          <w:ilvl w:val="0"/>
          <w:numId w:val="1005"/>
        </w:numPr>
        <w:pStyle w:val="Compact"/>
      </w:pPr>
      <w:r>
        <w:t xml:space="preserve">R35 page range: ACL Anthology BibTeX gives 22397–22426; Crossref metadata gives 22408–22437. DISCREPANCY between publisher site and Crossref; manuscript follows the publisher’s (ACL Anthology) record.</w:t>
      </w:r>
    </w:p>
    <w:p>
      <w:pPr>
        <w:numPr>
          <w:ilvl w:val="0"/>
          <w:numId w:val="1005"/>
        </w:numPr>
        <w:pStyle w:val="Compact"/>
      </w:pPr>
      <w:r>
        <w:t xml:space="preserve">R07 (Paeng): coding corrected — Opus 54% → 0% under the combined injection (abstract). Not quoted numerically in manuscript.</w:t>
      </w:r>
    </w:p>
    <w:bookmarkEnd w:id="34"/>
    <w:bookmarkEnd w:id="35"/>
    <w:bookmarkStart w:id="36" w:name="charting-form-and-coding-rules"/>
    <w:p>
      <w:pPr>
        <w:pStyle w:val="Heading1"/>
      </w:pPr>
      <w:r>
        <w:t xml:space="preserve">7. Charting form and coding rules</w:t>
      </w:r>
    </w:p>
    <w:p>
      <w:pPr>
        <w:pStyle w:val="FirstParagraph"/>
      </w:pPr>
      <w:r>
        <w:t xml:space="preserve">Fields: record ID; citation; status; discipline; systems and versions; access mode and retrieval setting; dates; markets and languages; categories and brands; prompt types and numbers; repetitions; temperature; competitive set; metrics; benchmark; temporal design; data availability; principal findings; stated limitations; V1–V9 with justification; reading level (FT-manual, FT-secondary, abstract-level).</w:t>
      </w:r>
    </w:p>
    <w:p>
      <w:pPr>
        <w:pStyle w:val="BodyText"/>
      </w:pPr>
      <w:r>
        <w:t xml:space="preserve">Validity scoring rules after revision (deviation D7):</w:t>
      </w:r>
    </w:p>
    <w:p>
      <w:pPr>
        <w:numPr>
          <w:ilvl w:val="0"/>
          <w:numId w:val="1006"/>
        </w:numPr>
        <w:pStyle w:val="Compact"/>
      </w:pPr>
      <w:r>
        <w:rPr>
          <w:bCs/>
          <w:b/>
        </w:rPr>
        <w:t xml:space="preserve">V2:</w:t>
      </w:r>
      <w:r>
        <w:t xml:space="preserve"> </w:t>
      </w:r>
      <w:r>
        <w:t xml:space="preserve">Yes = at least 5 draws per prompt and condition for the main outcome, with variance reported. Partly = 2–4 draws, or at least 5 for a subset only, or draws across different users or locations. No = a single draw.</w:t>
      </w:r>
    </w:p>
    <w:p>
      <w:pPr>
        <w:numPr>
          <w:ilvl w:val="0"/>
          <w:numId w:val="1006"/>
        </w:numPr>
        <w:pStyle w:val="Compact"/>
      </w:pPr>
      <w:r>
        <w:rPr>
          <w:bCs/>
          <w:b/>
        </w:rPr>
        <w:t xml:space="preserve">V6:</w:t>
      </w:r>
      <w:r>
        <w:t xml:space="preserve"> </w:t>
      </w:r>
      <w:r>
        <w:t xml:space="preserve">Yes = an external brand or market benchmark (brand equity, revenue or market share). Partly = proxies such as stature tiers, prominence catalogues, domain authority or census attributes.</w:t>
      </w:r>
    </w:p>
    <w:p>
      <w:pPr>
        <w:numPr>
          <w:ilvl w:val="0"/>
          <w:numId w:val="1006"/>
        </w:numPr>
        <w:pStyle w:val="Compact"/>
      </w:pPr>
      <w:r>
        <w:rPr>
          <w:bCs/>
          <w:b/>
        </w:rPr>
        <w:t xml:space="preserve">V8:</w:t>
      </w:r>
      <w:r>
        <w:t xml:space="preserve"> </w:t>
      </w:r>
      <w:r>
        <w:t xml:space="preserve">availability of data, prompts and code only.</w:t>
      </w:r>
    </w:p>
    <w:p>
      <w:pPr>
        <w:numPr>
          <w:ilvl w:val="0"/>
          <w:numId w:val="1006"/>
        </w:numPr>
        <w:pStyle w:val="Compact"/>
      </w:pPr>
      <w:r>
        <w:rPr>
          <w:bCs/>
          <w:b/>
        </w:rPr>
        <w:t xml:space="preserve">V9:</w:t>
      </w:r>
      <w:r>
        <w:t xml:space="preserve"> </w:t>
      </w:r>
      <w:r>
        <w:t xml:space="preserve">Yes = extraction validated against human coding. Partly = alias lists, LLM-judge agreement or partial checks. NA = supplied-list or forced-choice designs.</w:t>
      </w:r>
    </w:p>
    <w:p>
      <w:pPr>
        <w:numPr>
          <w:ilvl w:val="0"/>
          <w:numId w:val="1006"/>
        </w:numPr>
        <w:pStyle w:val="Compact"/>
      </w:pPr>
      <w:r>
        <w:rPr>
          <w:bCs/>
          <w:b/>
        </w:rPr>
        <w:t xml:space="preserve">Summary score:</w:t>
      </w:r>
      <w:r>
        <w:t xml:space="preserve"> </w:t>
      </w:r>
      <w:r>
        <w:t xml:space="preserve">points (Yes = 2, Partly = 1) as a percentage of the applicable maximum. NR scores 0.</w:t>
      </w:r>
    </w:p>
    <w:bookmarkEnd w:id="36"/>
    <w:sectPr>
      <w:footerReference w:type="default" r:id="rId9"/>
      <w:pgSz w:h="16834" w:w="11909"/>
      <w:pgMar w:bottom="144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76"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76" w:lineRule="auto"/>
      <w:ind w:firstLine="720"/>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76"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0"/>
    </w:rPr>
  </w:style>
  <w:style w:styleId="Title" w:type="paragraph">
    <w:name w:val="Title"/>
    <w:basedOn w:val="Normal"/>
    <w:next w:val="BodyText"/>
    <w:qFormat/>
    <w:pPr>
      <w:keepNext/>
      <w:keepLines/>
      <w:spacing w:after="240" w:before="480"/>
      <w:jc w:val="center"/>
    </w:pPr>
    <w:rPr>
      <w:rFonts w:ascii="Times New Roman" w:cs="Times New Roman" w:eastAsia="Times New Roman" w:hAnsi="Times New Roman"/>
      <w:b/>
      <w:bCs/>
      <w:color w:val="000000"/>
      <w:sz w:val="32"/>
      <w:szCs w:val="36"/>
    </w:rPr>
  </w:style>
  <w:style w:styleId="Subtitle" w:type="paragraph">
    <w:name w:val="Subtitle"/>
    <w:basedOn w:val="Title"/>
    <w:next w:val="BodyText"/>
    <w:qFormat/>
    <w:pPr>
      <w:keepNext/>
      <w:keepLines/>
      <w:spacing w:after="240" w:before="240"/>
      <w:jc w:val="center"/>
    </w:pPr>
    <w:rPr>
      <w:rFonts w:ascii="Times New Roman" w:cs="Times New Roman" w:eastAsia="Times New Roman" w:hAnsi="Times New Roman"/>
      <w:color w:val="000000"/>
      <w:sz w:val="30"/>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jc w:val="center"/>
      <w:spacing w:after="0" w:before="300"/>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0" w:before="0" w:line="276" w:lineRule="auto"/>
    </w:pPr>
    <w:rPr>
      <w:rFonts w:ascii="Times New Roman" w:cs="Times New Roman" w:eastAsia="Times New Roman" w:hAnsi="Times New Roman"/>
      <w:color w:val="000000"/>
      <w:sz w:val="24"/>
      <w:szCs w:val="20"/>
    </w:rPr>
  </w:style>
  <w:style w:styleId="Bibliography" w:type="paragraph">
    <w:name w:val="Bibliography"/>
    <w:basedOn w:val="Normal"/>
    <w:next w:val="Bibliography"/>
    <w:qFormat/>
    <w:pPr>
      <w:spacing w:after="0" w:before="0" w:line="276" w:lineRule="auto"/>
      <w:ind w:hanging="720" w:left="720"/>
    </w:pPr>
    <w:rPr>
      <w:rFonts w:ascii="Times New Roman" w:cs="Times New Roman" w:eastAsia="Times New Roman" w:hAnsi="Times New Roman"/>
      <w:color w:val="000000"/>
      <w:sz w:val="24"/>
    </w:rPr>
  </w:style>
  <w:style w:styleId="Heading1" w:type="paragraph">
    <w:name w:val="Heading 1"/>
    <w:basedOn w:val="Normal"/>
    <w:next w:val="BodyText"/>
    <w:uiPriority w:val="9"/>
    <w:qFormat/>
    <w:pPr>
      <w:keepNext/>
      <w:keepLines/>
      <w:spacing w:after="120" w:before="360" w:line="240" w:lineRule="auto"/>
      <w:outlineLvl w:val="0"/>
    </w:pPr>
    <w:rPr>
      <w:rFonts w:ascii="Times New Roman" w:cs="Times New Roman" w:eastAsia="Times New Roman" w:hAnsi="Times New Roman"/>
      <w:b/>
      <w:bCs/>
      <w:color w:val="000000"/>
      <w:sz w:val="26"/>
      <w:szCs w:val="32"/>
    </w:rPr>
  </w:style>
  <w:style w:styleId="Heading2" w:type="paragraph">
    <w:name w:val="Heading 2"/>
    <w:basedOn w:val="Normal"/>
    <w:next w:val="BodyText"/>
    <w:uiPriority w:val="9"/>
    <w:unhideWhenUsed/>
    <w:qFormat/>
    <w:pPr>
      <w:keepNext/>
      <w:keepLines/>
      <w:spacing w:after="80" w:before="240" w:line="240" w:lineRule="auto"/>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40" w:before="200" w:line="240" w:lineRule="auto"/>
      <w:outlineLvl w:val="2"/>
    </w:pPr>
    <w:rPr>
      <w:rFonts w:ascii="Times New Roman" w:cs="Times New Roman" w:eastAsia="Times New Roman" w:hAnsi="Times New Roman"/>
      <w:b w:val="0"/>
      <w:bCs/>
      <w:i/>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cs="Times New Roman" w:eastAsia="Times New Roman" w:hAnsi="Times New Roman"/>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cs="Times New Roman" w:eastAsia="Times New Roman" w:hAnsi="Times New Roman"/>
      <w:color w:val="000000"/>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i w:val="0"/>
      <w:color w:val="000000"/>
      <w:sz w:val="20"/>
    </w:rPr>
  </w:style>
  <w:style w:customStyle="1" w:styleId="ImageCaption" w:type="paragraph">
    <w:name w:val="Image Caption"/>
    <w:basedOn w:val="Caption"/>
    <w:rPr>
      <w:rFonts w:ascii="Times New Roman" w:cs="Times New Roman" w:eastAsia="Times New Roman" w:hAnsi="Times New Roman"/>
      <w:i w:val="0"/>
      <w:color w:val="000000"/>
      <w:sz w:val="2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i w:val="0"/>
      <w:color w:val="000000"/>
      <w:sz w:val="20"/>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Methodology and Search Appendix (Online Appendix A)</dc:title>
  <dc:creator/>
  <cp:keywords/>
  <dcterms:created xsi:type="dcterms:W3CDTF">2026-10-15T08:18:13Z</dcterms:created>
  <dcterms:modified xsi:type="dcterms:W3CDTF">2026-10-15T08:18:13Z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Measuring brands in machine answers: A scoping review and validity framework for large language model brand-visibility audits</vt:lpwstr>
  </property>
</Properties>
</file>