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7DEAA" w14:textId="77777777" w:rsidR="00FE698D" w:rsidRDefault="00FE698D" w:rsidP="00FE698D">
      <w:pPr>
        <w:jc w:val="center"/>
        <w:rPr>
          <w:b/>
          <w:bCs/>
        </w:rPr>
      </w:pPr>
    </w:p>
    <w:p w14:paraId="54F8325B" w14:textId="77777777" w:rsidR="00FE698D" w:rsidRPr="00FE698D" w:rsidRDefault="00FE698D" w:rsidP="00FE698D">
      <w:pPr>
        <w:jc w:val="center"/>
        <w:rPr>
          <w:b/>
          <w:bCs/>
          <w:sz w:val="32"/>
          <w:szCs w:val="32"/>
          <w:lang w:val="en-US"/>
        </w:rPr>
      </w:pPr>
      <w:r w:rsidRPr="00FE698D">
        <w:rPr>
          <w:b/>
          <w:bCs/>
          <w:sz w:val="32"/>
          <w:szCs w:val="32"/>
          <w:lang w:val="en-US"/>
        </w:rPr>
        <w:t>Supplementary materials</w:t>
      </w:r>
    </w:p>
    <w:p w14:paraId="5A96152B" w14:textId="77777777" w:rsidR="00FE698D" w:rsidRPr="00FE698D" w:rsidRDefault="00FE698D" w:rsidP="00FE698D">
      <w:pPr>
        <w:jc w:val="center"/>
        <w:rPr>
          <w:b/>
          <w:bCs/>
          <w:lang w:val="en-US"/>
        </w:rPr>
      </w:pPr>
    </w:p>
    <w:p w14:paraId="4AB704BD" w14:textId="77777777" w:rsidR="00FE698D" w:rsidRPr="00FE698D" w:rsidRDefault="00FE698D" w:rsidP="00FE698D">
      <w:pPr>
        <w:jc w:val="center"/>
        <w:rPr>
          <w:b/>
          <w:bCs/>
          <w:lang w:val="en-US"/>
        </w:rPr>
      </w:pPr>
    </w:p>
    <w:p w14:paraId="6A3D92A3" w14:textId="77777777" w:rsidR="00FE698D" w:rsidRPr="00FE698D" w:rsidRDefault="00FE698D" w:rsidP="00FE698D">
      <w:pPr>
        <w:jc w:val="center"/>
        <w:rPr>
          <w:b/>
          <w:bCs/>
          <w:lang w:val="en-US"/>
        </w:rPr>
      </w:pPr>
    </w:p>
    <w:p w14:paraId="572F5819" w14:textId="77777777" w:rsidR="00FE698D" w:rsidRPr="00FE698D" w:rsidRDefault="00FE698D" w:rsidP="00FE698D">
      <w:pPr>
        <w:jc w:val="center"/>
        <w:rPr>
          <w:b/>
          <w:bCs/>
          <w:lang w:val="en-US"/>
        </w:rPr>
      </w:pPr>
    </w:p>
    <w:p w14:paraId="4E538B9A" w14:textId="77777777" w:rsidR="00FE698D" w:rsidRPr="00FE698D" w:rsidRDefault="00FE698D" w:rsidP="00FE698D">
      <w:pPr>
        <w:jc w:val="center"/>
        <w:rPr>
          <w:b/>
          <w:bCs/>
          <w:lang w:val="en-US"/>
        </w:rPr>
      </w:pPr>
    </w:p>
    <w:p w14:paraId="761F6896" w14:textId="77777777" w:rsidR="00FE698D" w:rsidRPr="00FE698D" w:rsidRDefault="00FE698D" w:rsidP="00FE698D">
      <w:pPr>
        <w:jc w:val="center"/>
        <w:rPr>
          <w:b/>
          <w:bCs/>
          <w:lang w:val="en-US"/>
        </w:rPr>
      </w:pPr>
    </w:p>
    <w:p w14:paraId="177D7D66" w14:textId="382A9D7D" w:rsidR="00FE698D" w:rsidRPr="0001567D" w:rsidRDefault="00FE698D" w:rsidP="00FE698D">
      <w:pPr>
        <w:pStyle w:val="Titre1"/>
        <w:spacing w:line="480" w:lineRule="auto"/>
        <w:jc w:val="center"/>
        <w:rPr>
          <w:rFonts w:ascii="Times New Roman" w:hAnsi="Times New Roman"/>
          <w:b w:val="0"/>
          <w:bCs w:val="0"/>
          <w:lang w:val="en-US"/>
        </w:rPr>
      </w:pPr>
      <w:r w:rsidRPr="00D26B52">
        <w:rPr>
          <w:rFonts w:ascii="Times New Roman" w:hAnsi="Times New Roman"/>
          <w:b w:val="0"/>
          <w:bCs w:val="0"/>
          <w:lang w:val="en-US"/>
        </w:rPr>
        <w:t>PPARβ/δ priming</w:t>
      </w:r>
      <w:r>
        <w:rPr>
          <w:lang w:val="en-US"/>
        </w:rPr>
        <w:t xml:space="preserve"> </w:t>
      </w:r>
      <w:r w:rsidRPr="00784E74">
        <w:rPr>
          <w:rFonts w:ascii="Times New Roman" w:hAnsi="Times New Roman"/>
          <w:b w:val="0"/>
          <w:bCs w:val="0"/>
          <w:lang w:val="en-US"/>
        </w:rPr>
        <w:t xml:space="preserve">enhances the anti-apoptotic and therapeutic properties of mesenchymal </w:t>
      </w:r>
      <w:r>
        <w:rPr>
          <w:rFonts w:ascii="Times New Roman" w:hAnsi="Times New Roman"/>
          <w:b w:val="0"/>
          <w:bCs w:val="0"/>
          <w:lang w:val="en-US"/>
        </w:rPr>
        <w:t>stromal</w:t>
      </w:r>
      <w:r w:rsidRPr="00784E74">
        <w:rPr>
          <w:rFonts w:ascii="Times New Roman" w:hAnsi="Times New Roman"/>
          <w:b w:val="0"/>
          <w:bCs w:val="0"/>
          <w:lang w:val="en-US"/>
        </w:rPr>
        <w:t xml:space="preserve"> cells in myocardial ischemia-reperfusion injury</w:t>
      </w:r>
    </w:p>
    <w:p w14:paraId="44405D97" w14:textId="3813D3BA" w:rsidR="00FE698D" w:rsidRPr="00784E74" w:rsidRDefault="00FE698D" w:rsidP="00FE698D">
      <w:pPr>
        <w:spacing w:line="480" w:lineRule="auto"/>
        <w:jc w:val="center"/>
        <w:rPr>
          <w:color w:val="FF0000"/>
          <w:sz w:val="26"/>
          <w:szCs w:val="26"/>
          <w:lang w:val="en-US"/>
        </w:rPr>
      </w:pPr>
      <w:r>
        <w:rPr>
          <w:b/>
          <w:bCs/>
          <w:i/>
          <w:lang w:val="en-US"/>
        </w:rPr>
        <w:t xml:space="preserve">By </w:t>
      </w:r>
    </w:p>
    <w:p w14:paraId="745331C9" w14:textId="77777777" w:rsidR="00FE698D" w:rsidRDefault="00FE698D" w:rsidP="00FE698D">
      <w:pPr>
        <w:spacing w:line="360" w:lineRule="auto"/>
        <w:jc w:val="center"/>
        <w:rPr>
          <w:lang w:val="en-US"/>
        </w:rPr>
      </w:pPr>
      <w:r w:rsidRPr="00C678DF">
        <w:rPr>
          <w:lang w:val="en-US"/>
        </w:rPr>
        <w:t>Charlotte Sarre</w:t>
      </w:r>
      <w:r w:rsidRPr="00C678DF">
        <w:rPr>
          <w:vertAlign w:val="superscript"/>
          <w:lang w:val="en-US"/>
        </w:rPr>
        <w:t>1,2</w:t>
      </w:r>
      <w:r>
        <w:rPr>
          <w:vertAlign w:val="superscript"/>
          <w:lang w:val="en-US"/>
        </w:rPr>
        <w:t>$</w:t>
      </w:r>
      <w:r w:rsidRPr="00C678DF">
        <w:rPr>
          <w:lang w:val="en-US"/>
        </w:rPr>
        <w:t xml:space="preserve">, </w:t>
      </w:r>
      <w:r w:rsidRPr="002835D4">
        <w:rPr>
          <w:lang w:val="en-US"/>
        </w:rPr>
        <w:t>Rafael Contreras</w:t>
      </w:r>
      <w:r>
        <w:rPr>
          <w:lang w:val="en-US"/>
        </w:rPr>
        <w:t>-Lopez</w:t>
      </w:r>
      <w:r w:rsidRPr="006C7320">
        <w:rPr>
          <w:vertAlign w:val="superscript"/>
          <w:lang w:val="en-US"/>
        </w:rPr>
        <w:t>1,2</w:t>
      </w:r>
      <w:r>
        <w:rPr>
          <w:vertAlign w:val="superscript"/>
          <w:lang w:val="en-US"/>
        </w:rPr>
        <w:t>$</w:t>
      </w:r>
      <w:r w:rsidRPr="00BF0356">
        <w:rPr>
          <w:lang w:val="en-US"/>
        </w:rPr>
        <w:t>,</w:t>
      </w:r>
      <w:r>
        <w:rPr>
          <w:vertAlign w:val="superscript"/>
          <w:lang w:val="en-US"/>
        </w:rPr>
        <w:t xml:space="preserve"> </w:t>
      </w:r>
      <w:proofErr w:type="spellStart"/>
      <w:r w:rsidRPr="002835D4">
        <w:rPr>
          <w:lang w:val="en-US"/>
        </w:rPr>
        <w:t>Nitirut</w:t>
      </w:r>
      <w:proofErr w:type="spellEnd"/>
      <w:r w:rsidRPr="002835D4">
        <w:rPr>
          <w:lang w:val="en-US"/>
        </w:rPr>
        <w:t xml:space="preserve"> Nerpernpisooth</w:t>
      </w:r>
      <w:r w:rsidRPr="002835D4">
        <w:rPr>
          <w:vertAlign w:val="superscript"/>
          <w:lang w:val="en-US"/>
        </w:rPr>
        <w:t>3</w:t>
      </w:r>
      <w:r w:rsidRPr="002835D4">
        <w:rPr>
          <w:lang w:val="en-US"/>
        </w:rPr>
        <w:t>,</w:t>
      </w:r>
      <w:r w:rsidRPr="002835D4">
        <w:rPr>
          <w:vertAlign w:val="superscript"/>
          <w:lang w:val="en-US"/>
        </w:rPr>
        <w:t xml:space="preserve"> </w:t>
      </w:r>
      <w:r w:rsidRPr="002835D4">
        <w:rPr>
          <w:lang w:val="en-US"/>
        </w:rPr>
        <w:t>Christian Barrere</w:t>
      </w:r>
      <w:r>
        <w:rPr>
          <w:vertAlign w:val="superscript"/>
          <w:lang w:val="en-US"/>
        </w:rPr>
        <w:t>1</w:t>
      </w:r>
      <w:r w:rsidRPr="002835D4">
        <w:rPr>
          <w:lang w:val="en-US"/>
        </w:rPr>
        <w:t>, Sarah Bahraoui</w:t>
      </w:r>
      <w:r w:rsidRPr="002835D4">
        <w:rPr>
          <w:vertAlign w:val="superscript"/>
          <w:lang w:val="en-US"/>
        </w:rPr>
        <w:t>2</w:t>
      </w:r>
      <w:r w:rsidRPr="002835D4">
        <w:rPr>
          <w:lang w:val="en-US"/>
        </w:rPr>
        <w:t>, Claudia Terraza</w:t>
      </w:r>
      <w:r w:rsidRPr="002835D4">
        <w:rPr>
          <w:vertAlign w:val="superscript"/>
          <w:lang w:val="en-US"/>
        </w:rPr>
        <w:t>2</w:t>
      </w:r>
      <w:r w:rsidRPr="002835D4">
        <w:rPr>
          <w:lang w:val="en-US"/>
        </w:rPr>
        <w:t>, Gautier Tejedor</w:t>
      </w:r>
      <w:r w:rsidRPr="002835D4">
        <w:rPr>
          <w:vertAlign w:val="superscript"/>
          <w:lang w:val="en-US"/>
        </w:rPr>
        <w:t>2</w:t>
      </w:r>
      <w:r w:rsidRPr="002835D4">
        <w:rPr>
          <w:lang w:val="en-US"/>
        </w:rPr>
        <w:t>, Anne Vincent</w:t>
      </w:r>
      <w:r w:rsidRPr="002835D4">
        <w:rPr>
          <w:vertAlign w:val="superscript"/>
          <w:lang w:val="en-US"/>
        </w:rPr>
        <w:t>1</w:t>
      </w:r>
      <w:r w:rsidRPr="002835D4">
        <w:rPr>
          <w:lang w:val="en-US"/>
        </w:rPr>
        <w:t>, Patricia Luz-Crawford</w:t>
      </w:r>
      <w:r>
        <w:rPr>
          <w:vertAlign w:val="superscript"/>
          <w:lang w:val="en-US"/>
        </w:rPr>
        <w:t>4,5</w:t>
      </w:r>
      <w:r w:rsidRPr="002835D4">
        <w:rPr>
          <w:lang w:val="en-US"/>
        </w:rPr>
        <w:t xml:space="preserve">, </w:t>
      </w:r>
      <w:proofErr w:type="spellStart"/>
      <w:r w:rsidRPr="002835D4">
        <w:rPr>
          <w:lang w:val="en-US"/>
        </w:rPr>
        <w:t>Kantapich</w:t>
      </w:r>
      <w:proofErr w:type="spellEnd"/>
      <w:r w:rsidRPr="002835D4">
        <w:rPr>
          <w:lang w:val="en-US"/>
        </w:rPr>
        <w:t xml:space="preserve"> Kongpol</w:t>
      </w:r>
      <w:r w:rsidRPr="002835D4">
        <w:rPr>
          <w:vertAlign w:val="superscript"/>
          <w:lang w:val="en-US"/>
        </w:rPr>
        <w:t>1,3</w:t>
      </w:r>
      <w:r w:rsidRPr="00155925">
        <w:rPr>
          <w:lang w:val="en-US"/>
        </w:rPr>
        <w:t>,</w:t>
      </w:r>
      <w:r w:rsidRPr="00C678DF">
        <w:rPr>
          <w:lang w:val="en-US"/>
        </w:rPr>
        <w:t xml:space="preserve"> </w:t>
      </w:r>
      <w:proofErr w:type="spellStart"/>
      <w:r>
        <w:rPr>
          <w:lang w:val="en-US"/>
        </w:rPr>
        <w:t>Sarawut</w:t>
      </w:r>
      <w:proofErr w:type="spellEnd"/>
      <w:r>
        <w:rPr>
          <w:lang w:val="en-US"/>
        </w:rPr>
        <w:t xml:space="preserve"> Kumphune</w:t>
      </w:r>
      <w:r>
        <w:rPr>
          <w:vertAlign w:val="superscript"/>
          <w:lang w:val="en-US"/>
        </w:rPr>
        <w:t>6</w:t>
      </w:r>
      <w:r>
        <w:rPr>
          <w:lang w:val="en-US"/>
        </w:rPr>
        <w:t xml:space="preserve">, </w:t>
      </w:r>
      <w:r w:rsidRPr="00C678DF">
        <w:rPr>
          <w:lang w:val="en-US"/>
        </w:rPr>
        <w:t>Christophe Piot</w:t>
      </w:r>
      <w:r>
        <w:rPr>
          <w:vertAlign w:val="superscript"/>
          <w:lang w:val="en-US"/>
        </w:rPr>
        <w:t>1,7</w:t>
      </w:r>
      <w:r w:rsidRPr="00C678DF">
        <w:rPr>
          <w:lang w:val="en-US"/>
        </w:rPr>
        <w:t>,</w:t>
      </w:r>
      <w:r w:rsidRPr="0001567D">
        <w:rPr>
          <w:lang w:val="en-US"/>
        </w:rPr>
        <w:t xml:space="preserve"> </w:t>
      </w:r>
      <w:r w:rsidRPr="00C678DF">
        <w:rPr>
          <w:lang w:val="en-US"/>
        </w:rPr>
        <w:t>Joel Nargeot</w:t>
      </w:r>
      <w:r>
        <w:rPr>
          <w:vertAlign w:val="superscript"/>
          <w:lang w:val="en-US"/>
        </w:rPr>
        <w:t>1</w:t>
      </w:r>
      <w:r w:rsidRPr="00C678DF">
        <w:rPr>
          <w:lang w:val="en-US"/>
        </w:rPr>
        <w:t>, Christian Jorgensen</w:t>
      </w:r>
      <w:r>
        <w:rPr>
          <w:vertAlign w:val="superscript"/>
          <w:lang w:val="en-US"/>
        </w:rPr>
        <w:t>2,8</w:t>
      </w:r>
      <w:r>
        <w:rPr>
          <w:lang w:val="en-US"/>
        </w:rPr>
        <w:t xml:space="preserve">, </w:t>
      </w:r>
      <w:r w:rsidRPr="00D42F58">
        <w:rPr>
          <w:lang w:val="en-US"/>
        </w:rPr>
        <w:t>Farida Djouad</w:t>
      </w:r>
      <w:proofErr w:type="gramStart"/>
      <w:r>
        <w:rPr>
          <w:vertAlign w:val="superscript"/>
          <w:lang w:val="en-US"/>
        </w:rPr>
        <w:t>2,#</w:t>
      </w:r>
      <w:proofErr w:type="gramEnd"/>
      <w:r w:rsidRPr="00C678DF">
        <w:rPr>
          <w:lang w:val="en-US"/>
        </w:rPr>
        <w:t xml:space="preserve">, </w:t>
      </w:r>
      <w:proofErr w:type="spellStart"/>
      <w:r w:rsidRPr="00C678DF">
        <w:rPr>
          <w:lang w:val="en-US"/>
        </w:rPr>
        <w:t>Stéphanie</w:t>
      </w:r>
      <w:proofErr w:type="spellEnd"/>
      <w:r w:rsidRPr="00C678DF">
        <w:rPr>
          <w:lang w:val="en-US"/>
        </w:rPr>
        <w:t xml:space="preserve"> Barrere-Lemaire</w:t>
      </w:r>
      <w:r>
        <w:rPr>
          <w:vertAlign w:val="superscript"/>
          <w:lang w:val="en-US"/>
        </w:rPr>
        <w:t>1,#</w:t>
      </w:r>
    </w:p>
    <w:p w14:paraId="36A9D43F" w14:textId="77777777" w:rsidR="00FE698D" w:rsidRPr="0001567D" w:rsidRDefault="00FE698D" w:rsidP="00FE698D">
      <w:pPr>
        <w:spacing w:line="360" w:lineRule="auto"/>
        <w:jc w:val="center"/>
        <w:rPr>
          <w:lang w:val="en-US"/>
        </w:rPr>
      </w:pPr>
      <w:r>
        <w:rPr>
          <w:vertAlign w:val="superscript"/>
          <w:lang w:val="en-US"/>
        </w:rPr>
        <w:t xml:space="preserve">$   </w:t>
      </w:r>
      <w:r w:rsidRPr="002835D4">
        <w:rPr>
          <w:lang w:val="en-US"/>
        </w:rPr>
        <w:t>Equally contributing</w:t>
      </w:r>
      <w:r>
        <w:rPr>
          <w:lang w:val="en-US"/>
        </w:rPr>
        <w:t xml:space="preserve"> first </w:t>
      </w:r>
      <w:proofErr w:type="gramStart"/>
      <w:r w:rsidRPr="002835D4">
        <w:rPr>
          <w:lang w:val="en-US"/>
        </w:rPr>
        <w:t>author</w:t>
      </w:r>
      <w:r>
        <w:rPr>
          <w:lang w:val="en-US"/>
        </w:rPr>
        <w:t xml:space="preserve">s; </w:t>
      </w:r>
      <w:r>
        <w:rPr>
          <w:vertAlign w:val="superscript"/>
          <w:lang w:val="en-US"/>
        </w:rPr>
        <w:t xml:space="preserve"> #</w:t>
      </w:r>
      <w:proofErr w:type="gramEnd"/>
      <w:r>
        <w:rPr>
          <w:vertAlign w:val="superscript"/>
          <w:lang w:val="en-US"/>
        </w:rPr>
        <w:t xml:space="preserve"> </w:t>
      </w:r>
      <w:r w:rsidRPr="002835D4">
        <w:rPr>
          <w:lang w:val="en-US"/>
        </w:rPr>
        <w:t xml:space="preserve">Equally contributing </w:t>
      </w:r>
      <w:r>
        <w:rPr>
          <w:lang w:val="en-US"/>
        </w:rPr>
        <w:t>corresponding authors</w:t>
      </w:r>
    </w:p>
    <w:p w14:paraId="3CD694B1" w14:textId="2C4041D7" w:rsidR="00FE698D" w:rsidRDefault="00FE698D">
      <w:pPr>
        <w:rPr>
          <w:b/>
          <w:bCs/>
          <w:lang w:val="en-US"/>
        </w:rPr>
      </w:pPr>
    </w:p>
    <w:p w14:paraId="7821C235" w14:textId="42245E7E" w:rsidR="00FE698D" w:rsidRDefault="00FE698D">
      <w:pPr>
        <w:rPr>
          <w:b/>
          <w:bCs/>
          <w:lang w:val="en-US"/>
        </w:rPr>
      </w:pPr>
    </w:p>
    <w:p w14:paraId="0849EFB4" w14:textId="77777777" w:rsidR="00FE698D" w:rsidRDefault="00FE698D">
      <w:pPr>
        <w:rPr>
          <w:b/>
          <w:bCs/>
          <w:lang w:val="en-US"/>
        </w:rPr>
      </w:pPr>
    </w:p>
    <w:p w14:paraId="6E49D4A2" w14:textId="77777777" w:rsidR="00FE698D" w:rsidRPr="00FE698D" w:rsidRDefault="00FE698D" w:rsidP="00FE698D">
      <w:pPr>
        <w:jc w:val="center"/>
        <w:rPr>
          <w:b/>
          <w:bCs/>
          <w:lang w:val="en-US"/>
        </w:rPr>
      </w:pPr>
    </w:p>
    <w:p w14:paraId="762F44BB" w14:textId="77777777" w:rsidR="00FE698D" w:rsidRPr="00FE698D" w:rsidRDefault="00FE698D" w:rsidP="00FE698D">
      <w:pPr>
        <w:jc w:val="center"/>
        <w:rPr>
          <w:b/>
          <w:bCs/>
          <w:lang w:val="en-US"/>
        </w:rPr>
      </w:pPr>
    </w:p>
    <w:p w14:paraId="29133D2B" w14:textId="55CB050B" w:rsidR="009F03C9" w:rsidRDefault="00461EBB" w:rsidP="006719CC">
      <w:pPr>
        <w:spacing w:line="480" w:lineRule="auto"/>
        <w:rPr>
          <w:b/>
          <w:bCs/>
          <w:lang w:val="en-US"/>
        </w:rPr>
      </w:pPr>
      <w:r>
        <w:rPr>
          <w:b/>
          <w:bCs/>
          <w:lang w:val="en-US"/>
        </w:rPr>
        <w:br w:type="page"/>
      </w:r>
    </w:p>
    <w:p w14:paraId="048EA170" w14:textId="4086F5C2" w:rsidR="009F03C9" w:rsidRDefault="009F03C9" w:rsidP="00FE698D">
      <w:pPr>
        <w:jc w:val="center"/>
        <w:rPr>
          <w:b/>
          <w:bCs/>
          <w:lang w:val="en-US"/>
        </w:rPr>
      </w:pPr>
    </w:p>
    <w:p w14:paraId="6ED3EA2D" w14:textId="5565E174" w:rsidR="009F03C9" w:rsidRDefault="009F03C9" w:rsidP="009F03C9">
      <w:pPr>
        <w:jc w:val="center"/>
        <w:rPr>
          <w:b/>
          <w:bCs/>
          <w:lang w:val="en-US"/>
        </w:rPr>
      </w:pPr>
      <w:r>
        <w:rPr>
          <w:b/>
          <w:bCs/>
          <w:lang w:val="en-US"/>
        </w:rPr>
        <w:t>Supplementary figures</w:t>
      </w:r>
    </w:p>
    <w:p w14:paraId="77F4D316" w14:textId="35A793EB" w:rsidR="00FE698D" w:rsidRPr="00FE698D" w:rsidRDefault="00FE698D" w:rsidP="00FE698D">
      <w:pPr>
        <w:jc w:val="center"/>
        <w:rPr>
          <w:b/>
          <w:bCs/>
          <w:lang w:val="en-US"/>
        </w:rPr>
      </w:pPr>
    </w:p>
    <w:p w14:paraId="0652E257" w14:textId="77777777" w:rsidR="00FE698D" w:rsidRPr="00FE698D" w:rsidRDefault="00FE698D" w:rsidP="00FE698D">
      <w:pPr>
        <w:rPr>
          <w:u w:val="single"/>
          <w:lang w:val="en-US"/>
        </w:rPr>
      </w:pPr>
    </w:p>
    <w:p w14:paraId="34C1D416" w14:textId="78E26D6B" w:rsidR="00FE698D" w:rsidRDefault="009F03C9" w:rsidP="00FE698D">
      <w:pPr>
        <w:spacing w:line="480" w:lineRule="auto"/>
        <w:jc w:val="both"/>
        <w:rPr>
          <w:b/>
          <w:u w:val="single"/>
          <w:lang w:val="en-US"/>
        </w:rPr>
      </w:pPr>
      <w:r w:rsidRPr="00AC0359">
        <w:rPr>
          <w:b/>
          <w:bCs/>
          <w:noProof/>
        </w:rPr>
        <w:drawing>
          <wp:anchor distT="0" distB="0" distL="114300" distR="114300" simplePos="0" relativeHeight="251660288" behindDoc="1" locked="0" layoutInCell="1" allowOverlap="1" wp14:anchorId="0FAFA113" wp14:editId="246FCD82">
            <wp:simplePos x="0" y="0"/>
            <wp:positionH relativeFrom="column">
              <wp:posOffset>401955</wp:posOffset>
            </wp:positionH>
            <wp:positionV relativeFrom="paragraph">
              <wp:posOffset>144780</wp:posOffset>
            </wp:positionV>
            <wp:extent cx="4632960" cy="5768340"/>
            <wp:effectExtent l="0" t="0" r="2540" b="0"/>
            <wp:wrapTight wrapText="bothSides">
              <wp:wrapPolygon edited="0">
                <wp:start x="474" y="285"/>
                <wp:lineTo x="237" y="1141"/>
                <wp:lineTo x="237" y="5659"/>
                <wp:lineTo x="16164" y="5707"/>
                <wp:lineTo x="10836" y="6468"/>
                <wp:lineTo x="414" y="6563"/>
                <wp:lineTo x="414" y="7038"/>
                <wp:lineTo x="10776" y="7229"/>
                <wp:lineTo x="1007" y="7514"/>
                <wp:lineTo x="1007" y="12507"/>
                <wp:lineTo x="1184" y="12555"/>
                <wp:lineTo x="6039" y="12602"/>
                <wp:lineTo x="6039" y="12935"/>
                <wp:lineTo x="10776" y="13316"/>
                <wp:lineTo x="4974" y="13601"/>
                <wp:lineTo x="4974" y="14077"/>
                <wp:lineTo x="4086" y="14172"/>
                <wp:lineTo x="4086" y="15598"/>
                <wp:lineTo x="1243" y="16026"/>
                <wp:lineTo x="947" y="16122"/>
                <wp:lineTo x="1007" y="21067"/>
                <wp:lineTo x="4441" y="21495"/>
                <wp:lineTo x="5388" y="21543"/>
                <wp:lineTo x="5625" y="21543"/>
                <wp:lineTo x="16993" y="21495"/>
                <wp:lineTo x="17645" y="21353"/>
                <wp:lineTo x="17112" y="20925"/>
                <wp:lineTo x="18296" y="20925"/>
                <wp:lineTo x="18474" y="20782"/>
                <wp:lineTo x="18059" y="20164"/>
                <wp:lineTo x="18059" y="17881"/>
                <wp:lineTo x="19066" y="17881"/>
                <wp:lineTo x="21493" y="17358"/>
                <wp:lineTo x="21553" y="16502"/>
                <wp:lineTo x="20724" y="16359"/>
                <wp:lineTo x="17704" y="16359"/>
                <wp:lineTo x="17822" y="14219"/>
                <wp:lineTo x="17230" y="14077"/>
                <wp:lineTo x="17230" y="13554"/>
                <wp:lineTo x="10717" y="13316"/>
                <wp:lineTo x="10717" y="12555"/>
                <wp:lineTo x="8763" y="11794"/>
                <wp:lineTo x="8882" y="10653"/>
                <wp:lineTo x="8053" y="10557"/>
                <wp:lineTo x="3849" y="10272"/>
                <wp:lineTo x="3849" y="9511"/>
                <wp:lineTo x="5270" y="9511"/>
                <wp:lineTo x="12612" y="8893"/>
                <wp:lineTo x="12434" y="7989"/>
                <wp:lineTo x="11250" y="7419"/>
                <wp:lineTo x="10717" y="7229"/>
                <wp:lineTo x="10776" y="6468"/>
                <wp:lineTo x="21553" y="5754"/>
                <wp:lineTo x="21553" y="1189"/>
                <wp:lineTo x="21316" y="1141"/>
                <wp:lineTo x="16283" y="1094"/>
                <wp:lineTo x="8645" y="761"/>
                <wp:lineTo x="829" y="285"/>
                <wp:lineTo x="474" y="285"/>
              </wp:wrapPolygon>
            </wp:wrapTight>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4632960" cy="5768340"/>
                    </a:xfrm>
                    <a:prstGeom prst="rect">
                      <a:avLst/>
                    </a:prstGeom>
                  </pic:spPr>
                </pic:pic>
              </a:graphicData>
            </a:graphic>
            <wp14:sizeRelH relativeFrom="margin">
              <wp14:pctWidth>0</wp14:pctWidth>
            </wp14:sizeRelH>
            <wp14:sizeRelV relativeFrom="margin">
              <wp14:pctHeight>0</wp14:pctHeight>
            </wp14:sizeRelV>
          </wp:anchor>
        </w:drawing>
      </w:r>
    </w:p>
    <w:p w14:paraId="0AF2177A" w14:textId="77777777" w:rsidR="00FE698D" w:rsidRDefault="00FE698D" w:rsidP="00FE698D">
      <w:pPr>
        <w:spacing w:line="480" w:lineRule="auto"/>
        <w:jc w:val="both"/>
        <w:rPr>
          <w:b/>
          <w:u w:val="single"/>
          <w:lang w:val="en-US"/>
        </w:rPr>
      </w:pPr>
    </w:p>
    <w:p w14:paraId="047B61BD" w14:textId="77777777" w:rsidR="00FE698D" w:rsidRDefault="00FE698D" w:rsidP="00FE698D">
      <w:pPr>
        <w:spacing w:line="480" w:lineRule="auto"/>
        <w:jc w:val="both"/>
        <w:rPr>
          <w:b/>
          <w:u w:val="single"/>
          <w:lang w:val="en-US"/>
        </w:rPr>
      </w:pPr>
    </w:p>
    <w:p w14:paraId="0C614EE7" w14:textId="77777777" w:rsidR="00FE698D" w:rsidRDefault="00FE698D" w:rsidP="00FE698D">
      <w:pPr>
        <w:spacing w:line="480" w:lineRule="auto"/>
        <w:jc w:val="both"/>
        <w:rPr>
          <w:b/>
          <w:u w:val="single"/>
          <w:lang w:val="en-US"/>
        </w:rPr>
      </w:pPr>
    </w:p>
    <w:p w14:paraId="0C1CB316" w14:textId="77777777" w:rsidR="00FE698D" w:rsidRDefault="00FE698D" w:rsidP="00FE698D">
      <w:pPr>
        <w:spacing w:line="480" w:lineRule="auto"/>
        <w:jc w:val="both"/>
        <w:rPr>
          <w:b/>
          <w:u w:val="single"/>
          <w:lang w:val="en-US"/>
        </w:rPr>
      </w:pPr>
    </w:p>
    <w:p w14:paraId="440F0B30" w14:textId="77777777" w:rsidR="00FE698D" w:rsidRDefault="00FE698D" w:rsidP="00FE698D">
      <w:pPr>
        <w:spacing w:line="480" w:lineRule="auto"/>
        <w:jc w:val="both"/>
        <w:rPr>
          <w:b/>
          <w:u w:val="single"/>
          <w:lang w:val="en-US"/>
        </w:rPr>
      </w:pPr>
    </w:p>
    <w:p w14:paraId="102D131F" w14:textId="77777777" w:rsidR="00FE698D" w:rsidRDefault="00FE698D" w:rsidP="00FE698D">
      <w:pPr>
        <w:spacing w:line="480" w:lineRule="auto"/>
        <w:jc w:val="both"/>
        <w:rPr>
          <w:b/>
          <w:u w:val="single"/>
          <w:lang w:val="en-US"/>
        </w:rPr>
      </w:pPr>
    </w:p>
    <w:p w14:paraId="2C434835" w14:textId="77777777" w:rsidR="00FE698D" w:rsidRDefault="00FE698D" w:rsidP="00FE698D">
      <w:pPr>
        <w:spacing w:line="480" w:lineRule="auto"/>
        <w:jc w:val="both"/>
        <w:rPr>
          <w:b/>
          <w:u w:val="single"/>
          <w:lang w:val="en-US"/>
        </w:rPr>
      </w:pPr>
    </w:p>
    <w:p w14:paraId="2C35D8B8" w14:textId="77777777" w:rsidR="00FE698D" w:rsidRDefault="00FE698D" w:rsidP="00FE698D">
      <w:pPr>
        <w:spacing w:line="480" w:lineRule="auto"/>
        <w:jc w:val="both"/>
        <w:rPr>
          <w:b/>
          <w:u w:val="single"/>
          <w:lang w:val="en-US"/>
        </w:rPr>
      </w:pPr>
    </w:p>
    <w:p w14:paraId="28C7DEEA" w14:textId="77777777" w:rsidR="00FE698D" w:rsidRDefault="00FE698D" w:rsidP="00FE698D">
      <w:pPr>
        <w:spacing w:line="480" w:lineRule="auto"/>
        <w:jc w:val="both"/>
        <w:rPr>
          <w:b/>
          <w:u w:val="single"/>
          <w:lang w:val="en-US"/>
        </w:rPr>
      </w:pPr>
    </w:p>
    <w:p w14:paraId="16BF8935" w14:textId="77777777" w:rsidR="00FE698D" w:rsidRDefault="00FE698D" w:rsidP="00FE698D">
      <w:pPr>
        <w:spacing w:line="480" w:lineRule="auto"/>
        <w:jc w:val="both"/>
        <w:rPr>
          <w:b/>
          <w:u w:val="single"/>
          <w:lang w:val="en-US"/>
        </w:rPr>
      </w:pPr>
    </w:p>
    <w:p w14:paraId="4CFF73B2" w14:textId="77777777" w:rsidR="00FE698D" w:rsidRDefault="00FE698D" w:rsidP="00FE698D">
      <w:pPr>
        <w:spacing w:line="480" w:lineRule="auto"/>
        <w:jc w:val="both"/>
        <w:rPr>
          <w:b/>
          <w:u w:val="single"/>
          <w:lang w:val="en-US"/>
        </w:rPr>
      </w:pPr>
    </w:p>
    <w:p w14:paraId="7F064B67" w14:textId="77777777" w:rsidR="00FE698D" w:rsidRDefault="00FE698D" w:rsidP="00FE698D">
      <w:pPr>
        <w:spacing w:line="480" w:lineRule="auto"/>
        <w:jc w:val="both"/>
        <w:rPr>
          <w:b/>
          <w:u w:val="single"/>
          <w:lang w:val="en-US"/>
        </w:rPr>
      </w:pPr>
    </w:p>
    <w:p w14:paraId="2F87A328" w14:textId="77777777" w:rsidR="00FE698D" w:rsidRDefault="00FE698D" w:rsidP="00FE698D">
      <w:pPr>
        <w:spacing w:line="480" w:lineRule="auto"/>
        <w:jc w:val="both"/>
        <w:rPr>
          <w:b/>
          <w:u w:val="single"/>
          <w:lang w:val="en-US"/>
        </w:rPr>
      </w:pPr>
    </w:p>
    <w:p w14:paraId="018B0F60" w14:textId="77777777" w:rsidR="00FE698D" w:rsidRDefault="00FE698D" w:rsidP="00FE698D">
      <w:pPr>
        <w:spacing w:line="480" w:lineRule="auto"/>
        <w:jc w:val="both"/>
        <w:rPr>
          <w:b/>
          <w:u w:val="single"/>
          <w:lang w:val="en-US"/>
        </w:rPr>
      </w:pPr>
    </w:p>
    <w:p w14:paraId="4ED9812F" w14:textId="77777777" w:rsidR="00FE698D" w:rsidRDefault="00FE698D" w:rsidP="00FE698D">
      <w:pPr>
        <w:spacing w:line="480" w:lineRule="auto"/>
        <w:jc w:val="both"/>
        <w:rPr>
          <w:b/>
          <w:u w:val="single"/>
          <w:lang w:val="en-US"/>
        </w:rPr>
      </w:pPr>
    </w:p>
    <w:p w14:paraId="2AF4C88A" w14:textId="77777777" w:rsidR="009F03C9" w:rsidRDefault="009F03C9" w:rsidP="00FE698D">
      <w:pPr>
        <w:spacing w:line="480" w:lineRule="auto"/>
        <w:jc w:val="both"/>
        <w:rPr>
          <w:b/>
          <w:u w:val="single"/>
          <w:lang w:val="en-US"/>
        </w:rPr>
      </w:pPr>
    </w:p>
    <w:p w14:paraId="1A03F7FA" w14:textId="77777777" w:rsidR="009F03C9" w:rsidRDefault="009F03C9" w:rsidP="00FE698D">
      <w:pPr>
        <w:spacing w:line="480" w:lineRule="auto"/>
        <w:jc w:val="both"/>
        <w:rPr>
          <w:b/>
          <w:u w:val="single"/>
          <w:lang w:val="en-US"/>
        </w:rPr>
      </w:pPr>
    </w:p>
    <w:p w14:paraId="2133CBEC" w14:textId="0BBE2E54" w:rsidR="00FE698D" w:rsidRPr="006E3021" w:rsidRDefault="00FE698D" w:rsidP="00FE698D">
      <w:pPr>
        <w:spacing w:line="480" w:lineRule="auto"/>
        <w:jc w:val="both"/>
        <w:rPr>
          <w:rStyle w:val="captions"/>
          <w:lang w:val="en-US"/>
        </w:rPr>
      </w:pPr>
      <w:r w:rsidRPr="00AC0359">
        <w:rPr>
          <w:b/>
          <w:u w:val="single"/>
          <w:lang w:val="en-US"/>
        </w:rPr>
        <w:t>Supplementary Figure 1.</w:t>
      </w:r>
      <w:r w:rsidRPr="006E3021">
        <w:rPr>
          <w:lang w:val="en-US"/>
        </w:rPr>
        <w:t xml:space="preserve"> </w:t>
      </w:r>
      <w:r w:rsidRPr="006E3021">
        <w:rPr>
          <w:b/>
          <w:bCs/>
          <w:lang w:val="en-US"/>
        </w:rPr>
        <w:t>Characterization of murine MSC derived from the bone marrow of C57BL/6 mice.</w:t>
      </w:r>
      <w:r w:rsidRPr="006E3021">
        <w:rPr>
          <w:rFonts w:eastAsia="TimesNewRoman"/>
          <w:lang w:val="en-US"/>
        </w:rPr>
        <w:t xml:space="preserve"> (</w:t>
      </w:r>
      <w:r w:rsidRPr="006E3021">
        <w:rPr>
          <w:rFonts w:eastAsia="TimesNewRoman"/>
          <w:b/>
          <w:lang w:val="en-US"/>
        </w:rPr>
        <w:t>A</w:t>
      </w:r>
      <w:r w:rsidRPr="006E3021">
        <w:rPr>
          <w:rFonts w:eastAsia="TimesNewRoman"/>
          <w:lang w:val="en-US"/>
        </w:rPr>
        <w:t>) Phenotype of MSCs was assessed by flow cytometry.</w:t>
      </w:r>
      <w:r w:rsidRPr="006E3021">
        <w:rPr>
          <w:lang w:val="en-US"/>
        </w:rPr>
        <w:t xml:space="preserve"> </w:t>
      </w:r>
      <w:r w:rsidRPr="006E3021">
        <w:rPr>
          <w:rStyle w:val="captions"/>
          <w:lang w:val="en-US"/>
        </w:rPr>
        <w:t>Differentiation potential of MSC. (</w:t>
      </w:r>
      <w:r w:rsidRPr="006E3021">
        <w:rPr>
          <w:rStyle w:val="captions"/>
          <w:b/>
          <w:lang w:val="en-US"/>
        </w:rPr>
        <w:t>B</w:t>
      </w:r>
      <w:r w:rsidRPr="006E3021">
        <w:rPr>
          <w:rStyle w:val="captions"/>
          <w:lang w:val="en-US"/>
        </w:rPr>
        <w:t xml:space="preserve">) The chondrogenic differentiation of MSC was assessed by RT-qPCR to measure the relative expression of </w:t>
      </w:r>
      <w:r w:rsidRPr="006E3021">
        <w:rPr>
          <w:rStyle w:val="captions"/>
          <w:i/>
          <w:iCs/>
          <w:lang w:val="en-US"/>
        </w:rPr>
        <w:t>collagen type II</w:t>
      </w:r>
      <w:r w:rsidRPr="006E3021">
        <w:rPr>
          <w:rStyle w:val="captions"/>
          <w:lang w:val="en-US"/>
        </w:rPr>
        <w:t xml:space="preserve"> (</w:t>
      </w:r>
      <w:r w:rsidRPr="006E3021">
        <w:rPr>
          <w:rStyle w:val="captions"/>
          <w:i/>
          <w:iCs/>
          <w:lang w:val="en-US"/>
        </w:rPr>
        <w:t>Col2</w:t>
      </w:r>
      <w:r w:rsidRPr="006E3021">
        <w:rPr>
          <w:rStyle w:val="captions"/>
          <w:lang w:val="en-US"/>
        </w:rPr>
        <w:t xml:space="preserve">) a marker characteristic of chondrocytes. The </w:t>
      </w:r>
      <w:proofErr w:type="spellStart"/>
      <w:r w:rsidRPr="006E3021">
        <w:rPr>
          <w:rStyle w:val="captions"/>
          <w:lang w:val="en-US"/>
        </w:rPr>
        <w:t>adipogenic</w:t>
      </w:r>
      <w:proofErr w:type="spellEnd"/>
      <w:r w:rsidRPr="006E3021">
        <w:rPr>
          <w:rStyle w:val="captions"/>
          <w:lang w:val="en-US"/>
        </w:rPr>
        <w:t xml:space="preserve"> potential of MSC was evaluated by RT-qPCR </w:t>
      </w:r>
      <w:r w:rsidRPr="006E3021">
        <w:rPr>
          <w:rStyle w:val="captions"/>
          <w:lang w:val="en-US"/>
        </w:rPr>
        <w:lastRenderedPageBreak/>
        <w:t xml:space="preserve">to measure the relative expression of </w:t>
      </w:r>
      <w:proofErr w:type="spellStart"/>
      <w:r w:rsidRPr="006E3021">
        <w:rPr>
          <w:rStyle w:val="captions"/>
          <w:i/>
          <w:iCs/>
          <w:lang w:val="en-US"/>
        </w:rPr>
        <w:t>lpl</w:t>
      </w:r>
      <w:proofErr w:type="spellEnd"/>
      <w:r w:rsidRPr="006E3021">
        <w:rPr>
          <w:rStyle w:val="captions"/>
          <w:lang w:val="en-US"/>
        </w:rPr>
        <w:t xml:space="preserve"> and </w:t>
      </w:r>
      <w:proofErr w:type="spellStart"/>
      <w:r w:rsidRPr="006E3021">
        <w:rPr>
          <w:rStyle w:val="captions"/>
          <w:i/>
          <w:iCs/>
          <w:lang w:val="en-US"/>
        </w:rPr>
        <w:t>ppar</w:t>
      </w:r>
      <w:proofErr w:type="spellEnd"/>
      <w:r w:rsidRPr="006E3021">
        <w:rPr>
          <w:rStyle w:val="captions"/>
          <w:i/>
          <w:iCs/>
          <w:lang w:val="en-US"/>
        </w:rPr>
        <w:sym w:font="Symbol" w:char="F067"/>
      </w:r>
      <w:r w:rsidRPr="006E3021">
        <w:rPr>
          <w:rStyle w:val="captions"/>
          <w:lang w:val="en-US"/>
        </w:rPr>
        <w:t xml:space="preserve">, markers characteristic of adipocytes, and by the visualization of lipid droplets by phase contrast microscopy at day 14 of the differentiation process. Finally, the osteogenic differentiation potential of MSC was evaluated by RT-qPCR to measure the relative expression of </w:t>
      </w:r>
      <w:r w:rsidRPr="006E3021">
        <w:rPr>
          <w:rStyle w:val="captions"/>
          <w:i/>
          <w:iCs/>
          <w:lang w:val="en-US"/>
        </w:rPr>
        <w:t>osteocalcin</w:t>
      </w:r>
      <w:r w:rsidRPr="006E3021">
        <w:rPr>
          <w:rStyle w:val="captions"/>
          <w:lang w:val="en-US"/>
        </w:rPr>
        <w:t xml:space="preserve"> (</w:t>
      </w:r>
      <w:proofErr w:type="spellStart"/>
      <w:r w:rsidRPr="006E3021">
        <w:rPr>
          <w:rStyle w:val="captions"/>
          <w:i/>
          <w:iCs/>
          <w:lang w:val="en-US"/>
        </w:rPr>
        <w:t>oc</w:t>
      </w:r>
      <w:proofErr w:type="spellEnd"/>
      <w:r w:rsidRPr="006E3021">
        <w:rPr>
          <w:rStyle w:val="captions"/>
          <w:lang w:val="en-US"/>
        </w:rPr>
        <w:t xml:space="preserve">) and </w:t>
      </w:r>
      <w:r w:rsidRPr="006E3021">
        <w:rPr>
          <w:rStyle w:val="captions"/>
          <w:i/>
          <w:iCs/>
          <w:lang w:val="en-US"/>
        </w:rPr>
        <w:t>alkaline phosphatase</w:t>
      </w:r>
      <w:r w:rsidRPr="006E3021">
        <w:rPr>
          <w:rStyle w:val="captions"/>
          <w:lang w:val="en-US"/>
        </w:rPr>
        <w:t xml:space="preserve"> (</w:t>
      </w:r>
      <w:r w:rsidRPr="006E3021">
        <w:rPr>
          <w:rStyle w:val="captions"/>
          <w:i/>
          <w:iCs/>
          <w:lang w:val="en-US"/>
        </w:rPr>
        <w:t>alp</w:t>
      </w:r>
      <w:r w:rsidRPr="006E3021">
        <w:rPr>
          <w:rStyle w:val="captions"/>
          <w:lang w:val="en-US"/>
        </w:rPr>
        <w:t xml:space="preserve">), markers characteristic of osteoblasts, and by Alizarin Red S positive staining.  </w:t>
      </w:r>
    </w:p>
    <w:p w14:paraId="5B22E078" w14:textId="6BAE5611" w:rsidR="00FE698D" w:rsidRDefault="00FE698D">
      <w:pPr>
        <w:rPr>
          <w:lang w:val="en-US"/>
        </w:rPr>
      </w:pPr>
      <w:r>
        <w:rPr>
          <w:lang w:val="en-US"/>
        </w:rPr>
        <w:br w:type="page"/>
      </w:r>
    </w:p>
    <w:p w14:paraId="1A28BFAA" w14:textId="77777777" w:rsidR="00FE698D" w:rsidRPr="00AC0359" w:rsidRDefault="00FE698D" w:rsidP="00FE698D">
      <w:pPr>
        <w:rPr>
          <w:lang w:val="en-US"/>
        </w:rPr>
      </w:pPr>
    </w:p>
    <w:p w14:paraId="640A3D39" w14:textId="77777777" w:rsidR="00FE698D" w:rsidRPr="00AC0359" w:rsidRDefault="00FE698D" w:rsidP="00FE698D">
      <w:pPr>
        <w:rPr>
          <w:lang w:val="en-US"/>
        </w:rPr>
      </w:pPr>
      <w:r w:rsidRPr="00AC0359">
        <w:rPr>
          <w:noProof/>
        </w:rPr>
        <w:drawing>
          <wp:anchor distT="0" distB="0" distL="114300" distR="114300" simplePos="0" relativeHeight="251659264" behindDoc="1" locked="0" layoutInCell="1" allowOverlap="1" wp14:anchorId="599910E8" wp14:editId="602A8259">
            <wp:simplePos x="0" y="0"/>
            <wp:positionH relativeFrom="column">
              <wp:posOffset>1108075</wp:posOffset>
            </wp:positionH>
            <wp:positionV relativeFrom="paragraph">
              <wp:posOffset>149052</wp:posOffset>
            </wp:positionV>
            <wp:extent cx="3531600" cy="3823200"/>
            <wp:effectExtent l="0" t="0" r="0" b="0"/>
            <wp:wrapTight wrapText="bothSides">
              <wp:wrapPolygon edited="0">
                <wp:start x="4117" y="3445"/>
                <wp:lineTo x="3884" y="4736"/>
                <wp:lineTo x="4040" y="7965"/>
                <wp:lineTo x="4583" y="8181"/>
                <wp:lineTo x="3884" y="8468"/>
                <wp:lineTo x="3884" y="11769"/>
                <wp:lineTo x="4195" y="13922"/>
                <wp:lineTo x="3884" y="14065"/>
                <wp:lineTo x="4350" y="14711"/>
                <wp:lineTo x="10798" y="15070"/>
                <wp:lineTo x="4894" y="15142"/>
                <wp:lineTo x="4894" y="15859"/>
                <wp:lineTo x="10798" y="16218"/>
                <wp:lineTo x="544" y="16361"/>
                <wp:lineTo x="544" y="17079"/>
                <wp:lineTo x="10798" y="17366"/>
                <wp:lineTo x="466" y="17510"/>
                <wp:lineTo x="466" y="18227"/>
                <wp:lineTo x="10798" y="18514"/>
                <wp:lineTo x="544" y="18586"/>
                <wp:lineTo x="621" y="19304"/>
                <wp:lineTo x="18644" y="19662"/>
                <wp:lineTo x="621" y="19662"/>
                <wp:lineTo x="544" y="20380"/>
                <wp:lineTo x="5360" y="20524"/>
                <wp:lineTo x="5826" y="20524"/>
                <wp:lineTo x="18411" y="20380"/>
                <wp:lineTo x="19421" y="20308"/>
                <wp:lineTo x="19033" y="19662"/>
                <wp:lineTo x="19421" y="18873"/>
                <wp:lineTo x="16624" y="18514"/>
                <wp:lineTo x="10798" y="18514"/>
                <wp:lineTo x="19421" y="17797"/>
                <wp:lineTo x="19421" y="17438"/>
                <wp:lineTo x="10798" y="17366"/>
                <wp:lineTo x="19421" y="16720"/>
                <wp:lineTo x="19421" y="16577"/>
                <wp:lineTo x="10798" y="16218"/>
                <wp:lineTo x="19266" y="15931"/>
                <wp:lineTo x="19266" y="15070"/>
                <wp:lineTo x="10798" y="15070"/>
                <wp:lineTo x="20275" y="14352"/>
                <wp:lineTo x="20353" y="13922"/>
                <wp:lineTo x="15692" y="13922"/>
                <wp:lineTo x="17324" y="12773"/>
                <wp:lineTo x="19576" y="12558"/>
                <wp:lineTo x="19499" y="12056"/>
                <wp:lineTo x="15614" y="11625"/>
                <wp:lineTo x="15537" y="8468"/>
                <wp:lineTo x="14993" y="8181"/>
                <wp:lineTo x="15148" y="6530"/>
                <wp:lineTo x="13129" y="6171"/>
                <wp:lineTo x="7535" y="5884"/>
                <wp:lineTo x="14993" y="5382"/>
                <wp:lineTo x="14993" y="4951"/>
                <wp:lineTo x="7535" y="4736"/>
                <wp:lineTo x="15537" y="4306"/>
                <wp:lineTo x="15459" y="3947"/>
                <wp:lineTo x="4894" y="3445"/>
                <wp:lineTo x="4117" y="3445"/>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3531600" cy="3823200"/>
                    </a:xfrm>
                    <a:prstGeom prst="rect">
                      <a:avLst/>
                    </a:prstGeom>
                  </pic:spPr>
                </pic:pic>
              </a:graphicData>
            </a:graphic>
            <wp14:sizeRelH relativeFrom="margin">
              <wp14:pctWidth>0</wp14:pctWidth>
            </wp14:sizeRelH>
            <wp14:sizeRelV relativeFrom="margin">
              <wp14:pctHeight>0</wp14:pctHeight>
            </wp14:sizeRelV>
          </wp:anchor>
        </w:drawing>
      </w:r>
    </w:p>
    <w:p w14:paraId="77DBA78B" w14:textId="77777777" w:rsidR="00FE698D" w:rsidRPr="00AC0359" w:rsidRDefault="00FE698D" w:rsidP="00FE698D">
      <w:pPr>
        <w:rPr>
          <w:lang w:val="en-US"/>
        </w:rPr>
      </w:pPr>
    </w:p>
    <w:p w14:paraId="40B778A8" w14:textId="77777777" w:rsidR="00FE698D" w:rsidRPr="00AC0359" w:rsidRDefault="00FE698D" w:rsidP="00FE698D">
      <w:pPr>
        <w:rPr>
          <w:lang w:val="en-US"/>
        </w:rPr>
      </w:pPr>
      <w:r w:rsidRPr="00AC0359">
        <w:rPr>
          <w:lang w:val="en-US"/>
        </w:rPr>
        <w:br/>
      </w:r>
    </w:p>
    <w:p w14:paraId="599C93EE" w14:textId="77777777" w:rsidR="00FE698D" w:rsidRDefault="00FE698D" w:rsidP="00FE698D">
      <w:pPr>
        <w:spacing w:line="480" w:lineRule="auto"/>
        <w:jc w:val="both"/>
        <w:rPr>
          <w:b/>
          <w:lang w:val="en-US"/>
        </w:rPr>
      </w:pPr>
    </w:p>
    <w:p w14:paraId="66E3F590" w14:textId="77777777" w:rsidR="00FE698D" w:rsidRDefault="00FE698D" w:rsidP="00FE698D">
      <w:pPr>
        <w:spacing w:line="480" w:lineRule="auto"/>
        <w:jc w:val="both"/>
        <w:rPr>
          <w:b/>
          <w:lang w:val="en-US"/>
        </w:rPr>
      </w:pPr>
    </w:p>
    <w:p w14:paraId="525088ED" w14:textId="77777777" w:rsidR="00FE698D" w:rsidRDefault="00FE698D" w:rsidP="00FE698D">
      <w:pPr>
        <w:spacing w:line="480" w:lineRule="auto"/>
        <w:jc w:val="both"/>
        <w:rPr>
          <w:b/>
          <w:lang w:val="en-US"/>
        </w:rPr>
      </w:pPr>
    </w:p>
    <w:p w14:paraId="76A1D059" w14:textId="77777777" w:rsidR="00FE698D" w:rsidRDefault="00FE698D" w:rsidP="00FE698D">
      <w:pPr>
        <w:spacing w:line="480" w:lineRule="auto"/>
        <w:jc w:val="both"/>
        <w:rPr>
          <w:b/>
          <w:lang w:val="en-US"/>
        </w:rPr>
      </w:pPr>
    </w:p>
    <w:p w14:paraId="38C2E7E2" w14:textId="77777777" w:rsidR="00FE698D" w:rsidRDefault="00FE698D" w:rsidP="00FE698D">
      <w:pPr>
        <w:spacing w:line="480" w:lineRule="auto"/>
        <w:jc w:val="both"/>
        <w:rPr>
          <w:b/>
          <w:lang w:val="en-US"/>
        </w:rPr>
      </w:pPr>
    </w:p>
    <w:p w14:paraId="2846A531" w14:textId="77777777" w:rsidR="00FE698D" w:rsidRDefault="00FE698D" w:rsidP="00FE698D">
      <w:pPr>
        <w:spacing w:line="480" w:lineRule="auto"/>
        <w:jc w:val="both"/>
        <w:rPr>
          <w:b/>
          <w:lang w:val="en-US"/>
        </w:rPr>
      </w:pPr>
    </w:p>
    <w:p w14:paraId="393C0558" w14:textId="77777777" w:rsidR="00FE698D" w:rsidRDefault="00FE698D" w:rsidP="00FE698D">
      <w:pPr>
        <w:spacing w:line="480" w:lineRule="auto"/>
        <w:jc w:val="both"/>
        <w:rPr>
          <w:b/>
          <w:lang w:val="en-US"/>
        </w:rPr>
      </w:pPr>
    </w:p>
    <w:p w14:paraId="4EA5D1D1" w14:textId="77777777" w:rsidR="00FE698D" w:rsidRDefault="00FE698D" w:rsidP="00FE698D">
      <w:pPr>
        <w:spacing w:line="480" w:lineRule="auto"/>
        <w:jc w:val="both"/>
        <w:rPr>
          <w:b/>
          <w:lang w:val="en-US"/>
        </w:rPr>
      </w:pPr>
    </w:p>
    <w:p w14:paraId="4A6F1864" w14:textId="77777777" w:rsidR="00FE698D" w:rsidRDefault="00FE698D" w:rsidP="00FE698D">
      <w:pPr>
        <w:spacing w:line="480" w:lineRule="auto"/>
        <w:jc w:val="both"/>
        <w:rPr>
          <w:b/>
          <w:lang w:val="en-US"/>
        </w:rPr>
      </w:pPr>
    </w:p>
    <w:p w14:paraId="23078986" w14:textId="77777777" w:rsidR="00FE698D" w:rsidRDefault="00FE698D" w:rsidP="00FE698D">
      <w:pPr>
        <w:spacing w:line="480" w:lineRule="auto"/>
        <w:jc w:val="both"/>
        <w:rPr>
          <w:b/>
          <w:lang w:val="en-US"/>
        </w:rPr>
      </w:pPr>
    </w:p>
    <w:p w14:paraId="617B1E5B" w14:textId="77777777" w:rsidR="00D5478C" w:rsidRDefault="00D5478C" w:rsidP="00FE698D">
      <w:pPr>
        <w:spacing w:line="480" w:lineRule="auto"/>
        <w:jc w:val="both"/>
        <w:rPr>
          <w:b/>
          <w:u w:val="single"/>
          <w:lang w:val="en-US"/>
        </w:rPr>
      </w:pPr>
    </w:p>
    <w:p w14:paraId="3856860E" w14:textId="77777777" w:rsidR="00D5478C" w:rsidRDefault="00D5478C" w:rsidP="00FE698D">
      <w:pPr>
        <w:spacing w:line="480" w:lineRule="auto"/>
        <w:jc w:val="both"/>
        <w:rPr>
          <w:b/>
          <w:u w:val="single"/>
          <w:lang w:val="en-US"/>
        </w:rPr>
      </w:pPr>
    </w:p>
    <w:p w14:paraId="3F6D0A00" w14:textId="77777777" w:rsidR="00D5478C" w:rsidRDefault="00D5478C" w:rsidP="00FE698D">
      <w:pPr>
        <w:spacing w:line="480" w:lineRule="auto"/>
        <w:jc w:val="both"/>
        <w:rPr>
          <w:b/>
          <w:u w:val="single"/>
          <w:lang w:val="en-US"/>
        </w:rPr>
      </w:pPr>
    </w:p>
    <w:p w14:paraId="7333A14F" w14:textId="6A61A7BE" w:rsidR="00FE698D" w:rsidRPr="00AC0359" w:rsidRDefault="00FE698D" w:rsidP="00FE698D">
      <w:pPr>
        <w:spacing w:line="480" w:lineRule="auto"/>
        <w:jc w:val="both"/>
        <w:rPr>
          <w:iCs/>
          <w:color w:val="000000" w:themeColor="text1"/>
          <w:u w:val="single"/>
          <w:shd w:val="clear" w:color="auto" w:fill="FFFFFF"/>
          <w:lang w:val="en-US" w:eastAsia="es-ES"/>
        </w:rPr>
      </w:pPr>
      <w:r w:rsidRPr="00AC0359">
        <w:rPr>
          <w:b/>
          <w:u w:val="single"/>
          <w:lang w:val="en-US"/>
        </w:rPr>
        <w:t>Supplementary Figure 2</w:t>
      </w:r>
      <w:r w:rsidRPr="00AC0359">
        <w:rPr>
          <w:iCs/>
          <w:color w:val="000000" w:themeColor="text1"/>
          <w:u w:val="single"/>
          <w:shd w:val="clear" w:color="auto" w:fill="FFFFFF"/>
          <w:lang w:val="en-US" w:eastAsia="es-ES"/>
        </w:rPr>
        <w:t>:</w:t>
      </w:r>
    </w:p>
    <w:p w14:paraId="1EC0466B" w14:textId="77777777" w:rsidR="00FE698D" w:rsidRPr="00465ECD" w:rsidRDefault="00FE698D" w:rsidP="00FE698D">
      <w:pPr>
        <w:spacing w:line="480" w:lineRule="auto"/>
        <w:jc w:val="both"/>
        <w:rPr>
          <w:b/>
          <w:lang w:val="en-US"/>
        </w:rPr>
      </w:pPr>
      <w:r w:rsidRPr="006E3021">
        <w:rPr>
          <w:iCs/>
          <w:color w:val="000000" w:themeColor="text1"/>
          <w:shd w:val="clear" w:color="auto" w:fill="FFFFFF"/>
          <w:lang w:val="en-US" w:eastAsia="es-ES"/>
        </w:rPr>
        <w:t xml:space="preserve"> </w:t>
      </w:r>
      <w:r w:rsidRPr="006E3021">
        <w:rPr>
          <w:rStyle w:val="captions"/>
          <w:lang w:val="en-US"/>
        </w:rPr>
        <w:t xml:space="preserve">Agonist functionality of GW0742 on </w:t>
      </w:r>
      <w:r w:rsidRPr="006E3021">
        <w:rPr>
          <w:iCs/>
          <w:color w:val="000000" w:themeColor="text1"/>
          <w:shd w:val="clear" w:color="auto" w:fill="FFFFFF"/>
          <w:lang w:val="en-US" w:eastAsia="es-ES"/>
        </w:rPr>
        <w:t>PPARβ/δ</w:t>
      </w:r>
      <w:r w:rsidRPr="006E3021">
        <w:rPr>
          <w:rStyle w:val="captions"/>
          <w:lang w:val="en-US"/>
        </w:rPr>
        <w:t xml:space="preserve"> was assessed by RT-qPCR to measure the relative expression of the </w:t>
      </w:r>
      <w:r w:rsidRPr="006E3021">
        <w:rPr>
          <w:i/>
          <w:color w:val="000000" w:themeColor="text1"/>
          <w:shd w:val="clear" w:color="auto" w:fill="FFFFFF"/>
          <w:lang w:val="en-US" w:eastAsia="es-ES"/>
        </w:rPr>
        <w:t>Angpl4 target gene</w:t>
      </w:r>
      <w:r w:rsidRPr="006E3021">
        <w:rPr>
          <w:rStyle w:val="captions"/>
          <w:lang w:val="en-US"/>
        </w:rPr>
        <w:t xml:space="preserve">. </w:t>
      </w:r>
      <w:r w:rsidRPr="006E3021">
        <w:rPr>
          <w:lang w:val="en-US"/>
        </w:rPr>
        <w:t>mRNA expression levels in untreated or preconditioned MSC exposed to H</w:t>
      </w:r>
      <w:r w:rsidRPr="006E3021">
        <w:rPr>
          <w:vertAlign w:val="subscript"/>
          <w:lang w:val="en-US"/>
        </w:rPr>
        <w:t>2</w:t>
      </w:r>
      <w:r w:rsidRPr="006E3021">
        <w:rPr>
          <w:lang w:val="en-US"/>
        </w:rPr>
        <w:t>O</w:t>
      </w:r>
      <w:r w:rsidRPr="006E3021">
        <w:rPr>
          <w:vertAlign w:val="subscript"/>
          <w:lang w:val="en-US"/>
        </w:rPr>
        <w:t>2</w:t>
      </w:r>
      <w:r w:rsidRPr="006E3021">
        <w:rPr>
          <w:lang w:val="en-US"/>
        </w:rPr>
        <w:t xml:space="preserve"> (250 µM) were assessed by RT-qPCR. Data </w:t>
      </w:r>
      <w:r w:rsidRPr="006E3021">
        <w:rPr>
          <w:rFonts w:eastAsia="+mn-ea"/>
          <w:color w:val="000000"/>
          <w:kern w:val="24"/>
          <w:lang w:val="en-US" w:eastAsia="es-ES"/>
        </w:rPr>
        <w:t>(mean ± SD; n=9 for each group) normalized to the control values (data obtained for MSC without H</w:t>
      </w:r>
      <w:r w:rsidRPr="006E3021">
        <w:rPr>
          <w:rFonts w:eastAsia="+mn-ea"/>
          <w:color w:val="000000"/>
          <w:kern w:val="24"/>
          <w:vertAlign w:val="subscript"/>
          <w:lang w:val="en-US" w:eastAsia="es-ES"/>
        </w:rPr>
        <w:t>2</w:t>
      </w:r>
      <w:r w:rsidRPr="006E3021">
        <w:rPr>
          <w:rFonts w:eastAsia="+mn-ea"/>
          <w:color w:val="000000"/>
          <w:kern w:val="24"/>
          <w:lang w:val="en-US" w:eastAsia="es-ES"/>
        </w:rPr>
        <w:t>O</w:t>
      </w:r>
      <w:r w:rsidRPr="006E3021">
        <w:rPr>
          <w:rFonts w:eastAsia="+mn-ea"/>
          <w:color w:val="000000"/>
          <w:kern w:val="24"/>
          <w:vertAlign w:val="subscript"/>
          <w:lang w:val="en-US" w:eastAsia="es-ES"/>
        </w:rPr>
        <w:t>2</w:t>
      </w:r>
      <w:r w:rsidRPr="006E3021">
        <w:rPr>
          <w:rFonts w:eastAsia="+mn-ea"/>
          <w:color w:val="000000"/>
          <w:kern w:val="24"/>
          <w:lang w:val="en-US" w:eastAsia="es-ES"/>
        </w:rPr>
        <w:t>) were compared using ANOVA and the Tukey’s post hoc test (normality test passed)</w:t>
      </w:r>
      <w:r w:rsidRPr="006E3021">
        <w:rPr>
          <w:iCs/>
          <w:lang w:val="en-US"/>
        </w:rPr>
        <w:t xml:space="preserve">. P values </w:t>
      </w:r>
      <w:r w:rsidRPr="006E3021">
        <w:rPr>
          <w:i/>
          <w:lang w:val="en-US"/>
        </w:rPr>
        <w:t>vs</w:t>
      </w:r>
      <w:r w:rsidRPr="006E3021">
        <w:rPr>
          <w:iCs/>
          <w:lang w:val="en-US"/>
        </w:rPr>
        <w:t xml:space="preserve"> MSC/H</w:t>
      </w:r>
      <w:r w:rsidRPr="006E3021">
        <w:rPr>
          <w:iCs/>
          <w:vertAlign w:val="subscript"/>
          <w:lang w:val="en-US"/>
        </w:rPr>
        <w:t>2</w:t>
      </w:r>
      <w:r w:rsidRPr="006E3021">
        <w:rPr>
          <w:iCs/>
          <w:lang w:val="en-US"/>
        </w:rPr>
        <w:t>O</w:t>
      </w:r>
      <w:r w:rsidRPr="006E3021">
        <w:rPr>
          <w:iCs/>
          <w:vertAlign w:val="subscript"/>
          <w:lang w:val="en-US"/>
        </w:rPr>
        <w:t>2</w:t>
      </w:r>
      <w:r w:rsidRPr="006E3021">
        <w:rPr>
          <w:iCs/>
          <w:lang w:val="en-US"/>
        </w:rPr>
        <w:t xml:space="preserve"> were noted in </w:t>
      </w:r>
      <w:r w:rsidRPr="006E3021">
        <w:rPr>
          <w:b/>
          <w:bCs/>
          <w:iCs/>
          <w:lang w:val="en-US"/>
        </w:rPr>
        <w:t>(A):</w:t>
      </w:r>
      <w:r w:rsidRPr="006E3021">
        <w:rPr>
          <w:iCs/>
          <w:lang w:val="en-US"/>
        </w:rPr>
        <w:t xml:space="preserve"> **** for p&lt;0.0001 and ns for p&gt;0.999 and in (</w:t>
      </w:r>
      <w:r w:rsidRPr="006E3021">
        <w:rPr>
          <w:b/>
          <w:bCs/>
          <w:iCs/>
          <w:lang w:val="en-US"/>
        </w:rPr>
        <w:t>B</w:t>
      </w:r>
      <w:r w:rsidRPr="006E3021">
        <w:rPr>
          <w:iCs/>
          <w:lang w:val="en-US"/>
        </w:rPr>
        <w:t>): *** for p=0.0001, ** for p=0.0046, * for p=0.0140 and ns for p=0.1006.</w:t>
      </w:r>
    </w:p>
    <w:p w14:paraId="515A2DF1" w14:textId="77777777" w:rsidR="00FE698D" w:rsidRPr="000F6F77" w:rsidRDefault="00FE698D" w:rsidP="00FE698D">
      <w:pPr>
        <w:spacing w:line="480" w:lineRule="auto"/>
        <w:jc w:val="both"/>
        <w:rPr>
          <w:lang w:val="en-US"/>
        </w:rPr>
      </w:pPr>
    </w:p>
    <w:p w14:paraId="1F82EA74" w14:textId="4EADFBD9" w:rsidR="001728E5" w:rsidRPr="00FE698D" w:rsidRDefault="001728E5">
      <w:pPr>
        <w:rPr>
          <w:lang w:val="en-US"/>
        </w:rPr>
      </w:pPr>
    </w:p>
    <w:sectPr w:rsidR="001728E5" w:rsidRPr="00FE698D" w:rsidSect="0045697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TimesNewRoman">
    <w:altName w:val="MS Mincho"/>
    <w:panose1 w:val="020B0604020202020204"/>
    <w:charset w:val="80"/>
    <w:family w:val="auto"/>
    <w:notTrueType/>
    <w:pitch w:val="default"/>
    <w:sig w:usb0="00000000" w:usb1="08070000" w:usb2="00000010" w:usb3="00000000" w:csb0="00020000" w:csb1="00000000"/>
  </w:font>
  <w:font w:name="Symbol">
    <w:panose1 w:val="05050102010706020507"/>
    <w:charset w:val="02"/>
    <w:family w:val="decorative"/>
    <w:pitch w:val="variable"/>
    <w:sig w:usb0="00000000" w:usb1="10000000" w:usb2="00000000" w:usb3="00000000" w:csb0="80000000" w:csb1="00000000"/>
  </w:font>
  <w:font w:name="+mn-ea">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98D"/>
    <w:rsid w:val="000551D4"/>
    <w:rsid w:val="00086676"/>
    <w:rsid w:val="000913D7"/>
    <w:rsid w:val="000C576F"/>
    <w:rsid w:val="000F1EC3"/>
    <w:rsid w:val="00142160"/>
    <w:rsid w:val="001728E5"/>
    <w:rsid w:val="00184E31"/>
    <w:rsid w:val="002250CA"/>
    <w:rsid w:val="00266180"/>
    <w:rsid w:val="003255F8"/>
    <w:rsid w:val="003F4106"/>
    <w:rsid w:val="00461EBB"/>
    <w:rsid w:val="004A1446"/>
    <w:rsid w:val="004A2FD7"/>
    <w:rsid w:val="004C6B09"/>
    <w:rsid w:val="004E4B45"/>
    <w:rsid w:val="004E6431"/>
    <w:rsid w:val="00547AF8"/>
    <w:rsid w:val="00563313"/>
    <w:rsid w:val="00612D66"/>
    <w:rsid w:val="006719CC"/>
    <w:rsid w:val="0079430F"/>
    <w:rsid w:val="00864E0B"/>
    <w:rsid w:val="00873083"/>
    <w:rsid w:val="008C2727"/>
    <w:rsid w:val="009119D2"/>
    <w:rsid w:val="009F03C9"/>
    <w:rsid w:val="00A31FD8"/>
    <w:rsid w:val="00A344E8"/>
    <w:rsid w:val="00B2398F"/>
    <w:rsid w:val="00B647C6"/>
    <w:rsid w:val="00C200D0"/>
    <w:rsid w:val="00C23171"/>
    <w:rsid w:val="00C25B59"/>
    <w:rsid w:val="00C4294F"/>
    <w:rsid w:val="00C8348F"/>
    <w:rsid w:val="00C96750"/>
    <w:rsid w:val="00D238EC"/>
    <w:rsid w:val="00D454A2"/>
    <w:rsid w:val="00D5478C"/>
    <w:rsid w:val="00D91F71"/>
    <w:rsid w:val="00E94534"/>
    <w:rsid w:val="00EB7FB4"/>
    <w:rsid w:val="00F52351"/>
    <w:rsid w:val="00F75730"/>
    <w:rsid w:val="00FE698D"/>
    <w:rsid w:val="00FF5617"/>
    <w:rsid w:val="00FF72CC"/>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70696B5"/>
  <w15:chartTrackingRefBased/>
  <w15:docId w15:val="{4CE126AB-CAB6-3B4F-9B73-D4E2995AB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98D"/>
    <w:rPr>
      <w:rFonts w:ascii="Times New Roman" w:eastAsia="Times New Roman" w:hAnsi="Times New Roman" w:cs="Times New Roman"/>
      <w:lang w:eastAsia="fr-FR"/>
    </w:rPr>
  </w:style>
  <w:style w:type="paragraph" w:styleId="Titre1">
    <w:name w:val="heading 1"/>
    <w:basedOn w:val="Normal"/>
    <w:next w:val="Normal"/>
    <w:link w:val="Titre1Car"/>
    <w:qFormat/>
    <w:rsid w:val="00FE698D"/>
    <w:pPr>
      <w:keepNext/>
      <w:spacing w:before="240" w:after="60"/>
      <w:outlineLvl w:val="0"/>
    </w:pPr>
    <w:rPr>
      <w:rFonts w:ascii="Calibri Light" w:hAnsi="Calibri Light"/>
      <w:b/>
      <w:bCs/>
      <w:kern w:val="32"/>
      <w:sz w:val="32"/>
      <w:szCs w:val="32"/>
      <w:lang w:val="x-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captions">
    <w:name w:val="captions"/>
    <w:rsid w:val="00FE698D"/>
  </w:style>
  <w:style w:type="character" w:customStyle="1" w:styleId="Titre1Car">
    <w:name w:val="Titre 1 Car"/>
    <w:basedOn w:val="Policepardfaut"/>
    <w:link w:val="Titre1"/>
    <w:rsid w:val="00FE698D"/>
    <w:rPr>
      <w:rFonts w:ascii="Calibri Light" w:eastAsia="Times New Roman" w:hAnsi="Calibri Light" w:cs="Times New Roman"/>
      <w:b/>
      <w:bCs/>
      <w:kern w:val="32"/>
      <w:sz w:val="32"/>
      <w:szCs w:val="32"/>
      <w:lang w:val="x-none" w:eastAsia="fr-FR"/>
    </w:rPr>
  </w:style>
  <w:style w:type="paragraph" w:customStyle="1" w:styleId="CorpsA">
    <w:name w:val="Corps A"/>
    <w:rsid w:val="00B647C6"/>
    <w:pPr>
      <w:pBdr>
        <w:top w:val="nil"/>
        <w:left w:val="nil"/>
        <w:bottom w:val="nil"/>
        <w:right w:val="nil"/>
        <w:between w:val="nil"/>
        <w:bar w:val="nil"/>
      </w:pBdr>
      <w:jc w:val="both"/>
    </w:pPr>
    <w:rPr>
      <w:rFonts w:ascii="Times" w:eastAsia="Times" w:hAnsi="Times" w:cs="Times"/>
      <w:color w:val="000000"/>
      <w:sz w:val="22"/>
      <w:szCs w:val="22"/>
      <w:u w:color="000000"/>
      <w:bdr w:val="nil"/>
      <w:lang w:eastAsia="fr-FR"/>
    </w:rPr>
  </w:style>
  <w:style w:type="character" w:customStyle="1" w:styleId="shorttext">
    <w:name w:val="short_text"/>
    <w:basedOn w:val="Policepardfaut"/>
    <w:rsid w:val="004C6B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331</Words>
  <Characters>1825</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Stéphanie Barrere</dc:creator>
  <cp:keywords/>
  <dc:description/>
  <cp:lastModifiedBy>Stéphanie Barrere</cp:lastModifiedBy>
  <cp:revision>2</cp:revision>
  <dcterms:created xsi:type="dcterms:W3CDTF">2021-12-03T11:32:00Z</dcterms:created>
  <dcterms:modified xsi:type="dcterms:W3CDTF">2021-12-03T11:32:00Z</dcterms:modified>
</cp:coreProperties>
</file>