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0AB084" w14:textId="77777777" w:rsidR="00191869" w:rsidRDefault="00000000">
      <w:pPr>
        <w:spacing w:line="360" w:lineRule="auto"/>
        <w:rPr>
          <w:b/>
          <w:bCs/>
        </w:rPr>
      </w:pPr>
      <w:r>
        <w:rPr>
          <w:b/>
          <w:bCs/>
        </w:rPr>
        <w:t xml:space="preserve">Risk factors for persistent </w:t>
      </w:r>
      <w:r>
        <w:rPr>
          <w:b/>
          <w:bCs/>
          <w:i/>
          <w:iCs/>
        </w:rPr>
        <w:t>Staphylococcus aureus</w:t>
      </w:r>
      <w:r>
        <w:rPr>
          <w:b/>
          <w:bCs/>
        </w:rPr>
        <w:t xml:space="preserve"> nasal carriage in the community</w:t>
      </w:r>
    </w:p>
    <w:p w14:paraId="1B2269B5" w14:textId="77777777" w:rsidR="00191869" w:rsidRDefault="00000000">
      <w:proofErr w:type="spellStart"/>
      <w:r>
        <w:t>Kaptoge</w:t>
      </w:r>
      <w:proofErr w:type="spellEnd"/>
      <w:r>
        <w:t xml:space="preserve"> et al. </w:t>
      </w:r>
    </w:p>
    <w:p w14:paraId="123E0F9C" w14:textId="77777777" w:rsidR="00191869" w:rsidRDefault="00191869">
      <w:pPr>
        <w:rPr>
          <w:b/>
          <w:bCs/>
        </w:rPr>
      </w:pPr>
    </w:p>
    <w:p w14:paraId="71E998C1" w14:textId="77777777" w:rsidR="00191869" w:rsidRDefault="00000000">
      <w:pPr>
        <w:rPr>
          <w:b/>
          <w:bCs/>
        </w:rPr>
      </w:pPr>
      <w:r>
        <w:rPr>
          <w:b/>
          <w:bCs/>
        </w:rPr>
        <w:t>Supplementary Figures</w:t>
      </w:r>
    </w:p>
    <w:p w14:paraId="60157060" w14:textId="77777777" w:rsidR="00A24173" w:rsidRDefault="00A24173" w:rsidP="00A24173">
      <w:pPr>
        <w:widowControl w:val="0"/>
        <w:tabs>
          <w:tab w:val="right" w:leader="dot" w:pos="12000"/>
        </w:tabs>
        <w:spacing w:before="60" w:line="240" w:lineRule="auto"/>
        <w:rPr>
          <w:b/>
          <w:bCs/>
        </w:rPr>
      </w:pPr>
    </w:p>
    <w:p w14:paraId="5F75CF4C" w14:textId="36EDE921" w:rsidR="00A24173" w:rsidRDefault="00A24173" w:rsidP="00A24173">
      <w:pPr>
        <w:widowControl w:val="0"/>
        <w:tabs>
          <w:tab w:val="right" w:leader="dot" w:pos="12000"/>
        </w:tabs>
        <w:spacing w:before="60" w:line="240" w:lineRule="auto"/>
        <w:rPr>
          <w:color w:val="000000"/>
        </w:rPr>
      </w:pPr>
      <w:r>
        <w:rPr>
          <w:b/>
          <w:bCs/>
        </w:rPr>
        <w:t>Supplementary Fig.</w:t>
      </w:r>
      <w:hyperlink w:anchor="_5333jtm3bgdt">
        <w:r>
          <w:rPr>
            <w:b/>
            <w:bCs/>
            <w:color w:val="000000"/>
          </w:rPr>
          <w:t xml:space="preserve">1. </w:t>
        </w:r>
      </w:hyperlink>
      <w:hyperlink w:anchor="_5333jtm3bgdt">
        <w:r>
          <w:rPr>
            <w:color w:val="000000"/>
          </w:rPr>
          <w:t>Age distribution of CARRIAGE participants by sex</w:t>
        </w:r>
        <w:r>
          <w:rPr>
            <w:color w:val="000000"/>
          </w:rPr>
          <w:tab/>
          <w:t>2</w:t>
        </w:r>
      </w:hyperlink>
    </w:p>
    <w:p w14:paraId="459E88A6" w14:textId="77777777" w:rsidR="00A24173" w:rsidRDefault="00A24173" w:rsidP="00A24173">
      <w:pPr>
        <w:widowControl w:val="0"/>
        <w:tabs>
          <w:tab w:val="right" w:leader="dot" w:pos="12000"/>
        </w:tabs>
        <w:spacing w:before="60" w:line="240" w:lineRule="auto"/>
        <w:rPr>
          <w:color w:val="000000"/>
        </w:rPr>
      </w:pPr>
      <w:r>
        <w:rPr>
          <w:b/>
          <w:bCs/>
        </w:rPr>
        <w:t>Supplementary Fig.</w:t>
      </w:r>
      <w:hyperlink w:anchor="_my0ng67vz8xk">
        <w:r>
          <w:rPr>
            <w:b/>
            <w:bCs/>
            <w:color w:val="000000"/>
          </w:rPr>
          <w:t>2.</w:t>
        </w:r>
      </w:hyperlink>
      <w:hyperlink w:anchor="_my0ng67vz8xk">
        <w:r>
          <w:rPr>
            <w:color w:val="000000"/>
          </w:rPr>
          <w:t xml:space="preserve"> Distribution of persistent </w:t>
        </w:r>
      </w:hyperlink>
      <w:hyperlink w:anchor="_my0ng67vz8xk">
        <w:r>
          <w:rPr>
            <w:i/>
            <w:iCs/>
            <w:color w:val="000000"/>
          </w:rPr>
          <w:t>S. aureus</w:t>
        </w:r>
      </w:hyperlink>
      <w:hyperlink w:anchor="_my0ng67vz8xk">
        <w:r>
          <w:rPr>
            <w:color w:val="000000"/>
          </w:rPr>
          <w:t xml:space="preserve"> nasal carriage prevalence across months and years of the study, showing no significant difference (p=0.298)</w:t>
        </w:r>
        <w:r>
          <w:rPr>
            <w:color w:val="000000"/>
          </w:rPr>
          <w:tab/>
          <w:t>3</w:t>
        </w:r>
      </w:hyperlink>
    </w:p>
    <w:p w14:paraId="6DED33AD" w14:textId="77777777" w:rsidR="00A24173" w:rsidRDefault="00A24173" w:rsidP="00A24173">
      <w:pPr>
        <w:widowControl w:val="0"/>
        <w:tabs>
          <w:tab w:val="right" w:leader="dot" w:pos="12000"/>
        </w:tabs>
        <w:spacing w:before="60" w:line="240" w:lineRule="auto"/>
        <w:rPr>
          <w:color w:val="000000"/>
        </w:rPr>
      </w:pPr>
      <w:r>
        <w:rPr>
          <w:b/>
          <w:bCs/>
        </w:rPr>
        <w:t>Supplementary Fig.</w:t>
      </w:r>
      <w:hyperlink w:anchor="_fgm527t9xd97">
        <w:r>
          <w:rPr>
            <w:b/>
            <w:bCs/>
            <w:color w:val="000000"/>
          </w:rPr>
          <w:t>3</w:t>
        </w:r>
      </w:hyperlink>
      <w:hyperlink w:anchor="_fgm527t9xd97">
        <w:r>
          <w:rPr>
            <w:color w:val="000000"/>
          </w:rPr>
          <w:t>. Age and sex adjusted associations of further specific characteristics with first swab positivity</w:t>
        </w:r>
        <w:r>
          <w:rPr>
            <w:color w:val="000000"/>
          </w:rPr>
          <w:tab/>
          <w:t>4</w:t>
        </w:r>
      </w:hyperlink>
    </w:p>
    <w:p w14:paraId="3FE458DA" w14:textId="77777777" w:rsidR="00A24173" w:rsidRDefault="00A24173" w:rsidP="00A24173">
      <w:pPr>
        <w:widowControl w:val="0"/>
        <w:tabs>
          <w:tab w:val="right" w:leader="dot" w:pos="12000"/>
        </w:tabs>
        <w:spacing w:before="60" w:line="240" w:lineRule="auto"/>
        <w:rPr>
          <w:color w:val="000000"/>
        </w:rPr>
      </w:pPr>
      <w:r>
        <w:rPr>
          <w:b/>
          <w:bCs/>
        </w:rPr>
        <w:t>Supplementary Fig.</w:t>
      </w:r>
      <w:hyperlink w:anchor="_na38hipg07gs">
        <w:r>
          <w:rPr>
            <w:b/>
            <w:bCs/>
            <w:color w:val="000000"/>
          </w:rPr>
          <w:t>4</w:t>
        </w:r>
      </w:hyperlink>
      <w:hyperlink w:anchor="_na38hipg07gs">
        <w:r>
          <w:rPr>
            <w:color w:val="000000"/>
          </w:rPr>
          <w:t xml:space="preserve">. Summary of the risk factors for </w:t>
        </w:r>
      </w:hyperlink>
      <w:hyperlink w:anchor="_na38hipg07gs">
        <w:r>
          <w:rPr>
            <w:i/>
            <w:iCs/>
            <w:color w:val="000000"/>
          </w:rPr>
          <w:t>S. aureus</w:t>
        </w:r>
      </w:hyperlink>
      <w:hyperlink w:anchor="_na38hipg07gs">
        <w:r>
          <w:rPr>
            <w:color w:val="000000"/>
          </w:rPr>
          <w:t xml:space="preserve"> carriage</w:t>
        </w:r>
        <w:r>
          <w:rPr>
            <w:color w:val="000000"/>
          </w:rPr>
          <w:tab/>
          <w:t>6</w:t>
        </w:r>
      </w:hyperlink>
    </w:p>
    <w:p w14:paraId="15F47D40" w14:textId="36317757" w:rsidR="00A24173" w:rsidRDefault="00A24173" w:rsidP="00A24173">
      <w:pPr>
        <w:rPr>
          <w:b/>
          <w:bCs/>
        </w:rPr>
      </w:pPr>
      <w:r>
        <w:rPr>
          <w:b/>
          <w:bCs/>
        </w:rPr>
        <w:t>Supplementary Fig.</w:t>
      </w:r>
      <w:hyperlink w:anchor="_mraznpf5vwj0">
        <w:r>
          <w:rPr>
            <w:b/>
            <w:bCs/>
            <w:color w:val="000000"/>
          </w:rPr>
          <w:t>5</w:t>
        </w:r>
      </w:hyperlink>
      <w:hyperlink w:anchor="_mraznpf5vwj0">
        <w:r>
          <w:rPr>
            <w:color w:val="000000"/>
          </w:rPr>
          <w:t xml:space="preserve">. Performance of multivariable risk factor model and first swab positivity in discriminating persistent </w:t>
        </w:r>
      </w:hyperlink>
    </w:p>
    <w:p w14:paraId="29961016" w14:textId="77777777" w:rsidR="00191869" w:rsidRDefault="00191869">
      <w:pPr>
        <w:ind w:left="-425"/>
      </w:pPr>
    </w:p>
    <w:p w14:paraId="1B96FD5C" w14:textId="77777777" w:rsidR="00191869" w:rsidRDefault="00191869" w:rsidP="00A24173">
      <w:pPr>
        <w:sectPr w:rsidR="00191869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0A8285F8" w14:textId="77777777" w:rsidR="00191869" w:rsidRDefault="00000000">
      <w:pPr>
        <w:pStyle w:val="Heading1"/>
        <w:spacing w:line="240" w:lineRule="auto"/>
        <w:rPr>
          <w:sz w:val="22"/>
          <w:szCs w:val="22"/>
        </w:rPr>
      </w:pPr>
      <w:bookmarkStart w:id="0" w:name="_5333jtm3bgdt" w:colFirst="0" w:colLast="0"/>
      <w:bookmarkEnd w:id="0"/>
      <w:r>
        <w:rPr>
          <w:b/>
          <w:bCs/>
          <w:sz w:val="22"/>
          <w:szCs w:val="22"/>
        </w:rPr>
        <w:lastRenderedPageBreak/>
        <w:t xml:space="preserve">Supplementary Fig.1. </w:t>
      </w:r>
      <w:r>
        <w:rPr>
          <w:sz w:val="22"/>
          <w:szCs w:val="22"/>
        </w:rPr>
        <w:t>Age distribution of CARRIAGE participants by sex</w:t>
      </w:r>
    </w:p>
    <w:p w14:paraId="4C5A42E0" w14:textId="77777777" w:rsidR="00191869" w:rsidRDefault="00191869">
      <w:pPr>
        <w:rPr>
          <w:b/>
          <w:bCs/>
        </w:rPr>
      </w:pPr>
    </w:p>
    <w:p w14:paraId="3DC465AA" w14:textId="77777777" w:rsidR="00191869" w:rsidRDefault="00000000">
      <w:pPr>
        <w:rPr>
          <w:b/>
          <w:bCs/>
        </w:rPr>
      </w:pPr>
      <w:r>
        <w:rPr>
          <w:noProof/>
        </w:rPr>
        <w:drawing>
          <wp:inline distT="0" distB="0" distL="0" distR="0" wp14:anchorId="348BDBFB" wp14:editId="7482EABF">
            <wp:extent cx="5943600" cy="4356100"/>
            <wp:effectExtent l="0" t="0" r="0" b="0"/>
            <wp:docPr id="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7CFFE1" w14:textId="77777777" w:rsidR="00191869" w:rsidRDefault="00191869"/>
    <w:p w14:paraId="00711B68" w14:textId="77777777" w:rsidR="00191869" w:rsidRDefault="00191869"/>
    <w:p w14:paraId="0E350EE5" w14:textId="77777777" w:rsidR="00191869" w:rsidRDefault="00000000">
      <w:pPr>
        <w:rPr>
          <w:b/>
          <w:bCs/>
        </w:rPr>
      </w:pPr>
      <w:r>
        <w:br w:type="page"/>
      </w:r>
    </w:p>
    <w:p w14:paraId="24891DD1" w14:textId="77777777" w:rsidR="00191869" w:rsidRDefault="00000000">
      <w:pPr>
        <w:pStyle w:val="Heading1"/>
        <w:spacing w:line="240" w:lineRule="auto"/>
        <w:rPr>
          <w:sz w:val="22"/>
          <w:szCs w:val="22"/>
        </w:rPr>
      </w:pPr>
      <w:bookmarkStart w:id="1" w:name="_my0ng67vz8xk" w:colFirst="0" w:colLast="0"/>
      <w:bookmarkEnd w:id="1"/>
      <w:r>
        <w:rPr>
          <w:b/>
          <w:bCs/>
          <w:sz w:val="22"/>
          <w:szCs w:val="22"/>
        </w:rPr>
        <w:lastRenderedPageBreak/>
        <w:t xml:space="preserve">Supplementary Fig.2. </w:t>
      </w:r>
      <w:r>
        <w:rPr>
          <w:sz w:val="22"/>
          <w:szCs w:val="22"/>
        </w:rPr>
        <w:t xml:space="preserve">Distribution of persistent </w:t>
      </w:r>
      <w:r>
        <w:rPr>
          <w:i/>
          <w:iCs/>
          <w:sz w:val="22"/>
          <w:szCs w:val="22"/>
        </w:rPr>
        <w:t xml:space="preserve">S. aureus </w:t>
      </w:r>
      <w:r>
        <w:rPr>
          <w:sz w:val="22"/>
          <w:szCs w:val="22"/>
        </w:rPr>
        <w:t>nasal carriage prevalence across months and years of the study, showing no significant difference (p=0.298)</w:t>
      </w:r>
    </w:p>
    <w:p w14:paraId="3B49A9DD" w14:textId="77777777" w:rsidR="00191869" w:rsidRDefault="00191869">
      <w:pPr>
        <w:rPr>
          <w:b/>
          <w:bCs/>
        </w:rPr>
      </w:pPr>
    </w:p>
    <w:p w14:paraId="140657B2" w14:textId="77777777" w:rsidR="00191869" w:rsidRDefault="00000000">
      <w:pPr>
        <w:rPr>
          <w:b/>
          <w:bCs/>
        </w:rPr>
      </w:pPr>
      <w:r>
        <w:rPr>
          <w:b/>
          <w:bCs/>
          <w:noProof/>
        </w:rPr>
        <w:drawing>
          <wp:inline distT="19050" distB="19050" distL="19050" distR="19050" wp14:anchorId="5D7494ED" wp14:editId="5C822562">
            <wp:extent cx="4423109" cy="324000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3109" cy="32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5EFFB6" w14:textId="77777777" w:rsidR="00191869" w:rsidRDefault="00191869"/>
    <w:p w14:paraId="2184BDDD" w14:textId="77777777" w:rsidR="00191869" w:rsidRDefault="00191869"/>
    <w:p w14:paraId="7C748B77" w14:textId="77777777" w:rsidR="00191869" w:rsidRDefault="00191869"/>
    <w:p w14:paraId="1E175FAD" w14:textId="77777777" w:rsidR="00191869" w:rsidRDefault="00191869">
      <w:pPr>
        <w:sectPr w:rsidR="00191869">
          <w:pgSz w:w="11909" w:h="16834"/>
          <w:pgMar w:top="1134" w:right="1134" w:bottom="1134" w:left="1134" w:header="709" w:footer="709" w:gutter="0"/>
          <w:cols w:space="720"/>
        </w:sectPr>
      </w:pPr>
    </w:p>
    <w:p w14:paraId="01BE24AD" w14:textId="77777777" w:rsidR="00191869" w:rsidRDefault="00000000">
      <w:pPr>
        <w:pStyle w:val="Heading1"/>
        <w:spacing w:line="240" w:lineRule="auto"/>
        <w:rPr>
          <w:sz w:val="22"/>
          <w:szCs w:val="22"/>
        </w:rPr>
      </w:pPr>
      <w:bookmarkStart w:id="2" w:name="_fgm527t9xd97" w:colFirst="0" w:colLast="0"/>
      <w:bookmarkEnd w:id="2"/>
      <w:r>
        <w:rPr>
          <w:b/>
          <w:bCs/>
          <w:sz w:val="22"/>
          <w:szCs w:val="22"/>
        </w:rPr>
        <w:lastRenderedPageBreak/>
        <w:t xml:space="preserve">Supplementary Fig.3. </w:t>
      </w:r>
      <w:r>
        <w:rPr>
          <w:sz w:val="22"/>
          <w:szCs w:val="22"/>
        </w:rPr>
        <w:t>Age and sex adjusted associations of further specific characteristics with first swab positivity</w:t>
      </w:r>
    </w:p>
    <w:p w14:paraId="7691B67E" w14:textId="77777777" w:rsidR="00191869" w:rsidRDefault="00000000">
      <w:pPr>
        <w:spacing w:line="240" w:lineRule="auto"/>
      </w:pPr>
      <w:r>
        <w:rPr>
          <w:noProof/>
        </w:rPr>
        <w:drawing>
          <wp:inline distT="0" distB="0" distL="0" distR="0" wp14:anchorId="07E0FFEA" wp14:editId="5DC66948">
            <wp:extent cx="5734800" cy="820800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800" cy="820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130213" w14:textId="77777777" w:rsidR="00191869" w:rsidRDefault="00000000">
      <w:pPr>
        <w:spacing w:line="240" w:lineRule="auto"/>
      </w:pPr>
      <w:r>
        <w:br w:type="page"/>
      </w:r>
    </w:p>
    <w:p w14:paraId="27437EE0" w14:textId="77777777" w:rsidR="00191869" w:rsidRDefault="00000000">
      <w:pPr>
        <w:spacing w:line="240" w:lineRule="auto"/>
      </w:pPr>
      <w:r>
        <w:rPr>
          <w:b/>
          <w:bCs/>
        </w:rPr>
        <w:lastRenderedPageBreak/>
        <w:t>Supplementary Fig.3 (contd.).</w:t>
      </w:r>
      <w:r>
        <w:t xml:space="preserve"> Age and sex adjusted associations of further specific characteristics with first swab positivity</w:t>
      </w:r>
    </w:p>
    <w:p w14:paraId="63672766" w14:textId="77777777" w:rsidR="00191869" w:rsidRDefault="00000000">
      <w:pPr>
        <w:spacing w:line="240" w:lineRule="auto"/>
      </w:pPr>
      <w:r>
        <w:rPr>
          <w:noProof/>
        </w:rPr>
        <w:drawing>
          <wp:inline distT="0" distB="0" distL="0" distR="0" wp14:anchorId="1FC1CE9E" wp14:editId="6920469B">
            <wp:extent cx="5256000" cy="8208000"/>
            <wp:effectExtent l="0" t="0" r="0" b="0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820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5F4D99" w14:textId="77777777" w:rsidR="00191869" w:rsidRDefault="00191869">
      <w:pPr>
        <w:spacing w:line="240" w:lineRule="auto"/>
        <w:rPr>
          <w:b/>
          <w:bCs/>
        </w:rPr>
      </w:pPr>
    </w:p>
    <w:p w14:paraId="6E309C61" w14:textId="77777777" w:rsidR="00191869" w:rsidRDefault="00191869">
      <w:pPr>
        <w:rPr>
          <w:b/>
          <w:bCs/>
        </w:rPr>
      </w:pPr>
    </w:p>
    <w:p w14:paraId="59EC1F1C" w14:textId="77777777" w:rsidR="00191869" w:rsidRDefault="00191869">
      <w:pPr>
        <w:rPr>
          <w:b/>
          <w:bCs/>
        </w:rPr>
      </w:pPr>
    </w:p>
    <w:p w14:paraId="52726856" w14:textId="77777777" w:rsidR="00191869" w:rsidRDefault="00191869">
      <w:pPr>
        <w:rPr>
          <w:b/>
          <w:bCs/>
        </w:rPr>
      </w:pPr>
    </w:p>
    <w:p w14:paraId="0A198C0E" w14:textId="77777777" w:rsidR="00191869" w:rsidRDefault="00000000">
      <w:pPr>
        <w:pStyle w:val="Heading1"/>
        <w:rPr>
          <w:sz w:val="22"/>
          <w:szCs w:val="22"/>
        </w:rPr>
      </w:pPr>
      <w:bookmarkStart w:id="3" w:name="_na38hipg07gs" w:colFirst="0" w:colLast="0"/>
      <w:bookmarkEnd w:id="3"/>
      <w:r>
        <w:rPr>
          <w:b/>
          <w:bCs/>
          <w:sz w:val="22"/>
          <w:szCs w:val="22"/>
        </w:rPr>
        <w:lastRenderedPageBreak/>
        <w:t>Supplementary Fig.4.</w:t>
      </w:r>
      <w:r>
        <w:rPr>
          <w:sz w:val="22"/>
          <w:szCs w:val="22"/>
        </w:rPr>
        <w:t xml:space="preserve"> Summary of the risk factors for </w:t>
      </w:r>
      <w:r>
        <w:rPr>
          <w:i/>
          <w:iCs/>
          <w:sz w:val="22"/>
          <w:szCs w:val="22"/>
        </w:rPr>
        <w:t>S. aureus</w:t>
      </w:r>
      <w:r>
        <w:rPr>
          <w:sz w:val="22"/>
          <w:szCs w:val="22"/>
        </w:rPr>
        <w:t xml:space="preserve"> carriage</w:t>
      </w:r>
    </w:p>
    <w:p w14:paraId="111E9C47" w14:textId="77777777" w:rsidR="00191869" w:rsidRDefault="00191869">
      <w:pPr>
        <w:spacing w:line="240" w:lineRule="auto"/>
        <w:rPr>
          <w:b/>
          <w:bCs/>
        </w:rPr>
      </w:pPr>
    </w:p>
    <w:p w14:paraId="5E5E0331" w14:textId="77777777" w:rsidR="00191869" w:rsidRDefault="00000000">
      <w:pPr>
        <w:spacing w:line="24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641A5E4" wp14:editId="6F85DFC9">
            <wp:extent cx="5943600" cy="4160520"/>
            <wp:effectExtent l="0" t="0" r="0" b="0"/>
            <wp:docPr id="5" name="image6.png" descr="A diagram of a flowchar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A diagram of a flowchart&#10;&#10;AI-generated content may b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AD5FDE" w14:textId="77777777" w:rsidR="00191869" w:rsidRDefault="00000000">
      <w:pPr>
        <w:spacing w:line="240" w:lineRule="auto"/>
      </w:pPr>
      <w:r>
        <w:t>Created with BioRender.com</w:t>
      </w:r>
    </w:p>
    <w:p w14:paraId="3143A529" w14:textId="77777777" w:rsidR="00191869" w:rsidRDefault="00191869">
      <w:pPr>
        <w:spacing w:line="240" w:lineRule="auto"/>
        <w:rPr>
          <w:b/>
          <w:bCs/>
        </w:rPr>
      </w:pPr>
    </w:p>
    <w:p w14:paraId="0B23E3C0" w14:textId="77777777" w:rsidR="00191869" w:rsidRDefault="00191869">
      <w:pPr>
        <w:spacing w:line="240" w:lineRule="auto"/>
        <w:rPr>
          <w:b/>
          <w:bCs/>
        </w:rPr>
      </w:pPr>
    </w:p>
    <w:p w14:paraId="7AE4E5A8" w14:textId="77777777" w:rsidR="00191869" w:rsidRDefault="00191869">
      <w:pPr>
        <w:spacing w:line="240" w:lineRule="auto"/>
        <w:rPr>
          <w:b/>
          <w:bCs/>
        </w:rPr>
      </w:pPr>
    </w:p>
    <w:p w14:paraId="3A4B64FA" w14:textId="77777777" w:rsidR="00191869" w:rsidRDefault="00191869">
      <w:pPr>
        <w:spacing w:line="240" w:lineRule="auto"/>
        <w:rPr>
          <w:b/>
          <w:bCs/>
        </w:rPr>
      </w:pPr>
    </w:p>
    <w:p w14:paraId="796DA9E7" w14:textId="77777777" w:rsidR="00191869" w:rsidRDefault="00191869">
      <w:pPr>
        <w:spacing w:line="240" w:lineRule="auto"/>
        <w:rPr>
          <w:b/>
          <w:bCs/>
        </w:rPr>
      </w:pPr>
    </w:p>
    <w:p w14:paraId="7F1BF003" w14:textId="77777777" w:rsidR="00191869" w:rsidRDefault="00191869">
      <w:pPr>
        <w:spacing w:line="240" w:lineRule="auto"/>
        <w:rPr>
          <w:b/>
          <w:bCs/>
        </w:rPr>
      </w:pPr>
    </w:p>
    <w:p w14:paraId="6DD38EE9" w14:textId="77777777" w:rsidR="00191869" w:rsidRDefault="00191869">
      <w:pPr>
        <w:spacing w:line="240" w:lineRule="auto"/>
        <w:rPr>
          <w:b/>
          <w:bCs/>
        </w:rPr>
      </w:pPr>
    </w:p>
    <w:p w14:paraId="681E692B" w14:textId="77777777" w:rsidR="00191869" w:rsidRDefault="00191869">
      <w:pPr>
        <w:spacing w:line="240" w:lineRule="auto"/>
        <w:rPr>
          <w:b/>
          <w:bCs/>
        </w:rPr>
      </w:pPr>
    </w:p>
    <w:p w14:paraId="71B57F71" w14:textId="77777777" w:rsidR="00191869" w:rsidRDefault="00191869">
      <w:pPr>
        <w:spacing w:line="240" w:lineRule="auto"/>
        <w:rPr>
          <w:b/>
          <w:bCs/>
        </w:rPr>
      </w:pPr>
    </w:p>
    <w:p w14:paraId="5AE716AC" w14:textId="77777777" w:rsidR="00191869" w:rsidRDefault="00191869">
      <w:pPr>
        <w:spacing w:line="240" w:lineRule="auto"/>
        <w:rPr>
          <w:b/>
          <w:bCs/>
        </w:rPr>
      </w:pPr>
    </w:p>
    <w:p w14:paraId="6E5DB1A7" w14:textId="77777777" w:rsidR="00191869" w:rsidRDefault="00191869">
      <w:pPr>
        <w:spacing w:line="240" w:lineRule="auto"/>
        <w:rPr>
          <w:b/>
          <w:bCs/>
        </w:rPr>
      </w:pPr>
    </w:p>
    <w:p w14:paraId="1B754676" w14:textId="77777777" w:rsidR="00191869" w:rsidRDefault="00191869">
      <w:pPr>
        <w:spacing w:line="240" w:lineRule="auto"/>
        <w:rPr>
          <w:b/>
          <w:bCs/>
        </w:rPr>
      </w:pPr>
    </w:p>
    <w:p w14:paraId="7D1CDAD4" w14:textId="77777777" w:rsidR="00191869" w:rsidRDefault="00191869">
      <w:pPr>
        <w:spacing w:line="240" w:lineRule="auto"/>
        <w:rPr>
          <w:b/>
          <w:bCs/>
        </w:rPr>
      </w:pPr>
    </w:p>
    <w:p w14:paraId="5703FF89" w14:textId="77777777" w:rsidR="00191869" w:rsidRDefault="00191869">
      <w:pPr>
        <w:spacing w:line="240" w:lineRule="auto"/>
        <w:rPr>
          <w:b/>
          <w:bCs/>
        </w:rPr>
      </w:pPr>
    </w:p>
    <w:p w14:paraId="4F6F02A9" w14:textId="77777777" w:rsidR="00191869" w:rsidRDefault="00191869">
      <w:pPr>
        <w:spacing w:line="240" w:lineRule="auto"/>
        <w:rPr>
          <w:b/>
          <w:bCs/>
        </w:rPr>
      </w:pPr>
    </w:p>
    <w:p w14:paraId="70C5E9B4" w14:textId="77777777" w:rsidR="00191869" w:rsidRDefault="00191869">
      <w:pPr>
        <w:spacing w:line="240" w:lineRule="auto"/>
        <w:rPr>
          <w:b/>
          <w:bCs/>
        </w:rPr>
      </w:pPr>
    </w:p>
    <w:p w14:paraId="73A39633" w14:textId="77777777" w:rsidR="00191869" w:rsidRDefault="00191869">
      <w:pPr>
        <w:spacing w:line="240" w:lineRule="auto"/>
        <w:rPr>
          <w:b/>
          <w:bCs/>
        </w:rPr>
      </w:pPr>
    </w:p>
    <w:p w14:paraId="65C60D73" w14:textId="77777777" w:rsidR="00191869" w:rsidRDefault="00191869">
      <w:pPr>
        <w:spacing w:line="240" w:lineRule="auto"/>
        <w:rPr>
          <w:b/>
          <w:bCs/>
        </w:rPr>
      </w:pPr>
    </w:p>
    <w:p w14:paraId="79FED668" w14:textId="77777777" w:rsidR="00191869" w:rsidRDefault="00191869">
      <w:pPr>
        <w:spacing w:line="240" w:lineRule="auto"/>
        <w:rPr>
          <w:b/>
          <w:bCs/>
        </w:rPr>
      </w:pPr>
    </w:p>
    <w:p w14:paraId="4074479F" w14:textId="77777777" w:rsidR="00191869" w:rsidRDefault="00191869">
      <w:pPr>
        <w:spacing w:line="240" w:lineRule="auto"/>
        <w:rPr>
          <w:b/>
          <w:bCs/>
        </w:rPr>
      </w:pPr>
    </w:p>
    <w:p w14:paraId="47EC718F" w14:textId="77777777" w:rsidR="00191869" w:rsidRDefault="00191869">
      <w:pPr>
        <w:spacing w:line="240" w:lineRule="auto"/>
        <w:rPr>
          <w:b/>
          <w:bCs/>
        </w:rPr>
      </w:pPr>
    </w:p>
    <w:p w14:paraId="54CD49C6" w14:textId="77777777" w:rsidR="00191869" w:rsidRDefault="00191869">
      <w:pPr>
        <w:spacing w:line="240" w:lineRule="auto"/>
        <w:rPr>
          <w:b/>
          <w:bCs/>
        </w:rPr>
      </w:pPr>
    </w:p>
    <w:p w14:paraId="62940E10" w14:textId="77777777" w:rsidR="00191869" w:rsidRDefault="00191869">
      <w:pPr>
        <w:spacing w:line="240" w:lineRule="auto"/>
        <w:rPr>
          <w:b/>
          <w:bCs/>
        </w:rPr>
      </w:pPr>
    </w:p>
    <w:p w14:paraId="64EC738C" w14:textId="77777777" w:rsidR="00191869" w:rsidRDefault="00191869">
      <w:pPr>
        <w:spacing w:line="240" w:lineRule="auto"/>
        <w:rPr>
          <w:b/>
          <w:bCs/>
        </w:rPr>
      </w:pPr>
    </w:p>
    <w:p w14:paraId="5E19A5BD" w14:textId="77777777" w:rsidR="00191869" w:rsidRDefault="00191869">
      <w:pPr>
        <w:spacing w:line="240" w:lineRule="auto"/>
        <w:rPr>
          <w:b/>
          <w:bCs/>
        </w:rPr>
      </w:pPr>
    </w:p>
    <w:p w14:paraId="18F8225F" w14:textId="77777777" w:rsidR="00191869" w:rsidRDefault="00191869">
      <w:pPr>
        <w:spacing w:line="240" w:lineRule="auto"/>
        <w:rPr>
          <w:b/>
          <w:bCs/>
        </w:rPr>
      </w:pPr>
    </w:p>
    <w:p w14:paraId="024B60C5" w14:textId="77777777" w:rsidR="00191869" w:rsidRDefault="00191869">
      <w:pPr>
        <w:spacing w:line="240" w:lineRule="auto"/>
        <w:rPr>
          <w:b/>
          <w:bCs/>
        </w:rPr>
      </w:pPr>
    </w:p>
    <w:p w14:paraId="20CC1945" w14:textId="77777777" w:rsidR="00191869" w:rsidRDefault="00191869">
      <w:pPr>
        <w:spacing w:line="240" w:lineRule="auto"/>
        <w:rPr>
          <w:b/>
          <w:bCs/>
        </w:rPr>
      </w:pPr>
    </w:p>
    <w:p w14:paraId="50F22C48" w14:textId="77777777" w:rsidR="00191869" w:rsidRDefault="00000000">
      <w:pPr>
        <w:pStyle w:val="Heading1"/>
        <w:spacing w:line="240" w:lineRule="auto"/>
        <w:rPr>
          <w:sz w:val="22"/>
          <w:szCs w:val="22"/>
        </w:rPr>
      </w:pPr>
      <w:bookmarkStart w:id="4" w:name="_mraznpf5vwj0" w:colFirst="0" w:colLast="0"/>
      <w:bookmarkEnd w:id="4"/>
      <w:r>
        <w:rPr>
          <w:b/>
          <w:bCs/>
          <w:sz w:val="22"/>
          <w:szCs w:val="22"/>
        </w:rPr>
        <w:lastRenderedPageBreak/>
        <w:t xml:space="preserve">Supplementary Fig.5. </w:t>
      </w:r>
      <w:r>
        <w:rPr>
          <w:sz w:val="22"/>
          <w:szCs w:val="22"/>
        </w:rPr>
        <w:t xml:space="preserve">Performance of multivariable risk factor model and first swab positivity in discriminating persistent </w:t>
      </w:r>
      <w:r>
        <w:rPr>
          <w:i/>
          <w:iCs/>
          <w:sz w:val="22"/>
          <w:szCs w:val="22"/>
        </w:rPr>
        <w:t>S. aureus</w:t>
      </w:r>
      <w:r>
        <w:rPr>
          <w:sz w:val="22"/>
          <w:szCs w:val="22"/>
        </w:rPr>
        <w:t xml:space="preserve"> carriage.</w:t>
      </w:r>
    </w:p>
    <w:p w14:paraId="7599AA2F" w14:textId="77777777" w:rsidR="00191869" w:rsidRDefault="00191869">
      <w:pPr>
        <w:spacing w:line="240" w:lineRule="auto"/>
      </w:pPr>
    </w:p>
    <w:p w14:paraId="2322B9B9" w14:textId="77777777" w:rsidR="00191869" w:rsidRDefault="00000000">
      <w:pPr>
        <w:spacing w:line="240" w:lineRule="auto"/>
      </w:pPr>
      <w:r>
        <w:t>(a) Persistent carriage versus absence or undetermined carriage</w:t>
      </w:r>
    </w:p>
    <w:p w14:paraId="063BB039" w14:textId="77777777" w:rsidR="00191869" w:rsidRDefault="00000000">
      <w:r>
        <w:rPr>
          <w:noProof/>
        </w:rPr>
        <w:drawing>
          <wp:inline distT="0" distB="0" distL="0" distR="0" wp14:anchorId="7DE7188D" wp14:editId="25A5E710">
            <wp:extent cx="5115600" cy="374400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5600" cy="374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E42F28" w14:textId="77777777" w:rsidR="00191869" w:rsidRDefault="00000000">
      <w:pPr>
        <w:spacing w:line="240" w:lineRule="auto"/>
      </w:pPr>
      <w:r>
        <w:t>(b) Persistent carriage versus undetermined carriage</w:t>
      </w:r>
    </w:p>
    <w:p w14:paraId="5EF1F110" w14:textId="77777777" w:rsidR="00191869" w:rsidRDefault="00000000">
      <w:r>
        <w:rPr>
          <w:noProof/>
        </w:rPr>
        <w:drawing>
          <wp:inline distT="0" distB="0" distL="0" distR="0" wp14:anchorId="689E24CE" wp14:editId="15F6E46E">
            <wp:extent cx="5115600" cy="37440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5600" cy="374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B9E35C" w14:textId="77777777" w:rsidR="00191869" w:rsidRDefault="00191869">
      <w:pPr>
        <w:rPr>
          <w:b/>
          <w:bCs/>
        </w:rPr>
      </w:pPr>
    </w:p>
    <w:p w14:paraId="3053ED28" w14:textId="77777777" w:rsidR="00191869" w:rsidRDefault="00191869">
      <w:pPr>
        <w:rPr>
          <w:b/>
          <w:bCs/>
        </w:rPr>
      </w:pPr>
    </w:p>
    <w:p w14:paraId="1EBDDBDF" w14:textId="77777777" w:rsidR="00191869" w:rsidRDefault="00191869">
      <w:pPr>
        <w:rPr>
          <w:b/>
          <w:bCs/>
        </w:rPr>
      </w:pPr>
    </w:p>
    <w:p w14:paraId="74A8B74D" w14:textId="77777777" w:rsidR="00191869" w:rsidRDefault="00191869">
      <w:pPr>
        <w:rPr>
          <w:b/>
          <w:bCs/>
        </w:rPr>
      </w:pPr>
    </w:p>
    <w:p w14:paraId="078CF525" w14:textId="1305083B" w:rsidR="00191869" w:rsidRDefault="00000000">
      <w:pPr>
        <w:pStyle w:val="Heading1"/>
        <w:spacing w:line="240" w:lineRule="auto"/>
        <w:rPr>
          <w:sz w:val="22"/>
          <w:szCs w:val="22"/>
        </w:rPr>
      </w:pPr>
      <w:bookmarkStart w:id="5" w:name="_b512mgno6uib" w:colFirst="0" w:colLast="0"/>
      <w:bookmarkEnd w:id="5"/>
      <w:r>
        <w:rPr>
          <w:b/>
          <w:bCs/>
          <w:sz w:val="22"/>
          <w:szCs w:val="22"/>
        </w:rPr>
        <w:lastRenderedPageBreak/>
        <w:t xml:space="preserve">Supplementary Fig.6. </w:t>
      </w:r>
      <w:r>
        <w:rPr>
          <w:sz w:val="22"/>
          <w:szCs w:val="22"/>
        </w:rPr>
        <w:t xml:space="preserve">Prevalence of </w:t>
      </w:r>
      <w:r w:rsidR="00A24173" w:rsidRPr="00A24173">
        <w:rPr>
          <w:i/>
          <w:iCs/>
          <w:sz w:val="22"/>
          <w:szCs w:val="22"/>
        </w:rPr>
        <w:t>Staphylococcus aureus</w:t>
      </w:r>
      <w:r w:rsidR="00A24173">
        <w:rPr>
          <w:sz w:val="22"/>
          <w:szCs w:val="22"/>
        </w:rPr>
        <w:t xml:space="preserve"> </w:t>
      </w:r>
      <w:r>
        <w:rPr>
          <w:sz w:val="22"/>
          <w:szCs w:val="22"/>
        </w:rPr>
        <w:t>first swab positivity and persistent carriage by age and sex</w:t>
      </w:r>
    </w:p>
    <w:p w14:paraId="45A53CC5" w14:textId="77777777" w:rsidR="00191869" w:rsidRDefault="00191869"/>
    <w:p w14:paraId="6F193179" w14:textId="77777777" w:rsidR="00191869" w:rsidRDefault="00000000">
      <w:r>
        <w:rPr>
          <w:noProof/>
        </w:rPr>
        <w:drawing>
          <wp:inline distT="114300" distB="114300" distL="114300" distR="114300" wp14:anchorId="3BA61186" wp14:editId="6CFB190B">
            <wp:extent cx="4448175" cy="3248025"/>
            <wp:effectExtent l="0" t="0" r="0" b="0"/>
            <wp:docPr id="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24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91869">
      <w:pgSz w:w="11909" w:h="16834"/>
      <w:pgMar w:top="1134" w:right="1134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DB60E7B-9F1C-724C-A734-3D9FEFA083FD}"/>
    <w:embedBold r:id="rId2" w:fontKey="{9C58FF3E-7D64-604F-895C-87D69B6C5FDE}"/>
    <w:embedItalic r:id="rId3" w:fontKey="{E84BDC23-E856-964B-815A-ECE41AF3F95A}"/>
    <w:embedBoldItalic r:id="rId4" w:fontKey="{D6F999DE-2ECD-BC49-9BF6-EB51834FDF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47B0B8EE-F7A1-2142-A605-CFF57CA1CD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201BD87-FEEC-FC4D-88AA-00FC5FE856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78CDBBC-3D2D-4C4A-9F91-9898C81D64B2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869"/>
    <w:rsid w:val="00191869"/>
    <w:rsid w:val="00A24173"/>
    <w:rsid w:val="00B3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0E2AB5"/>
  <w15:docId w15:val="{905B9613-FC8C-8641-A418-217355B4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Ewan Harrison</cp:lastModifiedBy>
  <cp:revision>2</cp:revision>
  <dcterms:created xsi:type="dcterms:W3CDTF">2026-10-07T12:15:00Z</dcterms:created>
  <dcterms:modified xsi:type="dcterms:W3CDTF">2026-10-07T12:17:00Z</dcterms:modified>
</cp:coreProperties>
</file>