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7100" w:rsidRDefault="008A7100" w:rsidP="008A7100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Supplementary Table 1.</w:t>
      </w:r>
      <w:r>
        <w:rPr>
          <w:rFonts w:ascii="Arial" w:hAnsi="Arial" w:cs="Arial"/>
          <w:sz w:val="24"/>
          <w:szCs w:val="24"/>
        </w:rPr>
        <w:t xml:space="preserve"> Baseline characteristics and colectomy rate according to dependent variables.</w:t>
      </w:r>
    </w:p>
    <w:p w:rsidR="008A7100" w:rsidRDefault="008A7100" w:rsidP="008A7100">
      <w:pPr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Style w:val="TableGrid"/>
        <w:tblW w:w="11625" w:type="dxa"/>
        <w:tblInd w:w="-1565" w:type="dxa"/>
        <w:tblLook w:val="04A0" w:firstRow="1" w:lastRow="0" w:firstColumn="1" w:lastColumn="0" w:noHBand="0" w:noVBand="1"/>
      </w:tblPr>
      <w:tblGrid>
        <w:gridCol w:w="2093"/>
        <w:gridCol w:w="2237"/>
        <w:gridCol w:w="2061"/>
        <w:gridCol w:w="1540"/>
        <w:gridCol w:w="1926"/>
        <w:gridCol w:w="1768"/>
      </w:tblGrid>
      <w:tr w:rsidR="008A7100" w:rsidTr="00B61DDA">
        <w:tc>
          <w:tcPr>
            <w:tcW w:w="4329" w:type="dxa"/>
            <w:gridSpan w:val="2"/>
            <w:shd w:val="clear" w:color="auto" w:fill="D0CECE" w:themeFill="background2" w:themeFillShade="E6"/>
          </w:tcPr>
          <w:p w:rsidR="008A7100" w:rsidRDefault="008A7100" w:rsidP="00B61DDA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2061" w:type="dxa"/>
            <w:shd w:val="clear" w:color="auto" w:fill="D0CECE" w:themeFill="background2" w:themeFillShade="E6"/>
          </w:tcPr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Patients not requiring colectomy (n=15,576)</w:t>
            </w:r>
          </w:p>
        </w:tc>
        <w:tc>
          <w:tcPr>
            <w:tcW w:w="1540" w:type="dxa"/>
            <w:shd w:val="clear" w:color="auto" w:fill="D0CECE" w:themeFill="background2" w:themeFillShade="E6"/>
          </w:tcPr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Colectomy</w:t>
            </w:r>
          </w:p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(n=131)</w:t>
            </w:r>
          </w:p>
        </w:tc>
        <w:tc>
          <w:tcPr>
            <w:tcW w:w="1926" w:type="dxa"/>
            <w:shd w:val="clear" w:color="auto" w:fill="D0CECE" w:themeFill="background2" w:themeFillShade="E6"/>
          </w:tcPr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Colectomy rate 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‰</w:t>
            </w:r>
            <w:r>
              <w:rPr>
                <w:rFonts w:ascii="Arial" w:hAnsi="Arial" w:cs="Arial"/>
                <w:lang w:val="en-US"/>
              </w:rPr>
              <w:t xml:space="preserve"> (95% CI)</w:t>
            </w:r>
          </w:p>
        </w:tc>
        <w:tc>
          <w:tcPr>
            <w:tcW w:w="1768" w:type="dxa"/>
            <w:shd w:val="clear" w:color="auto" w:fill="D0CECE" w:themeFill="background2" w:themeFillShade="E6"/>
          </w:tcPr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vertAlign w:val="superscript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Significance</w:t>
            </w:r>
            <w:r>
              <w:rPr>
                <w:rFonts w:ascii="Arial" w:hAnsi="Arial" w:cs="Arial"/>
                <w:vertAlign w:val="superscript"/>
                <w:lang w:val="en-US"/>
              </w:rPr>
              <w:t>1</w:t>
            </w:r>
          </w:p>
        </w:tc>
      </w:tr>
      <w:tr w:rsidR="008A7100" w:rsidTr="00B61DDA">
        <w:tc>
          <w:tcPr>
            <w:tcW w:w="2092" w:type="dxa"/>
            <w:shd w:val="clear" w:color="auto" w:fill="auto"/>
            <w:vAlign w:val="center"/>
          </w:tcPr>
          <w:p w:rsidR="008A7100" w:rsidRDefault="008A7100" w:rsidP="00B61DDA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sz w:val="24"/>
                <w:szCs w:val="24"/>
                <w:lang w:val="en-US"/>
              </w:rPr>
              <w:t>Sex</w:t>
            </w:r>
          </w:p>
          <w:p w:rsidR="008A7100" w:rsidRDefault="008A7100" w:rsidP="00B61DDA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(n=15,707)</w:t>
            </w:r>
          </w:p>
        </w:tc>
        <w:tc>
          <w:tcPr>
            <w:tcW w:w="2237" w:type="dxa"/>
            <w:shd w:val="clear" w:color="auto" w:fill="auto"/>
          </w:tcPr>
          <w:p w:rsidR="008A7100" w:rsidRDefault="008A7100" w:rsidP="008A7100">
            <w:pPr>
              <w:pStyle w:val="ListParagraph"/>
              <w:numPr>
                <w:ilvl w:val="0"/>
                <w:numId w:val="7"/>
              </w:numPr>
              <w:ind w:left="317" w:hanging="317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Female </w:t>
            </w:r>
          </w:p>
          <w:p w:rsidR="008A7100" w:rsidRDefault="008A7100" w:rsidP="008A7100">
            <w:pPr>
              <w:pStyle w:val="ListParagraph"/>
              <w:numPr>
                <w:ilvl w:val="0"/>
                <w:numId w:val="7"/>
              </w:numPr>
              <w:ind w:left="317" w:hanging="317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Male</w:t>
            </w:r>
          </w:p>
        </w:tc>
        <w:tc>
          <w:tcPr>
            <w:tcW w:w="2061" w:type="dxa"/>
            <w:shd w:val="clear" w:color="auto" w:fill="auto"/>
          </w:tcPr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6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>
              <w:rPr>
                <w:rFonts w:ascii="Arial" w:hAnsi="Arial" w:cs="Arial"/>
                <w:lang w:val="en-US"/>
              </w:rPr>
              <w:t>720 (43.1%)</w:t>
            </w:r>
          </w:p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8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>
              <w:rPr>
                <w:rFonts w:ascii="Arial" w:hAnsi="Arial" w:cs="Arial"/>
                <w:lang w:val="en-US"/>
              </w:rPr>
              <w:t>856 (56.9%)</w:t>
            </w:r>
          </w:p>
        </w:tc>
        <w:tc>
          <w:tcPr>
            <w:tcW w:w="1540" w:type="dxa"/>
            <w:shd w:val="clear" w:color="auto" w:fill="auto"/>
          </w:tcPr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60 (45.8%)</w:t>
            </w:r>
          </w:p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71 (54.2%)</w:t>
            </w:r>
          </w:p>
        </w:tc>
        <w:tc>
          <w:tcPr>
            <w:tcW w:w="1926" w:type="dxa"/>
            <w:shd w:val="clear" w:color="auto" w:fill="auto"/>
          </w:tcPr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8.8 (6.6-11.1)</w:t>
            </w:r>
          </w:p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7.9 (6.1-19.8)</w:t>
            </w:r>
          </w:p>
        </w:tc>
        <w:tc>
          <w:tcPr>
            <w:tcW w:w="1768" w:type="dxa"/>
            <w:shd w:val="clear" w:color="auto" w:fill="auto"/>
            <w:vAlign w:val="center"/>
          </w:tcPr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0.5</w:t>
            </w:r>
          </w:p>
        </w:tc>
      </w:tr>
      <w:tr w:rsidR="008A7100" w:rsidTr="00B61DDA">
        <w:tc>
          <w:tcPr>
            <w:tcW w:w="2092" w:type="dxa"/>
            <w:shd w:val="clear" w:color="auto" w:fill="auto"/>
            <w:vAlign w:val="center"/>
          </w:tcPr>
          <w:p w:rsidR="008A7100" w:rsidRDefault="008A7100" w:rsidP="00B61DDA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Age </w:t>
            </w:r>
          </w:p>
          <w:p w:rsidR="008A7100" w:rsidRDefault="008A7100" w:rsidP="00B61DDA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(n=15,707)</w:t>
            </w:r>
          </w:p>
        </w:tc>
        <w:tc>
          <w:tcPr>
            <w:tcW w:w="2237" w:type="dxa"/>
            <w:shd w:val="clear" w:color="auto" w:fill="auto"/>
          </w:tcPr>
          <w:p w:rsidR="008A7100" w:rsidRDefault="008A7100" w:rsidP="008A7100">
            <w:pPr>
              <w:pStyle w:val="ListParagraph"/>
              <w:numPr>
                <w:ilvl w:val="0"/>
                <w:numId w:val="7"/>
              </w:numPr>
              <w:ind w:left="317" w:hanging="317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&lt;60 years</w:t>
            </w:r>
          </w:p>
          <w:p w:rsidR="008A7100" w:rsidRDefault="008A7100" w:rsidP="008A7100">
            <w:pPr>
              <w:pStyle w:val="ListParagraph"/>
              <w:numPr>
                <w:ilvl w:val="0"/>
                <w:numId w:val="7"/>
              </w:numPr>
              <w:ind w:left="317" w:hanging="317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≥</w:t>
            </w:r>
            <w:r>
              <w:rPr>
                <w:rFonts w:ascii="Arial" w:hAnsi="Arial" w:cs="Arial"/>
                <w:lang w:val="en-US"/>
              </w:rPr>
              <w:t>60 years</w:t>
            </w:r>
          </w:p>
        </w:tc>
        <w:tc>
          <w:tcPr>
            <w:tcW w:w="2061" w:type="dxa"/>
            <w:shd w:val="clear" w:color="auto" w:fill="auto"/>
          </w:tcPr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6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>
              <w:rPr>
                <w:rFonts w:ascii="Arial" w:hAnsi="Arial" w:cs="Arial"/>
                <w:lang w:val="en-US"/>
              </w:rPr>
              <w:t>869 (44.1%)</w:t>
            </w:r>
          </w:p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8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>
              <w:rPr>
                <w:rFonts w:ascii="Arial" w:hAnsi="Arial" w:cs="Arial"/>
                <w:lang w:val="en-US"/>
              </w:rPr>
              <w:t>707 (55.9%)</w:t>
            </w:r>
          </w:p>
        </w:tc>
        <w:tc>
          <w:tcPr>
            <w:tcW w:w="1540" w:type="dxa"/>
            <w:shd w:val="clear" w:color="auto" w:fill="auto"/>
          </w:tcPr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34 (26.0%)</w:t>
            </w:r>
          </w:p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97 (74.0%)</w:t>
            </w:r>
          </w:p>
        </w:tc>
        <w:tc>
          <w:tcPr>
            <w:tcW w:w="1926" w:type="dxa"/>
            <w:shd w:val="clear" w:color="auto" w:fill="auto"/>
          </w:tcPr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4.9 (3.3-6.6)</w:t>
            </w:r>
          </w:p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11.0 (8.8-13.2)</w:t>
            </w:r>
          </w:p>
        </w:tc>
        <w:tc>
          <w:tcPr>
            <w:tcW w:w="1768" w:type="dxa"/>
            <w:shd w:val="clear" w:color="auto" w:fill="auto"/>
            <w:vAlign w:val="center"/>
          </w:tcPr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&lt;0.001</w:t>
            </w:r>
          </w:p>
        </w:tc>
      </w:tr>
      <w:tr w:rsidR="008A7100" w:rsidTr="00B61DDA">
        <w:tc>
          <w:tcPr>
            <w:tcW w:w="2092" w:type="dxa"/>
            <w:shd w:val="clear" w:color="auto" w:fill="auto"/>
            <w:vAlign w:val="center"/>
          </w:tcPr>
          <w:p w:rsidR="008A7100" w:rsidRDefault="008A7100" w:rsidP="00B61DDA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PS </w:t>
            </w:r>
          </w:p>
          <w:p w:rsidR="008A7100" w:rsidRDefault="008A7100" w:rsidP="00B61DDA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(n=15,</w:t>
            </w:r>
            <w:r>
              <w:t xml:space="preserve"> </w:t>
            </w:r>
            <w:r>
              <w:rPr>
                <w:rFonts w:ascii="Arial" w:hAnsi="Arial" w:cs="Arial"/>
                <w:lang w:val="en-US"/>
              </w:rPr>
              <w:t>383)</w:t>
            </w:r>
          </w:p>
        </w:tc>
        <w:tc>
          <w:tcPr>
            <w:tcW w:w="2237" w:type="dxa"/>
            <w:shd w:val="clear" w:color="auto" w:fill="auto"/>
          </w:tcPr>
          <w:p w:rsidR="008A7100" w:rsidRDefault="008A7100" w:rsidP="008A7100">
            <w:pPr>
              <w:pStyle w:val="ListParagraph"/>
              <w:numPr>
                <w:ilvl w:val="0"/>
                <w:numId w:val="5"/>
              </w:numPr>
              <w:ind w:left="318" w:hanging="284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</w:t>
            </w:r>
          </w:p>
          <w:p w:rsidR="008A7100" w:rsidRDefault="008A7100" w:rsidP="008A7100">
            <w:pPr>
              <w:pStyle w:val="ListParagraph"/>
              <w:numPr>
                <w:ilvl w:val="0"/>
                <w:numId w:val="5"/>
              </w:numPr>
              <w:ind w:left="318" w:hanging="284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</w:t>
            </w:r>
          </w:p>
        </w:tc>
        <w:tc>
          <w:tcPr>
            <w:tcW w:w="2061" w:type="dxa"/>
            <w:shd w:val="clear" w:color="auto" w:fill="auto"/>
          </w:tcPr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12,410 (81.3%)</w:t>
            </w:r>
          </w:p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2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>
              <w:rPr>
                <w:rFonts w:ascii="Arial" w:hAnsi="Arial" w:cs="Arial"/>
                <w:lang w:val="en-US"/>
              </w:rPr>
              <w:t>844 (18.6%)</w:t>
            </w:r>
          </w:p>
        </w:tc>
        <w:tc>
          <w:tcPr>
            <w:tcW w:w="1540" w:type="dxa"/>
            <w:shd w:val="clear" w:color="auto" w:fill="auto"/>
          </w:tcPr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110 (84.0%)</w:t>
            </w:r>
          </w:p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19 (16.0%)</w:t>
            </w:r>
          </w:p>
        </w:tc>
        <w:tc>
          <w:tcPr>
            <w:tcW w:w="1926" w:type="dxa"/>
            <w:shd w:val="clear" w:color="auto" w:fill="auto"/>
          </w:tcPr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8.8 (7.1-10.4)</w:t>
            </w:r>
          </w:p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6.6 (3.7-9.6)</w:t>
            </w:r>
          </w:p>
        </w:tc>
        <w:tc>
          <w:tcPr>
            <w:tcW w:w="1768" w:type="dxa"/>
            <w:shd w:val="clear" w:color="auto" w:fill="auto"/>
            <w:vAlign w:val="center"/>
          </w:tcPr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0.4</w:t>
            </w:r>
          </w:p>
        </w:tc>
      </w:tr>
      <w:tr w:rsidR="008A7100" w:rsidTr="00B61DDA">
        <w:tc>
          <w:tcPr>
            <w:tcW w:w="2092" w:type="dxa"/>
            <w:shd w:val="clear" w:color="auto" w:fill="auto"/>
            <w:vAlign w:val="center"/>
          </w:tcPr>
          <w:p w:rsidR="008A7100" w:rsidRDefault="008A7100" w:rsidP="00B61DDA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ASA</w:t>
            </w:r>
          </w:p>
          <w:p w:rsidR="008A7100" w:rsidRDefault="008A7100" w:rsidP="00B61DDA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(n=15,383)</w:t>
            </w:r>
          </w:p>
        </w:tc>
        <w:tc>
          <w:tcPr>
            <w:tcW w:w="2237" w:type="dxa"/>
            <w:shd w:val="clear" w:color="auto" w:fill="auto"/>
          </w:tcPr>
          <w:p w:rsidR="008A7100" w:rsidRDefault="008A7100" w:rsidP="008A7100">
            <w:pPr>
              <w:pStyle w:val="ListParagraph"/>
              <w:numPr>
                <w:ilvl w:val="0"/>
                <w:numId w:val="6"/>
              </w:numPr>
              <w:ind w:left="318" w:hanging="284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I</w:t>
            </w:r>
          </w:p>
          <w:p w:rsidR="008A7100" w:rsidRDefault="008A7100" w:rsidP="008A7100">
            <w:pPr>
              <w:pStyle w:val="ListParagraph"/>
              <w:numPr>
                <w:ilvl w:val="0"/>
                <w:numId w:val="6"/>
              </w:numPr>
              <w:ind w:left="318" w:hanging="284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II</w:t>
            </w:r>
          </w:p>
          <w:p w:rsidR="008A7100" w:rsidRDefault="008A7100" w:rsidP="008A7100">
            <w:pPr>
              <w:pStyle w:val="ListParagraph"/>
              <w:numPr>
                <w:ilvl w:val="0"/>
                <w:numId w:val="6"/>
              </w:numPr>
              <w:ind w:left="318" w:hanging="284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III</w:t>
            </w:r>
          </w:p>
        </w:tc>
        <w:tc>
          <w:tcPr>
            <w:tcW w:w="2061" w:type="dxa"/>
            <w:shd w:val="clear" w:color="auto" w:fill="auto"/>
          </w:tcPr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8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>
              <w:rPr>
                <w:rFonts w:ascii="Arial" w:hAnsi="Arial" w:cs="Arial"/>
                <w:lang w:val="en-US"/>
              </w:rPr>
              <w:t>894 (58.4%)</w:t>
            </w:r>
          </w:p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5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>
              <w:rPr>
                <w:rFonts w:ascii="Arial" w:hAnsi="Arial" w:cs="Arial"/>
                <w:lang w:val="en-US"/>
              </w:rPr>
              <w:t>400 (35.5%)</w:t>
            </w:r>
          </w:p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960 (6.1%)</w:t>
            </w:r>
          </w:p>
        </w:tc>
        <w:tc>
          <w:tcPr>
            <w:tcW w:w="1540" w:type="dxa"/>
            <w:shd w:val="clear" w:color="auto" w:fill="auto"/>
          </w:tcPr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78 (60.5%)</w:t>
            </w:r>
          </w:p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44 (34.1%)</w:t>
            </w:r>
          </w:p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7 (5.4%)</w:t>
            </w:r>
          </w:p>
        </w:tc>
        <w:tc>
          <w:tcPr>
            <w:tcW w:w="1926" w:type="dxa"/>
            <w:shd w:val="clear" w:color="auto" w:fill="auto"/>
          </w:tcPr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8.7 (6.8-10.6)</w:t>
            </w:r>
          </w:p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8.1(5.7-10.5)</w:t>
            </w:r>
          </w:p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7.2 (1.9-12.6)</w:t>
            </w:r>
          </w:p>
        </w:tc>
        <w:tc>
          <w:tcPr>
            <w:tcW w:w="1768" w:type="dxa"/>
            <w:shd w:val="clear" w:color="auto" w:fill="auto"/>
            <w:vAlign w:val="center"/>
          </w:tcPr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0.9</w:t>
            </w:r>
          </w:p>
        </w:tc>
      </w:tr>
      <w:tr w:rsidR="008A7100" w:rsidTr="00B61DDA">
        <w:tc>
          <w:tcPr>
            <w:tcW w:w="2092" w:type="dxa"/>
            <w:shd w:val="clear" w:color="auto" w:fill="auto"/>
            <w:vAlign w:val="center"/>
          </w:tcPr>
          <w:p w:rsidR="008A7100" w:rsidRDefault="008A7100" w:rsidP="00B61DDA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Fecal Hb (n=15,707)</w:t>
            </w:r>
          </w:p>
        </w:tc>
        <w:tc>
          <w:tcPr>
            <w:tcW w:w="2237" w:type="dxa"/>
            <w:shd w:val="clear" w:color="auto" w:fill="auto"/>
          </w:tcPr>
          <w:p w:rsidR="008A7100" w:rsidRDefault="008A7100" w:rsidP="00B61DDA">
            <w:pPr>
              <w:pStyle w:val="ListParagraph"/>
              <w:numPr>
                <w:ilvl w:val="0"/>
                <w:numId w:val="4"/>
              </w:numPr>
              <w:ind w:left="318" w:hanging="284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&lt;100 µg/g </w:t>
            </w:r>
          </w:p>
          <w:p w:rsidR="008A7100" w:rsidRDefault="008A7100" w:rsidP="00B61DDA">
            <w:pPr>
              <w:pStyle w:val="ListParagraph"/>
              <w:numPr>
                <w:ilvl w:val="0"/>
                <w:numId w:val="4"/>
              </w:numPr>
              <w:ind w:left="318" w:hanging="284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100-200 µg/g </w:t>
            </w:r>
          </w:p>
          <w:p w:rsidR="008A7100" w:rsidRDefault="008A7100" w:rsidP="00B61DDA">
            <w:pPr>
              <w:pStyle w:val="ListParagraph"/>
              <w:numPr>
                <w:ilvl w:val="0"/>
                <w:numId w:val="4"/>
              </w:numPr>
              <w:ind w:left="318" w:hanging="284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&gt;200 µg/g </w:t>
            </w:r>
          </w:p>
        </w:tc>
        <w:tc>
          <w:tcPr>
            <w:tcW w:w="2061" w:type="dxa"/>
            <w:shd w:val="clear" w:color="auto" w:fill="auto"/>
          </w:tcPr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10,403 (66.8%)</w:t>
            </w:r>
          </w:p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2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>
              <w:rPr>
                <w:rFonts w:ascii="Arial" w:hAnsi="Arial" w:cs="Arial"/>
                <w:lang w:val="en-US"/>
              </w:rPr>
              <w:t>945 (18.9%)</w:t>
            </w:r>
          </w:p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2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>
              <w:rPr>
                <w:rFonts w:ascii="Arial" w:hAnsi="Arial" w:cs="Arial"/>
                <w:lang w:val="en-US"/>
              </w:rPr>
              <w:t>228 (14.3%)</w:t>
            </w:r>
          </w:p>
        </w:tc>
        <w:tc>
          <w:tcPr>
            <w:tcW w:w="1540" w:type="dxa"/>
            <w:shd w:val="clear" w:color="auto" w:fill="auto"/>
          </w:tcPr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64 (48.9%)</w:t>
            </w:r>
          </w:p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31 (23.7%)</w:t>
            </w:r>
          </w:p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36 (27.5%)</w:t>
            </w:r>
          </w:p>
        </w:tc>
        <w:tc>
          <w:tcPr>
            <w:tcW w:w="1926" w:type="dxa"/>
            <w:shd w:val="clear" w:color="auto" w:fill="auto"/>
          </w:tcPr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6.1 (4.6-7.6)</w:t>
            </w:r>
          </w:p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10.8 (7.0-14.5)</w:t>
            </w:r>
          </w:p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15.9(10.7-21.0)</w:t>
            </w:r>
          </w:p>
        </w:tc>
        <w:tc>
          <w:tcPr>
            <w:tcW w:w="1768" w:type="dxa"/>
            <w:shd w:val="clear" w:color="auto" w:fill="auto"/>
            <w:vAlign w:val="center"/>
          </w:tcPr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&lt;0.001</w:t>
            </w:r>
          </w:p>
        </w:tc>
      </w:tr>
      <w:tr w:rsidR="008A7100" w:rsidTr="00B61DDA">
        <w:tc>
          <w:tcPr>
            <w:tcW w:w="2092" w:type="dxa"/>
            <w:shd w:val="clear" w:color="auto" w:fill="auto"/>
          </w:tcPr>
          <w:p w:rsidR="008A7100" w:rsidRDefault="008A7100" w:rsidP="00B61DDA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N.colonoscopies</w:t>
            </w:r>
          </w:p>
          <w:p w:rsidR="008A7100" w:rsidRDefault="008A7100" w:rsidP="00B61DDA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(n=15,707) </w:t>
            </w:r>
          </w:p>
        </w:tc>
        <w:tc>
          <w:tcPr>
            <w:tcW w:w="2237" w:type="dxa"/>
            <w:shd w:val="clear" w:color="auto" w:fill="auto"/>
          </w:tcPr>
          <w:p w:rsidR="008A7100" w:rsidRDefault="008A7100" w:rsidP="008A7100">
            <w:pPr>
              <w:pStyle w:val="ListParagraph"/>
              <w:numPr>
                <w:ilvl w:val="0"/>
                <w:numId w:val="8"/>
              </w:numPr>
              <w:ind w:left="318" w:hanging="284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One</w:t>
            </w:r>
          </w:p>
          <w:p w:rsidR="008A7100" w:rsidRDefault="008A7100" w:rsidP="008A7100">
            <w:pPr>
              <w:pStyle w:val="ListParagraph"/>
              <w:numPr>
                <w:ilvl w:val="0"/>
                <w:numId w:val="8"/>
              </w:numPr>
              <w:ind w:left="318" w:hanging="284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At least two</w:t>
            </w:r>
          </w:p>
        </w:tc>
        <w:tc>
          <w:tcPr>
            <w:tcW w:w="2061" w:type="dxa"/>
            <w:shd w:val="clear" w:color="auto" w:fill="auto"/>
          </w:tcPr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13,583 (87.2%)</w:t>
            </w:r>
          </w:p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>
              <w:rPr>
                <w:rFonts w:ascii="Arial" w:hAnsi="Arial" w:cs="Arial"/>
                <w:lang w:val="en-US"/>
              </w:rPr>
              <w:t>993 (12.8%)</w:t>
            </w:r>
          </w:p>
        </w:tc>
        <w:tc>
          <w:tcPr>
            <w:tcW w:w="1540" w:type="dxa"/>
            <w:shd w:val="clear" w:color="auto" w:fill="auto"/>
          </w:tcPr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96 (73.3%)</w:t>
            </w:r>
          </w:p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35 (26.7%)</w:t>
            </w:r>
          </w:p>
        </w:tc>
        <w:tc>
          <w:tcPr>
            <w:tcW w:w="1926" w:type="dxa"/>
            <w:shd w:val="clear" w:color="auto" w:fill="auto"/>
          </w:tcPr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8.9 (7.3-10.5)</w:t>
            </w:r>
          </w:p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19.7 (13.7-25.8)</w:t>
            </w:r>
          </w:p>
        </w:tc>
        <w:tc>
          <w:tcPr>
            <w:tcW w:w="1768" w:type="dxa"/>
            <w:shd w:val="clear" w:color="auto" w:fill="auto"/>
            <w:vAlign w:val="center"/>
          </w:tcPr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&lt;0.001</w:t>
            </w:r>
          </w:p>
        </w:tc>
      </w:tr>
      <w:tr w:rsidR="008A7100" w:rsidTr="00B61DDA">
        <w:tc>
          <w:tcPr>
            <w:tcW w:w="4329" w:type="dxa"/>
            <w:gridSpan w:val="2"/>
            <w:shd w:val="clear" w:color="auto" w:fill="auto"/>
          </w:tcPr>
          <w:p w:rsidR="008A7100" w:rsidRDefault="008A7100" w:rsidP="00B61DDA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Number of polyps  (n=15,707)</w:t>
            </w:r>
          </w:p>
        </w:tc>
        <w:tc>
          <w:tcPr>
            <w:tcW w:w="2061" w:type="dxa"/>
            <w:shd w:val="clear" w:color="auto" w:fill="auto"/>
          </w:tcPr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2 (1-4)</w:t>
            </w:r>
          </w:p>
        </w:tc>
        <w:tc>
          <w:tcPr>
            <w:tcW w:w="1540" w:type="dxa"/>
            <w:shd w:val="clear" w:color="auto" w:fill="auto"/>
          </w:tcPr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3 (1-5)</w:t>
            </w:r>
          </w:p>
        </w:tc>
        <w:tc>
          <w:tcPr>
            <w:tcW w:w="1926" w:type="dxa"/>
            <w:shd w:val="clear" w:color="auto" w:fill="auto"/>
          </w:tcPr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768" w:type="dxa"/>
            <w:shd w:val="clear" w:color="auto" w:fill="auto"/>
            <w:vAlign w:val="center"/>
          </w:tcPr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&lt;0.001</w:t>
            </w:r>
          </w:p>
        </w:tc>
      </w:tr>
      <w:tr w:rsidR="008A7100" w:rsidTr="00B61DDA">
        <w:tc>
          <w:tcPr>
            <w:tcW w:w="4329" w:type="dxa"/>
            <w:gridSpan w:val="2"/>
            <w:shd w:val="clear" w:color="auto" w:fill="auto"/>
          </w:tcPr>
          <w:p w:rsidR="008A7100" w:rsidRDefault="008A7100" w:rsidP="00B61DDA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Number of adenomas (n=15,707)</w:t>
            </w:r>
          </w:p>
        </w:tc>
        <w:tc>
          <w:tcPr>
            <w:tcW w:w="2061" w:type="dxa"/>
            <w:shd w:val="clear" w:color="auto" w:fill="auto"/>
          </w:tcPr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 (0-3)</w:t>
            </w:r>
          </w:p>
        </w:tc>
        <w:tc>
          <w:tcPr>
            <w:tcW w:w="1540" w:type="dxa"/>
            <w:shd w:val="clear" w:color="auto" w:fill="auto"/>
          </w:tcPr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2 (1-4)</w:t>
            </w:r>
          </w:p>
        </w:tc>
        <w:tc>
          <w:tcPr>
            <w:tcW w:w="1926" w:type="dxa"/>
            <w:shd w:val="clear" w:color="auto" w:fill="auto"/>
          </w:tcPr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768" w:type="dxa"/>
            <w:shd w:val="clear" w:color="auto" w:fill="auto"/>
            <w:vAlign w:val="center"/>
          </w:tcPr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&lt;0.001</w:t>
            </w:r>
          </w:p>
        </w:tc>
      </w:tr>
      <w:tr w:rsidR="008A7100" w:rsidTr="00B61DDA">
        <w:tc>
          <w:tcPr>
            <w:tcW w:w="4329" w:type="dxa"/>
            <w:gridSpan w:val="2"/>
            <w:shd w:val="clear" w:color="auto" w:fill="auto"/>
          </w:tcPr>
          <w:p w:rsidR="008A7100" w:rsidRDefault="008A7100" w:rsidP="00B61DDA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Adenoma size (mm) (n=15,707)</w:t>
            </w:r>
          </w:p>
        </w:tc>
        <w:tc>
          <w:tcPr>
            <w:tcW w:w="2061" w:type="dxa"/>
            <w:shd w:val="clear" w:color="auto" w:fill="auto"/>
          </w:tcPr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5 (0-12)</w:t>
            </w:r>
          </w:p>
        </w:tc>
        <w:tc>
          <w:tcPr>
            <w:tcW w:w="1540" w:type="dxa"/>
            <w:shd w:val="clear" w:color="auto" w:fill="auto"/>
          </w:tcPr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20 (7-34)</w:t>
            </w:r>
          </w:p>
        </w:tc>
        <w:tc>
          <w:tcPr>
            <w:tcW w:w="1926" w:type="dxa"/>
            <w:shd w:val="clear" w:color="auto" w:fill="auto"/>
          </w:tcPr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768" w:type="dxa"/>
            <w:shd w:val="clear" w:color="auto" w:fill="auto"/>
            <w:vAlign w:val="center"/>
          </w:tcPr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&lt;0.001</w:t>
            </w:r>
          </w:p>
        </w:tc>
      </w:tr>
      <w:tr w:rsidR="008A7100" w:rsidTr="00B61DDA">
        <w:tc>
          <w:tcPr>
            <w:tcW w:w="2092" w:type="dxa"/>
            <w:shd w:val="clear" w:color="auto" w:fill="auto"/>
            <w:vAlign w:val="center"/>
          </w:tcPr>
          <w:p w:rsidR="008A7100" w:rsidRDefault="008A7100" w:rsidP="00B61DDA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European guidelines classification</w:t>
            </w:r>
          </w:p>
          <w:p w:rsidR="008A7100" w:rsidRDefault="008A7100" w:rsidP="00B61DDA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(n=15,707)</w:t>
            </w:r>
          </w:p>
        </w:tc>
        <w:tc>
          <w:tcPr>
            <w:tcW w:w="2237" w:type="dxa"/>
            <w:shd w:val="clear" w:color="auto" w:fill="auto"/>
          </w:tcPr>
          <w:p w:rsidR="008A7100" w:rsidRDefault="008A7100" w:rsidP="00B61DDA">
            <w:pPr>
              <w:pStyle w:val="ListParagraph"/>
              <w:numPr>
                <w:ilvl w:val="0"/>
                <w:numId w:val="3"/>
              </w:numPr>
              <w:ind w:left="317" w:hanging="283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No adenoma</w:t>
            </w:r>
          </w:p>
          <w:p w:rsidR="008A7100" w:rsidRDefault="008A7100" w:rsidP="00B61DDA">
            <w:pPr>
              <w:pStyle w:val="ListParagraph"/>
              <w:numPr>
                <w:ilvl w:val="0"/>
                <w:numId w:val="3"/>
              </w:numPr>
              <w:ind w:left="317" w:hanging="283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Low risk </w:t>
            </w:r>
          </w:p>
          <w:p w:rsidR="008A7100" w:rsidRDefault="008A7100" w:rsidP="00B61DDA">
            <w:pPr>
              <w:pStyle w:val="ListParagraph"/>
              <w:numPr>
                <w:ilvl w:val="0"/>
                <w:numId w:val="3"/>
              </w:numPr>
              <w:ind w:left="317" w:hanging="283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Intermediate risk</w:t>
            </w:r>
          </w:p>
          <w:p w:rsidR="008A7100" w:rsidRDefault="008A7100" w:rsidP="00B61DDA">
            <w:pPr>
              <w:pStyle w:val="ListParagraph"/>
              <w:numPr>
                <w:ilvl w:val="0"/>
                <w:numId w:val="3"/>
              </w:numPr>
              <w:ind w:left="317" w:hanging="283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High risk</w:t>
            </w:r>
          </w:p>
        </w:tc>
        <w:tc>
          <w:tcPr>
            <w:tcW w:w="2061" w:type="dxa"/>
            <w:shd w:val="clear" w:color="auto" w:fill="auto"/>
          </w:tcPr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4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>
              <w:rPr>
                <w:rFonts w:ascii="Arial" w:hAnsi="Arial" w:cs="Arial"/>
                <w:lang w:val="en-US"/>
              </w:rPr>
              <w:t>650 (29.9%)</w:t>
            </w:r>
          </w:p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3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>
              <w:rPr>
                <w:rFonts w:ascii="Arial" w:hAnsi="Arial" w:cs="Arial"/>
                <w:lang w:val="en-US"/>
              </w:rPr>
              <w:t>627 (23.3%)</w:t>
            </w:r>
          </w:p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4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>
              <w:rPr>
                <w:rFonts w:ascii="Arial" w:hAnsi="Arial" w:cs="Arial"/>
                <w:lang w:val="en-US"/>
              </w:rPr>
              <w:t>180 (26.8%)</w:t>
            </w:r>
          </w:p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3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>
              <w:rPr>
                <w:rFonts w:ascii="Arial" w:hAnsi="Arial" w:cs="Arial"/>
                <w:lang w:val="en-US"/>
              </w:rPr>
              <w:t>119 (20.0%)</w:t>
            </w:r>
          </w:p>
        </w:tc>
        <w:tc>
          <w:tcPr>
            <w:tcW w:w="1540" w:type="dxa"/>
            <w:shd w:val="clear" w:color="auto" w:fill="auto"/>
          </w:tcPr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4 (3.1%)</w:t>
            </w:r>
          </w:p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3 (2.3%)</w:t>
            </w:r>
          </w:p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16 (12.2%)</w:t>
            </w:r>
          </w:p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108 (82.4%)</w:t>
            </w:r>
          </w:p>
        </w:tc>
        <w:tc>
          <w:tcPr>
            <w:tcW w:w="1926" w:type="dxa"/>
            <w:shd w:val="clear" w:color="auto" w:fill="auto"/>
          </w:tcPr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0.8 (0.01-1.7)</w:t>
            </w:r>
          </w:p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0.8 (-0.1-1.8)</w:t>
            </w:r>
          </w:p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3.8 (1.9-5.7)</w:t>
            </w:r>
          </w:p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33.5 (27.3-39.7)</w:t>
            </w:r>
          </w:p>
        </w:tc>
        <w:tc>
          <w:tcPr>
            <w:tcW w:w="1768" w:type="dxa"/>
            <w:shd w:val="clear" w:color="auto" w:fill="auto"/>
            <w:vAlign w:val="center"/>
          </w:tcPr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&lt;0.001</w:t>
            </w:r>
          </w:p>
        </w:tc>
      </w:tr>
      <w:tr w:rsidR="008A7100" w:rsidTr="00B61DDA">
        <w:tc>
          <w:tcPr>
            <w:tcW w:w="2092" w:type="dxa"/>
            <w:shd w:val="clear" w:color="auto" w:fill="auto"/>
            <w:vAlign w:val="center"/>
          </w:tcPr>
          <w:p w:rsidR="008A7100" w:rsidRDefault="008A7100" w:rsidP="00B61DDA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Endoscopist’s ADR</w:t>
            </w:r>
          </w:p>
          <w:p w:rsidR="008A7100" w:rsidRDefault="008A7100" w:rsidP="00B61DDA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(n=15,459)</w:t>
            </w:r>
          </w:p>
        </w:tc>
        <w:tc>
          <w:tcPr>
            <w:tcW w:w="2237" w:type="dxa"/>
            <w:shd w:val="clear" w:color="auto" w:fill="auto"/>
          </w:tcPr>
          <w:p w:rsidR="008A7100" w:rsidRDefault="008A7100" w:rsidP="00B61DDA">
            <w:pPr>
              <w:pStyle w:val="ListParagraph"/>
              <w:numPr>
                <w:ilvl w:val="0"/>
                <w:numId w:val="2"/>
              </w:numPr>
              <w:ind w:left="317" w:hanging="283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Q1 (≤60%)</w:t>
            </w:r>
          </w:p>
          <w:p w:rsidR="008A7100" w:rsidRDefault="008A7100" w:rsidP="00B61DDA">
            <w:pPr>
              <w:pStyle w:val="ListParagraph"/>
              <w:numPr>
                <w:ilvl w:val="0"/>
                <w:numId w:val="2"/>
              </w:numPr>
              <w:ind w:left="317" w:hanging="283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Q2 (60-65.3%)</w:t>
            </w:r>
          </w:p>
          <w:p w:rsidR="008A7100" w:rsidRDefault="008A7100" w:rsidP="00B61DDA">
            <w:pPr>
              <w:pStyle w:val="ListParagraph"/>
              <w:numPr>
                <w:ilvl w:val="0"/>
                <w:numId w:val="2"/>
              </w:numPr>
              <w:ind w:left="317" w:hanging="283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Q3 (65.3-70.8%)</w:t>
            </w:r>
          </w:p>
          <w:p w:rsidR="008A7100" w:rsidRDefault="008A7100" w:rsidP="00B61DDA">
            <w:pPr>
              <w:pStyle w:val="ListParagraph"/>
              <w:numPr>
                <w:ilvl w:val="0"/>
                <w:numId w:val="2"/>
              </w:numPr>
              <w:ind w:left="317" w:hanging="283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Q4 (&gt;70.8%)</w:t>
            </w:r>
          </w:p>
        </w:tc>
        <w:tc>
          <w:tcPr>
            <w:tcW w:w="2061" w:type="dxa"/>
            <w:shd w:val="clear" w:color="auto" w:fill="auto"/>
          </w:tcPr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2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>
              <w:rPr>
                <w:rFonts w:ascii="Arial" w:hAnsi="Arial" w:cs="Arial"/>
                <w:lang w:val="en-US"/>
              </w:rPr>
              <w:t>659 (17.3%)</w:t>
            </w:r>
          </w:p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4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>
              <w:rPr>
                <w:rFonts w:ascii="Arial" w:hAnsi="Arial" w:cs="Arial"/>
                <w:lang w:val="en-US"/>
              </w:rPr>
              <w:t>000 (26.1%)</w:t>
            </w:r>
          </w:p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4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>
              <w:rPr>
                <w:rFonts w:ascii="Arial" w:hAnsi="Arial" w:cs="Arial"/>
                <w:lang w:val="en-US"/>
              </w:rPr>
              <w:t>183 (27.3%)</w:t>
            </w:r>
          </w:p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4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>
              <w:rPr>
                <w:rFonts w:ascii="Arial" w:hAnsi="Arial" w:cs="Arial"/>
                <w:lang w:val="en-US"/>
              </w:rPr>
              <w:t>486 (29.3%)</w:t>
            </w:r>
          </w:p>
        </w:tc>
        <w:tc>
          <w:tcPr>
            <w:tcW w:w="1540" w:type="dxa"/>
            <w:shd w:val="clear" w:color="auto" w:fill="auto"/>
          </w:tcPr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36 (27.7%)</w:t>
            </w:r>
          </w:p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29 (22.3%)</w:t>
            </w:r>
          </w:p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32 (24.6%)</w:t>
            </w:r>
          </w:p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33 (25.4%)</w:t>
            </w:r>
          </w:p>
        </w:tc>
        <w:tc>
          <w:tcPr>
            <w:tcW w:w="1926" w:type="dxa"/>
            <w:shd w:val="clear" w:color="auto" w:fill="auto"/>
          </w:tcPr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13.3 (9.0-17.6)</w:t>
            </w:r>
          </w:p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7.2 (4.6-9.8)</w:t>
            </w:r>
          </w:p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7.6 (5.0-10.2)</w:t>
            </w:r>
          </w:p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7.3 (4.8-9.8)</w:t>
            </w:r>
          </w:p>
        </w:tc>
        <w:tc>
          <w:tcPr>
            <w:tcW w:w="1768" w:type="dxa"/>
            <w:shd w:val="clear" w:color="auto" w:fill="auto"/>
            <w:vAlign w:val="center"/>
          </w:tcPr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0.02</w:t>
            </w:r>
          </w:p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8A7100" w:rsidTr="00B61DDA">
        <w:tc>
          <w:tcPr>
            <w:tcW w:w="2092" w:type="dxa"/>
            <w:shd w:val="clear" w:color="auto" w:fill="auto"/>
            <w:vAlign w:val="center"/>
          </w:tcPr>
          <w:p w:rsidR="008A7100" w:rsidRDefault="008A7100" w:rsidP="00B61DDA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Endoscopist’s number of colonoscopies</w:t>
            </w:r>
          </w:p>
          <w:p w:rsidR="008A7100" w:rsidRDefault="008A7100" w:rsidP="00B61DDA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(n=15,459)</w:t>
            </w:r>
          </w:p>
        </w:tc>
        <w:tc>
          <w:tcPr>
            <w:tcW w:w="2237" w:type="dxa"/>
            <w:shd w:val="clear" w:color="auto" w:fill="auto"/>
          </w:tcPr>
          <w:p w:rsidR="008A7100" w:rsidRDefault="008A7100" w:rsidP="00B61DDA">
            <w:pPr>
              <w:pStyle w:val="ListParagraph"/>
              <w:numPr>
                <w:ilvl w:val="0"/>
                <w:numId w:val="2"/>
              </w:numPr>
              <w:ind w:left="317" w:hanging="283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Q1 (≤57)</w:t>
            </w:r>
          </w:p>
          <w:p w:rsidR="008A7100" w:rsidRDefault="008A7100" w:rsidP="00B61DDA">
            <w:pPr>
              <w:pStyle w:val="ListParagraph"/>
              <w:numPr>
                <w:ilvl w:val="0"/>
                <w:numId w:val="2"/>
              </w:numPr>
              <w:ind w:left="317" w:hanging="283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Q2 (58-278)</w:t>
            </w:r>
          </w:p>
          <w:p w:rsidR="008A7100" w:rsidRDefault="008A7100" w:rsidP="00B61DDA">
            <w:pPr>
              <w:pStyle w:val="ListParagraph"/>
              <w:numPr>
                <w:ilvl w:val="0"/>
                <w:numId w:val="2"/>
              </w:numPr>
              <w:ind w:left="317" w:hanging="283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Q3 (279-507)</w:t>
            </w:r>
          </w:p>
          <w:p w:rsidR="008A7100" w:rsidRDefault="008A7100" w:rsidP="00B61DDA">
            <w:pPr>
              <w:pStyle w:val="ListParagraph"/>
              <w:numPr>
                <w:ilvl w:val="0"/>
                <w:numId w:val="2"/>
              </w:numPr>
              <w:ind w:left="317" w:hanging="283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Q4 (&gt;507)</w:t>
            </w:r>
          </w:p>
        </w:tc>
        <w:tc>
          <w:tcPr>
            <w:tcW w:w="2061" w:type="dxa"/>
            <w:shd w:val="clear" w:color="auto" w:fill="auto"/>
          </w:tcPr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198 (1.3%)</w:t>
            </w:r>
          </w:p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>
              <w:rPr>
                <w:rFonts w:ascii="Arial" w:hAnsi="Arial" w:cs="Arial"/>
                <w:lang w:val="en-US"/>
              </w:rPr>
              <w:t>652 (10.8%)</w:t>
            </w:r>
          </w:p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5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>
              <w:rPr>
                <w:rFonts w:ascii="Arial" w:hAnsi="Arial" w:cs="Arial"/>
                <w:lang w:val="en-US"/>
              </w:rPr>
              <w:t>344 (34.9%)</w:t>
            </w:r>
          </w:p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8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>
              <w:rPr>
                <w:rFonts w:ascii="Arial" w:hAnsi="Arial" w:cs="Arial"/>
                <w:lang w:val="en-US"/>
              </w:rPr>
              <w:t>135 (53.1%)</w:t>
            </w:r>
          </w:p>
        </w:tc>
        <w:tc>
          <w:tcPr>
            <w:tcW w:w="1540" w:type="dxa"/>
            <w:shd w:val="clear" w:color="auto" w:fill="auto"/>
          </w:tcPr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2 (1.5%)</w:t>
            </w:r>
          </w:p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13 (10.0%)</w:t>
            </w:r>
          </w:p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35 (26.9%)</w:t>
            </w:r>
          </w:p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80 (61.5%)</w:t>
            </w:r>
          </w:p>
        </w:tc>
        <w:tc>
          <w:tcPr>
            <w:tcW w:w="1926" w:type="dxa"/>
            <w:shd w:val="clear" w:color="auto" w:fill="auto"/>
          </w:tcPr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10.0 (-3.8-23.8)</w:t>
            </w:r>
          </w:p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7.8 (3.6-12.0)</w:t>
            </w:r>
          </w:p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6.5 (4.3-5.6)</w:t>
            </w:r>
          </w:p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9.7 (7.6-11.9)</w:t>
            </w:r>
          </w:p>
        </w:tc>
        <w:tc>
          <w:tcPr>
            <w:tcW w:w="1768" w:type="dxa"/>
            <w:shd w:val="clear" w:color="auto" w:fill="auto"/>
            <w:vAlign w:val="center"/>
          </w:tcPr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0.2</w:t>
            </w:r>
          </w:p>
        </w:tc>
      </w:tr>
      <w:tr w:rsidR="008A7100" w:rsidTr="00B61DDA">
        <w:tc>
          <w:tcPr>
            <w:tcW w:w="2092" w:type="dxa"/>
            <w:shd w:val="clear" w:color="auto" w:fill="auto"/>
            <w:vAlign w:val="center"/>
          </w:tcPr>
          <w:p w:rsidR="008A7100" w:rsidRDefault="008A7100" w:rsidP="00B61DDA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Complexity of the hospital (n=15,707)</w:t>
            </w:r>
          </w:p>
        </w:tc>
        <w:tc>
          <w:tcPr>
            <w:tcW w:w="2237" w:type="dxa"/>
            <w:shd w:val="clear" w:color="auto" w:fill="auto"/>
          </w:tcPr>
          <w:p w:rsidR="008A7100" w:rsidRDefault="008A7100" w:rsidP="00B61DDA">
            <w:pPr>
              <w:pStyle w:val="ListParagraph"/>
              <w:numPr>
                <w:ilvl w:val="0"/>
                <w:numId w:val="1"/>
              </w:numPr>
              <w:ind w:left="317" w:hanging="283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Third level</w:t>
            </w:r>
          </w:p>
          <w:p w:rsidR="008A7100" w:rsidRDefault="008A7100" w:rsidP="00B61DDA">
            <w:pPr>
              <w:pStyle w:val="ListParagraph"/>
              <w:numPr>
                <w:ilvl w:val="0"/>
                <w:numId w:val="1"/>
              </w:numPr>
              <w:ind w:left="317" w:hanging="283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Second level</w:t>
            </w:r>
          </w:p>
        </w:tc>
        <w:tc>
          <w:tcPr>
            <w:tcW w:w="2061" w:type="dxa"/>
            <w:shd w:val="clear" w:color="auto" w:fill="auto"/>
          </w:tcPr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7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>
              <w:rPr>
                <w:rFonts w:ascii="Arial" w:hAnsi="Arial" w:cs="Arial"/>
                <w:lang w:val="en-US"/>
              </w:rPr>
              <w:t>160 (46.0%)</w:t>
            </w:r>
          </w:p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8</w:t>
            </w:r>
            <w:r>
              <w:rPr>
                <w:rFonts w:ascii="Arial" w:hAnsi="Arial" w:cs="Arial"/>
                <w:sz w:val="24"/>
                <w:szCs w:val="24"/>
                <w:lang w:val="en-US"/>
              </w:rPr>
              <w:t>,</w:t>
            </w:r>
            <w:r>
              <w:rPr>
                <w:rFonts w:ascii="Arial" w:hAnsi="Arial" w:cs="Arial"/>
                <w:lang w:val="en-US"/>
              </w:rPr>
              <w:t>416 (54.0%)</w:t>
            </w:r>
          </w:p>
        </w:tc>
        <w:tc>
          <w:tcPr>
            <w:tcW w:w="1540" w:type="dxa"/>
            <w:shd w:val="clear" w:color="auto" w:fill="auto"/>
          </w:tcPr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42 (32.1%)</w:t>
            </w:r>
          </w:p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89 (67.9%)</w:t>
            </w:r>
          </w:p>
        </w:tc>
        <w:tc>
          <w:tcPr>
            <w:tcW w:w="1926" w:type="dxa"/>
            <w:shd w:val="clear" w:color="auto" w:fill="auto"/>
          </w:tcPr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5.8 (4.1-7.6)</w:t>
            </w:r>
          </w:p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10.4 (8.3-12.6)</w:t>
            </w:r>
          </w:p>
        </w:tc>
        <w:tc>
          <w:tcPr>
            <w:tcW w:w="1768" w:type="dxa"/>
            <w:shd w:val="clear" w:color="auto" w:fill="auto"/>
            <w:vAlign w:val="center"/>
          </w:tcPr>
          <w:p w:rsidR="008A7100" w:rsidRDefault="008A7100" w:rsidP="00B61DDA">
            <w:pPr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0.002</w:t>
            </w:r>
          </w:p>
        </w:tc>
      </w:tr>
    </w:tbl>
    <w:p w:rsidR="008A7100" w:rsidRDefault="008A7100" w:rsidP="008A7100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1Significance in the univariant analysis using the Chi-square test for qualitative variables and the Student’s t test for cuantitative variables.</w:t>
      </w:r>
    </w:p>
    <w:p w:rsidR="00F4526F" w:rsidRDefault="008A7100" w:rsidP="008A7100">
      <w:r>
        <w:rPr>
          <w:rFonts w:ascii="Arial" w:hAnsi="Arial" w:cs="Arial"/>
          <w:sz w:val="24"/>
          <w:szCs w:val="24"/>
        </w:rPr>
        <w:t xml:space="preserve"> ADR, adenoma detection rate; ASA, American Society of Anesthesiologists’ Physical Status; CI, confidence interval; Hb, hemoglobin; IQR, interquartile range; PS, performance status.</w:t>
      </w:r>
      <w:bookmarkStart w:id="0" w:name="_GoBack"/>
      <w:bookmarkEnd w:id="0"/>
    </w:p>
    <w:sectPr w:rsidR="00F452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9F549D"/>
    <w:multiLevelType w:val="multilevel"/>
    <w:tmpl w:val="96D60A2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8CD6085"/>
    <w:multiLevelType w:val="multilevel"/>
    <w:tmpl w:val="26E4774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0984F08"/>
    <w:multiLevelType w:val="multilevel"/>
    <w:tmpl w:val="5B74CB4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67C3C29"/>
    <w:multiLevelType w:val="multilevel"/>
    <w:tmpl w:val="573893C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260E1D14"/>
    <w:multiLevelType w:val="multilevel"/>
    <w:tmpl w:val="7B167D4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58BC7C07"/>
    <w:multiLevelType w:val="multilevel"/>
    <w:tmpl w:val="E47626F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6C636247"/>
    <w:multiLevelType w:val="multilevel"/>
    <w:tmpl w:val="FAA8C6E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72DA6FFD"/>
    <w:multiLevelType w:val="multilevel"/>
    <w:tmpl w:val="36FA87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2"/>
  </w:num>
  <w:num w:numId="2">
    <w:abstractNumId w:val="6"/>
  </w:num>
  <w:num w:numId="3">
    <w:abstractNumId w:val="1"/>
  </w:num>
  <w:num w:numId="4">
    <w:abstractNumId w:val="3"/>
  </w:num>
  <w:num w:numId="5">
    <w:abstractNumId w:val="0"/>
  </w:num>
  <w:num w:numId="6">
    <w:abstractNumId w:val="7"/>
  </w:num>
  <w:num w:numId="7">
    <w:abstractNumId w:val="4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7100"/>
    <w:rsid w:val="003A0A23"/>
    <w:rsid w:val="008A7100"/>
    <w:rsid w:val="00F4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466EDBA-E169-418C-AB51-16F795299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A7100"/>
    <w:pPr>
      <w:ind w:left="720"/>
      <w:contextualSpacing/>
    </w:pPr>
    <w:rPr>
      <w:lang w:val="es-ES"/>
    </w:rPr>
  </w:style>
  <w:style w:type="table" w:styleId="TableGrid">
    <w:name w:val="Table Grid"/>
    <w:basedOn w:val="TableNormal"/>
    <w:uiPriority w:val="39"/>
    <w:rsid w:val="008A7100"/>
    <w:pPr>
      <w:spacing w:after="0" w:line="240" w:lineRule="auto"/>
    </w:pPr>
    <w:rPr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361</Words>
  <Characters>2059</Characters>
  <Application>Microsoft Office Word</Application>
  <DocSecurity>0</DocSecurity>
  <Lines>17</Lines>
  <Paragraphs>4</Paragraphs>
  <ScaleCrop>false</ScaleCrop>
  <Company>Springer Nature</Company>
  <LinksUpToDate>false</LinksUpToDate>
  <CharactersWithSpaces>2416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2020-11-26T12:20:00Z</dcterms:created>
  <dcterms:modified xsi:type="dcterms:W3CDTF">2020-11-26T12:21:00Z</dcterms:modified>
</cp:coreProperties>
</file>