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119C" w14:textId="77777777" w:rsidR="00186874" w:rsidRDefault="00000000">
      <w:pPr>
        <w:spacing w:after="140"/>
      </w:pPr>
      <w:r>
        <w:rPr>
          <w:b/>
          <w:sz w:val="20"/>
        </w:rPr>
        <w:t>Supplementary Table S1. Calendar-year-adjusted sensitivity analysis of concurrent ERI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186874" w14:paraId="5DC70A9F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67AEB" w14:textId="77777777" w:rsidR="00186874" w:rsidRDefault="00000000" w:rsidP="003B47DB">
            <w:pPr>
              <w:spacing w:after="40"/>
              <w:jc w:val="center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65CEB" w14:textId="77777777" w:rsidR="00186874" w:rsidRDefault="00000000" w:rsidP="003B47DB">
            <w:pPr>
              <w:spacing w:after="40"/>
              <w:jc w:val="center"/>
            </w:pPr>
            <w:r>
              <w:rPr>
                <w:b/>
                <w:sz w:val="16"/>
              </w:rPr>
              <w:t>β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76B28" w14:textId="77777777" w:rsidR="00186874" w:rsidRDefault="00000000" w:rsidP="003B47DB">
            <w:pPr>
              <w:spacing w:after="40"/>
              <w:jc w:val="center"/>
            </w:pPr>
            <w:r>
              <w:rPr>
                <w:b/>
                <w:sz w:val="16"/>
              </w:rPr>
              <w:t>95% CI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69174" w14:textId="77777777" w:rsidR="00186874" w:rsidRDefault="00000000" w:rsidP="003B47DB">
            <w:pPr>
              <w:spacing w:after="40"/>
              <w:jc w:val="center"/>
            </w:pPr>
            <w:r>
              <w:rPr>
                <w:b/>
                <w:sz w:val="16"/>
              </w:rPr>
              <w:t>P value</w:t>
            </w:r>
          </w:p>
        </w:tc>
      </w:tr>
      <w:tr w:rsidR="00186874" w14:paraId="5292323D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F5CCA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GNRI, between-patient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781DA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-0.0278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D8B8C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-0.0442 to -0.0115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F3D5E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0.001</w:t>
            </w:r>
          </w:p>
        </w:tc>
      </w:tr>
      <w:tr w:rsidR="00186874" w14:paraId="208AF6B3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E2800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GNRI, within-patient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159AC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-0.0121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9F4DF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-0.0167 to -0.0074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40399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186874" w14:paraId="3417DCAD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6FD02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log(CRP + 1), between-patient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4F040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0.4691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17569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0.0326 to 0.9057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1EC6D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0.036</w:t>
            </w:r>
          </w:p>
        </w:tc>
      </w:tr>
      <w:tr w:rsidR="00186874" w14:paraId="67D5AF1F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9B2D7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log(CRP + 1), within-patient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E9B59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-0.0110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A9CD8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-0.0647 to 0.0427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FD971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0.689</w:t>
            </w:r>
          </w:p>
        </w:tc>
      </w:tr>
      <w:tr w:rsidR="00186874" w14:paraId="1EEAAD91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C27C2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TSAT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DFBBD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-0.0173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F7FB1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-0.0197 to -0.0148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4270B5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186874" w14:paraId="2BA270C4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1570A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Ferritin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4D96D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-0.000515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5E650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-0.000774 to -0.000255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18259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186874" w14:paraId="41BF8F82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CE047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Physical stress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4CBCC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0.2446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B404E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0.1283 to 0.3609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EB917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186874" w14:paraId="64D2134B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13422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Calendar year: 2024 vs 2023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9E83F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0.1329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FA84F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0.0907 to 0.1750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89612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&lt;0.001</w:t>
            </w:r>
          </w:p>
        </w:tc>
      </w:tr>
      <w:tr w:rsidR="00186874" w14:paraId="49E8C68B" w14:textId="77777777" w:rsidTr="003B47DB">
        <w:trPr>
          <w:jc w:val="center"/>
        </w:trPr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B0D85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Calendar year: 2025 vs 2023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28905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0.1331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F7FA1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0.0891 to 0.1770</w:t>
            </w:r>
          </w:p>
        </w:tc>
        <w:tc>
          <w:tcPr>
            <w:tcW w:w="2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FEBE1" w14:textId="77777777" w:rsidR="00186874" w:rsidRDefault="00000000" w:rsidP="003B47DB">
            <w:pPr>
              <w:spacing w:after="40"/>
              <w:jc w:val="center"/>
            </w:pPr>
            <w:r>
              <w:rPr>
                <w:sz w:val="16"/>
              </w:rPr>
              <w:t>&lt;0.001</w:t>
            </w:r>
          </w:p>
        </w:tc>
      </w:tr>
    </w:tbl>
    <w:p w14:paraId="021597FE" w14:textId="77777777" w:rsidR="00186874" w:rsidRDefault="00000000">
      <w:pPr>
        <w:spacing w:before="160"/>
      </w:pPr>
      <w:r>
        <w:rPr>
          <w:sz w:val="16"/>
        </w:rPr>
        <w:t>Outcome: log(ERI + 1). Patient-specific random-intercept mixed-effects model additionally adjusted for calendar year (reference: 2023). This is a sensitivity analysis, not a replacement for the primary model. Between-patient and within-patient terms represent differences in patient means and deviations from patient means, respectively. Confidence intervals (CIs) were calculated using Satterthwaite degrees of freedom. β, regression coefficient; ERI, erythropoiesis-stimulating agent resistance index; GNRI, geriatric nutritional risk index; CRP, C-reactive protein; TSAT, transferrin saturation.</w:t>
      </w:r>
    </w:p>
    <w:sectPr w:rsidR="00186874" w:rsidSect="00034616">
      <w:pgSz w:w="12240" w:h="15840"/>
      <w:pgMar w:top="1080" w:right="1037" w:bottom="1080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738855">
    <w:abstractNumId w:val="8"/>
  </w:num>
  <w:num w:numId="2" w16cid:durableId="1355883374">
    <w:abstractNumId w:val="6"/>
  </w:num>
  <w:num w:numId="3" w16cid:durableId="1558198422">
    <w:abstractNumId w:val="5"/>
  </w:num>
  <w:num w:numId="4" w16cid:durableId="2106029739">
    <w:abstractNumId w:val="4"/>
  </w:num>
  <w:num w:numId="5" w16cid:durableId="1211259241">
    <w:abstractNumId w:val="7"/>
  </w:num>
  <w:num w:numId="6" w16cid:durableId="1925333870">
    <w:abstractNumId w:val="3"/>
  </w:num>
  <w:num w:numId="7" w16cid:durableId="503060015">
    <w:abstractNumId w:val="2"/>
  </w:num>
  <w:num w:numId="8" w16cid:durableId="1554391831">
    <w:abstractNumId w:val="1"/>
  </w:num>
  <w:num w:numId="9" w16cid:durableId="914634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874"/>
    <w:rsid w:val="0029639D"/>
    <w:rsid w:val="00326F90"/>
    <w:rsid w:val="003B47DB"/>
    <w:rsid w:val="00AA1D8D"/>
    <w:rsid w:val="00B47730"/>
    <w:rsid w:val="00CB0664"/>
    <w:rsid w:val="00E168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A137CE"/>
  <w14:defaultImageDpi w14:val="300"/>
  <w15:docId w15:val="{362D4969-9292-42B5-8536-BB385604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yukinobu ikegishi</cp:lastModifiedBy>
  <cp:revision>3</cp:revision>
  <dcterms:created xsi:type="dcterms:W3CDTF">2013-12-23T23:15:00Z</dcterms:created>
  <dcterms:modified xsi:type="dcterms:W3CDTF">2026-10-14T05:14:00Z</dcterms:modified>
  <cp:category/>
</cp:coreProperties>
</file>