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DA80D" w14:textId="5DAE1358" w:rsidR="009C759A" w:rsidRPr="00D80638" w:rsidRDefault="009C759A" w:rsidP="00D80638">
      <w:pPr>
        <w:spacing w:line="240" w:lineRule="auto"/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  <w:r w:rsidRPr="00D80638">
        <w:rPr>
          <w:rFonts w:ascii="Arial" w:hAnsi="Arial" w:cs="Arial"/>
          <w:b/>
          <w:bCs/>
          <w:sz w:val="48"/>
          <w:szCs w:val="48"/>
          <w:lang w:val="en-US"/>
        </w:rPr>
        <w:t>Supplementary Figures</w:t>
      </w:r>
    </w:p>
    <w:p w14:paraId="10AAAD2A" w14:textId="77777777" w:rsidR="00D80638" w:rsidRPr="00D80638" w:rsidRDefault="00D80638" w:rsidP="009C759A">
      <w:pPr>
        <w:spacing w:line="240" w:lineRule="auto"/>
        <w:jc w:val="center"/>
        <w:rPr>
          <w:rFonts w:ascii="Arial" w:hAnsi="Arial" w:cs="Arial"/>
          <w:b/>
          <w:bCs/>
          <w:sz w:val="44"/>
          <w:szCs w:val="44"/>
          <w:lang w:val="en-US"/>
        </w:rPr>
      </w:pPr>
    </w:p>
    <w:p w14:paraId="6168596D" w14:textId="77777777" w:rsidR="009C759A" w:rsidRPr="009C759A" w:rsidRDefault="009C759A" w:rsidP="009C759A">
      <w:pPr>
        <w:jc w:val="center"/>
        <w:rPr>
          <w:rFonts w:ascii="Arial" w:hAnsi="Arial" w:cs="Arial"/>
          <w:b/>
          <w:bCs/>
          <w:sz w:val="34"/>
          <w:szCs w:val="34"/>
          <w:lang w:val="en-US"/>
        </w:rPr>
      </w:pPr>
      <w:r w:rsidRPr="009C759A">
        <w:rPr>
          <w:rFonts w:ascii="Arial" w:hAnsi="Arial" w:cs="Arial"/>
          <w:b/>
          <w:bCs/>
          <w:sz w:val="34"/>
          <w:szCs w:val="34"/>
          <w:lang w:val="en-US"/>
        </w:rPr>
        <w:t xml:space="preserve">Genomic and ecological specialization of </w:t>
      </w:r>
      <w:r w:rsidRPr="009C759A">
        <w:rPr>
          <w:rFonts w:ascii="Arial" w:hAnsi="Arial" w:cs="Arial"/>
          <w:b/>
          <w:bCs/>
          <w:i/>
          <w:iCs/>
          <w:sz w:val="34"/>
          <w:szCs w:val="34"/>
          <w:lang w:val="en-US"/>
        </w:rPr>
        <w:t xml:space="preserve">Methanobrevibacter </w:t>
      </w:r>
      <w:r w:rsidRPr="009C759A">
        <w:rPr>
          <w:rFonts w:ascii="Arial" w:hAnsi="Arial" w:cs="Arial"/>
          <w:b/>
          <w:bCs/>
          <w:sz w:val="34"/>
          <w:szCs w:val="34"/>
          <w:lang w:val="en-US"/>
        </w:rPr>
        <w:t xml:space="preserve">species shape human methane emission and overall gut ecosystem function </w:t>
      </w:r>
    </w:p>
    <w:p w14:paraId="376E162D" w14:textId="77777777" w:rsidR="009C759A" w:rsidRPr="009C759A" w:rsidRDefault="009C759A" w:rsidP="009C759A">
      <w:pPr>
        <w:jc w:val="center"/>
        <w:rPr>
          <w:rFonts w:ascii="Arial" w:hAnsi="Arial" w:cs="Arial"/>
          <w:lang w:val="en-US"/>
        </w:rPr>
      </w:pPr>
    </w:p>
    <w:p w14:paraId="15559271" w14:textId="11CD6E72" w:rsidR="009C759A" w:rsidRPr="00D80638" w:rsidRDefault="009C759A" w:rsidP="009C759A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D80638">
        <w:rPr>
          <w:rFonts w:ascii="Arial" w:hAnsi="Arial" w:cs="Arial"/>
          <w:sz w:val="22"/>
          <w:szCs w:val="22"/>
          <w:lang w:val="en-US"/>
        </w:rPr>
        <w:t>Christina Kumpitsch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1,2</w:t>
      </w:r>
      <w:r w:rsidRPr="00D80638">
        <w:rPr>
          <w:rFonts w:ascii="Arial" w:hAnsi="Arial" w:cs="Arial"/>
          <w:sz w:val="22"/>
          <w:szCs w:val="22"/>
          <w:lang w:val="en-US"/>
        </w:rPr>
        <w:t>, Alexander Mahnert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1,2</w:t>
      </w:r>
      <w:r w:rsidRPr="00D80638">
        <w:rPr>
          <w:rFonts w:ascii="Arial" w:hAnsi="Arial" w:cs="Arial"/>
          <w:sz w:val="22"/>
          <w:szCs w:val="22"/>
          <w:lang w:val="en-US"/>
        </w:rPr>
        <w:t xml:space="preserve">, Stefanie </w:t>
      </w:r>
      <w:r w:rsidR="0049637C">
        <w:rPr>
          <w:rFonts w:ascii="Arial" w:hAnsi="Arial" w:cs="Arial"/>
          <w:sz w:val="22"/>
          <w:szCs w:val="22"/>
          <w:lang w:val="en-US"/>
        </w:rPr>
        <w:t>Wimberger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>, Marcus Blohs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D80638">
        <w:rPr>
          <w:rFonts w:ascii="Arial" w:hAnsi="Arial" w:cs="Arial"/>
          <w:sz w:val="22"/>
          <w:szCs w:val="22"/>
          <w:lang w:val="en-US"/>
        </w:rPr>
        <w:t>Rokhsareh</w:t>
      </w:r>
      <w:proofErr w:type="spellEnd"/>
      <w:r w:rsidRPr="00D80638">
        <w:rPr>
          <w:rFonts w:ascii="Arial" w:hAnsi="Arial" w:cs="Arial"/>
          <w:sz w:val="22"/>
          <w:szCs w:val="22"/>
          <w:lang w:val="en-US"/>
        </w:rPr>
        <w:t xml:space="preserve"> Mohammadzadeh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>, Laura Schmidberger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>, Simone Vrbancic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>, Tobias Madl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2,3</w:t>
      </w:r>
      <w:r w:rsidRPr="00D80638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D80638">
        <w:rPr>
          <w:rFonts w:ascii="Arial" w:hAnsi="Arial" w:cs="Arial"/>
          <w:sz w:val="22"/>
          <w:szCs w:val="22"/>
          <w:lang w:val="en-US"/>
        </w:rPr>
        <w:t>Hansjörg</w:t>
      </w:r>
      <w:proofErr w:type="spellEnd"/>
      <w:r w:rsidRPr="00D80638">
        <w:rPr>
          <w:rFonts w:ascii="Arial" w:hAnsi="Arial" w:cs="Arial"/>
          <w:sz w:val="22"/>
          <w:szCs w:val="22"/>
          <w:lang w:val="en-US"/>
        </w:rPr>
        <w:t xml:space="preserve"> Habisch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3</w:t>
      </w:r>
      <w:r w:rsidRPr="00D80638">
        <w:rPr>
          <w:rFonts w:ascii="Arial" w:hAnsi="Arial" w:cs="Arial"/>
          <w:sz w:val="22"/>
          <w:szCs w:val="22"/>
          <w:lang w:val="en-US"/>
        </w:rPr>
        <w:t>, Katharina Leithner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2,4,5</w:t>
      </w:r>
      <w:r w:rsidRPr="00D80638">
        <w:rPr>
          <w:rFonts w:ascii="Arial" w:hAnsi="Arial" w:cs="Arial"/>
          <w:sz w:val="22"/>
          <w:szCs w:val="22"/>
          <w:lang w:val="en-US"/>
        </w:rPr>
        <w:t>, Theresa Haitzmann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4</w:t>
      </w:r>
      <w:r w:rsidRPr="00D80638">
        <w:rPr>
          <w:rFonts w:ascii="Arial" w:hAnsi="Arial" w:cs="Arial"/>
          <w:sz w:val="22"/>
          <w:szCs w:val="22"/>
          <w:lang w:val="en-US"/>
        </w:rPr>
        <w:t>, Sonja Lackner</w:t>
      </w:r>
      <w:r w:rsidRPr="00D80638">
        <w:rPr>
          <w:rFonts w:ascii="Arial" w:hAnsi="Arial" w:cs="Arial"/>
          <w:smallCaps/>
          <w:sz w:val="22"/>
          <w:szCs w:val="22"/>
          <w:vertAlign w:val="superscript"/>
          <w:lang w:val="en-US"/>
        </w:rPr>
        <w:t>6</w:t>
      </w:r>
      <w:r w:rsidRPr="00D80638">
        <w:rPr>
          <w:rFonts w:ascii="Arial" w:hAnsi="Arial" w:cs="Arial"/>
          <w:sz w:val="22"/>
          <w:szCs w:val="22"/>
          <w:lang w:val="en-US"/>
        </w:rPr>
        <w:t>, Sandra Holasek</w:t>
      </w:r>
      <w:r w:rsidRPr="00D80638">
        <w:rPr>
          <w:rFonts w:ascii="Arial" w:hAnsi="Arial" w:cs="Arial"/>
          <w:smallCaps/>
          <w:sz w:val="22"/>
          <w:szCs w:val="22"/>
          <w:vertAlign w:val="superscript"/>
          <w:lang w:val="en-US"/>
        </w:rPr>
        <w:t>6</w:t>
      </w:r>
      <w:r w:rsidRPr="00D80638">
        <w:rPr>
          <w:rFonts w:ascii="Arial" w:hAnsi="Arial" w:cs="Arial"/>
          <w:sz w:val="22"/>
          <w:szCs w:val="22"/>
          <w:lang w:val="en-US"/>
        </w:rPr>
        <w:t>, Christoph Högenauer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2,7</w:t>
      </w:r>
      <w:r w:rsidRPr="00D80638">
        <w:rPr>
          <w:rFonts w:ascii="Arial" w:hAnsi="Arial" w:cs="Arial"/>
          <w:sz w:val="22"/>
          <w:szCs w:val="22"/>
          <w:lang w:val="en-US"/>
        </w:rPr>
        <w:t>, Adrian Mathias Moser, Tamara Zurabischvili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>, Christian Diener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D80638">
        <w:rPr>
          <w:rFonts w:ascii="Arial" w:hAnsi="Arial" w:cs="Arial"/>
          <w:sz w:val="22"/>
          <w:szCs w:val="22"/>
          <w:lang w:val="en-US"/>
        </w:rPr>
        <w:t>, Christine Moissl-Eichinger</w:t>
      </w:r>
      <w:r w:rsidRPr="00D80638">
        <w:rPr>
          <w:rFonts w:ascii="Arial" w:hAnsi="Arial" w:cs="Arial"/>
          <w:sz w:val="22"/>
          <w:szCs w:val="22"/>
          <w:vertAlign w:val="superscript"/>
          <w:lang w:val="en-US"/>
        </w:rPr>
        <w:t>1,2</w:t>
      </w:r>
      <w:r w:rsidR="00D80638" w:rsidRPr="00D80638">
        <w:rPr>
          <w:rFonts w:ascii="Arial" w:hAnsi="Arial" w:cs="Arial"/>
          <w:sz w:val="22"/>
          <w:szCs w:val="22"/>
          <w:vertAlign w:val="superscript"/>
          <w:lang w:val="en-US"/>
        </w:rPr>
        <w:t xml:space="preserve"> *</w:t>
      </w:r>
    </w:p>
    <w:p w14:paraId="02D70067" w14:textId="77777777" w:rsidR="009C759A" w:rsidRPr="00D80638" w:rsidRDefault="009C759A" w:rsidP="009C759A">
      <w:pPr>
        <w:jc w:val="both"/>
        <w:rPr>
          <w:rFonts w:ascii="Arial" w:hAnsi="Arial" w:cs="Arial"/>
          <w:sz w:val="8"/>
          <w:szCs w:val="8"/>
          <w:lang w:val="en-US"/>
        </w:rPr>
      </w:pPr>
    </w:p>
    <w:p w14:paraId="0D372B70" w14:textId="77777777" w:rsidR="009C759A" w:rsidRPr="009C759A" w:rsidRDefault="009C759A" w:rsidP="009C759A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lang w:val="en-US"/>
        </w:rPr>
      </w:pPr>
    </w:p>
    <w:p w14:paraId="188A2E20" w14:textId="77777777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Diagnostics and Research Institute of Hygiene, Microbiology and Environmental Medicine, Medical University of Graz, Graz, Austria</w:t>
      </w:r>
    </w:p>
    <w:p w14:paraId="08184235" w14:textId="77777777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9C759A">
        <w:rPr>
          <w:rFonts w:ascii="Arial" w:hAnsi="Arial" w:cs="Arial"/>
          <w:sz w:val="18"/>
          <w:szCs w:val="18"/>
          <w:lang w:val="en-US"/>
        </w:rPr>
        <w:t>BioTechMed</w:t>
      </w:r>
      <w:proofErr w:type="spellEnd"/>
      <w:r w:rsidRPr="009C759A">
        <w:rPr>
          <w:rFonts w:ascii="Arial" w:hAnsi="Arial" w:cs="Arial"/>
          <w:sz w:val="18"/>
          <w:szCs w:val="18"/>
          <w:lang w:val="en-US"/>
        </w:rPr>
        <w:t xml:space="preserve"> Graz, Graz, Austria</w:t>
      </w:r>
    </w:p>
    <w:p w14:paraId="25B0A583" w14:textId="77777777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Division Medicinal Chemistry, Otto Loewi Research Center, Medical University of Graz, Graz, Austria</w:t>
      </w:r>
    </w:p>
    <w:p w14:paraId="04CA61E8" w14:textId="77777777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4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Division of Pharmacology, Otto Loewi Research Center, Medical University of Graz, Graz, Austria</w:t>
      </w:r>
    </w:p>
    <w:p w14:paraId="631AABCD" w14:textId="77777777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5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Lung Research Cluster, Medical University of Graz, Graz, Austria</w:t>
      </w:r>
    </w:p>
    <w:p w14:paraId="113DC79B" w14:textId="77777777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6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Division of Pathophysiology and Immunology, Otto Loewi Research Center, Medical University of Graz, Graz, Austria</w:t>
      </w:r>
    </w:p>
    <w:p w14:paraId="2C571B4D" w14:textId="0A1F454D" w:rsidR="009C759A" w:rsidRPr="009C759A" w:rsidRDefault="009C759A" w:rsidP="00D80638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9C759A">
        <w:rPr>
          <w:rFonts w:ascii="Arial" w:hAnsi="Arial" w:cs="Arial"/>
          <w:sz w:val="18"/>
          <w:szCs w:val="18"/>
          <w:vertAlign w:val="superscript"/>
          <w:lang w:val="en-US"/>
        </w:rPr>
        <w:t>7</w:t>
      </w:r>
      <w:r w:rsidRPr="009C759A">
        <w:rPr>
          <w:rFonts w:ascii="Arial" w:hAnsi="Arial" w:cs="Arial"/>
          <w:sz w:val="18"/>
          <w:szCs w:val="18"/>
          <w:lang w:val="en-US"/>
        </w:rPr>
        <w:t xml:space="preserve"> Division of Gastroenterology and Hepatology, Department of Internal Medicine, Medical University of Graz, Graz, Austria</w:t>
      </w:r>
    </w:p>
    <w:p w14:paraId="53CB613A" w14:textId="77777777" w:rsidR="009C759A" w:rsidRPr="009C759A" w:rsidRDefault="009C759A" w:rsidP="009C759A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7820C0E7" w14:textId="77777777" w:rsidR="009C759A" w:rsidRPr="009C759A" w:rsidRDefault="009C759A" w:rsidP="009C759A">
      <w:pPr>
        <w:spacing w:line="240" w:lineRule="auto"/>
        <w:jc w:val="both"/>
        <w:rPr>
          <w:rFonts w:ascii="Arial" w:hAnsi="Arial" w:cs="Arial"/>
          <w:lang w:val="en-US"/>
        </w:rPr>
      </w:pPr>
    </w:p>
    <w:p w14:paraId="4CC43786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038B96B6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2643C76C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4D8802F3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1629D5DB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6F5AC55B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50A6AE62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4163DA36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142346A7" w14:textId="46A18586" w:rsid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62719E05" wp14:editId="3A0F96FC">
            <wp:extent cx="5759450" cy="4415155"/>
            <wp:effectExtent l="0" t="0" r="0" b="4445"/>
            <wp:docPr id="115489007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41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475B1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sz w:val="2"/>
          <w:szCs w:val="2"/>
        </w:rPr>
      </w:pPr>
    </w:p>
    <w:p w14:paraId="62995C18" w14:textId="77777777" w:rsidR="009C759A" w:rsidRPr="009C759A" w:rsidRDefault="009C759A" w:rsidP="009C759A">
      <w:pPr>
        <w:spacing w:after="240" w:line="240" w:lineRule="auto"/>
        <w:jc w:val="both"/>
        <w:rPr>
          <w:rFonts w:ascii="Calibri" w:hAnsi="Calibri" w:cs="Calibri"/>
          <w:sz w:val="18"/>
          <w:szCs w:val="18"/>
          <w:lang w:val="en-US"/>
        </w:rPr>
      </w:pP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Supplementary Figure X1.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9C759A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A schematic representation of the study design, showing all dropouts, filtered samples, and the features and reads obtained using each method.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The grey-highlighted parts were performed in Ref </w:t>
      </w:r>
      <w:sdt>
        <w:sdtPr>
          <w:rPr>
            <w:rFonts w:ascii="Calibri" w:hAnsi="Calibri" w:cs="Calibri"/>
            <w:sz w:val="18"/>
            <w:szCs w:val="18"/>
          </w:rPr>
          <w:tag w:val="MENDELEY_CITATION_v3_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"/>
          <w:id w:val="1286387131"/>
          <w:placeholder>
            <w:docPart w:val="0FAB0F176E50412583F000704BAFD2A1"/>
          </w:placeholder>
        </w:sdtPr>
        <w:sdtEndPr/>
        <w:sdtContent>
          <w:r w:rsidRPr="009C759A">
            <w:rPr>
              <w:rFonts w:ascii="Calibri" w:hAnsi="Calibri" w:cs="Calibri"/>
              <w:color w:val="000000"/>
              <w:sz w:val="18"/>
              <w:szCs w:val="18"/>
              <w:lang w:val="en-US"/>
            </w:rPr>
            <w:t>(Duller et al., 2024)</w:t>
          </w:r>
        </w:sdtContent>
      </w:sdt>
      <w:r w:rsidRPr="009C759A">
        <w:rPr>
          <w:rFonts w:ascii="Calibri" w:hAnsi="Calibri" w:cs="Calibri"/>
          <w:sz w:val="18"/>
          <w:szCs w:val="18"/>
          <w:lang w:val="en-US"/>
        </w:rPr>
        <w:t>. HE - high methane emitters, LE - low methane emitters; QC - quality control</w:t>
      </w:r>
    </w:p>
    <w:p w14:paraId="580568FB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46EED66F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02034DF9" w14:textId="53D2F41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lang w:val="en-US"/>
        </w:rPr>
        <w:br w:type="page"/>
      </w:r>
    </w:p>
    <w:p w14:paraId="5EEAFDC2" w14:textId="60E517AF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5B1A8920" wp14:editId="3559333E">
            <wp:extent cx="5759450" cy="3787140"/>
            <wp:effectExtent l="0" t="0" r="0" b="3810"/>
            <wp:docPr id="41491471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F2D08" w14:textId="0FE55D47" w:rsidR="009C759A" w:rsidRPr="009C759A" w:rsidRDefault="009C759A" w:rsidP="009C759A">
      <w:pPr>
        <w:spacing w:before="200" w:after="200" w:line="240" w:lineRule="auto"/>
        <w:jc w:val="both"/>
        <w:rPr>
          <w:rFonts w:ascii="Calibri" w:hAnsi="Calibri" w:cs="Calibri"/>
          <w:sz w:val="18"/>
          <w:szCs w:val="18"/>
          <w:highlight w:val="white"/>
          <w:lang w:val="en-US"/>
        </w:rPr>
      </w:pP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Supp. Figure X2. Differential abundance of </w:t>
      </w:r>
      <w:proofErr w:type="spellStart"/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Methanomassiliicoccus</w:t>
      </w:r>
      <w:proofErr w:type="spellEnd"/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 sp. from kingdom to species based on CH</w:t>
      </w:r>
      <w:r w:rsidRPr="009C759A">
        <w:rPr>
          <w:rFonts w:ascii="Calibri" w:hAnsi="Calibri" w:cs="Calibri"/>
          <w:b/>
          <w:bCs/>
          <w:sz w:val="18"/>
          <w:szCs w:val="18"/>
          <w:vertAlign w:val="subscript"/>
          <w:lang w:val="en-US"/>
        </w:rPr>
        <w:t>4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 emission phenotype. </w:t>
      </w:r>
      <w:r w:rsidRPr="009C759A">
        <w:rPr>
          <w:rFonts w:ascii="Calibri" w:hAnsi="Calibri" w:cs="Calibri"/>
          <w:sz w:val="18"/>
          <w:szCs w:val="18"/>
          <w:lang w:val="en-US"/>
        </w:rPr>
        <w:t>ALDEx2: Archaea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q=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1.43e-069);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Thermoplasmatota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q=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0.068);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Thermoplasmata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q=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0.043);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Methanomassiliicoccales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q=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0.98);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Methanomassiliicoccaceae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q=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0.021); </w:t>
      </w:r>
      <w:proofErr w:type="spellStart"/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Methanomassiliicoccus</w:t>
      </w:r>
      <w:proofErr w:type="spellEnd"/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 xml:space="preserve"> A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q=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0.021);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Methanomassiliicoccus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intestinalis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=0.442);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Methanomassiliioccus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MGYG000001856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=0.113);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Methanomassiliicoccus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MGYG000004312 (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q</w:t>
      </w:r>
      <w:r w:rsidRPr="009C759A">
        <w:rPr>
          <w:rFonts w:ascii="Calibri" w:hAnsi="Calibri" w:cs="Calibri"/>
          <w:sz w:val="18"/>
          <w:szCs w:val="18"/>
          <w:lang w:val="en-US"/>
        </w:rPr>
        <w:t>=0.075).</w:t>
      </w:r>
    </w:p>
    <w:p w14:paraId="2E212BCF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27AF3F81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45219695" w14:textId="349AB902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lang w:val="en-US"/>
        </w:rPr>
        <w:br w:type="page"/>
      </w:r>
    </w:p>
    <w:p w14:paraId="2EB84444" w14:textId="489B3F96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5EAEDD94" wp14:editId="7DC623D2">
            <wp:extent cx="5493385" cy="4947285"/>
            <wp:effectExtent l="0" t="0" r="0" b="5715"/>
            <wp:docPr id="178245187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385" cy="494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806F7" w14:textId="5D5887B0" w:rsidR="009C759A" w:rsidRPr="00455103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Supp. Figure X3. Microbiome of HE and LE participants did not differ based on health status. a. </w:t>
      </w:r>
      <w:r w:rsidRPr="009C759A">
        <w:rPr>
          <w:rFonts w:ascii="Calibri" w:hAnsi="Calibri" w:cs="Calibri"/>
          <w:color w:val="000000"/>
          <w:sz w:val="18"/>
          <w:szCs w:val="18"/>
          <w:lang w:val="en-US"/>
        </w:rPr>
        <w:t xml:space="preserve">Read counts and relative abundance of archaeal taxa in HE and LE </w:t>
      </w:r>
      <w:proofErr w:type="gramStart"/>
      <w:r w:rsidRPr="009C759A">
        <w:rPr>
          <w:rFonts w:ascii="Calibri" w:hAnsi="Calibri" w:cs="Calibri"/>
          <w:color w:val="000000"/>
          <w:sz w:val="18"/>
          <w:szCs w:val="18"/>
          <w:lang w:val="en-US"/>
        </w:rPr>
        <w:t>based on</w:t>
      </w:r>
      <w:proofErr w:type="gramEnd"/>
      <w:r w:rsidRPr="009C759A">
        <w:rPr>
          <w:rFonts w:ascii="Calibri" w:hAnsi="Calibri" w:cs="Calibri"/>
          <w:color w:val="000000"/>
          <w:sz w:val="18"/>
          <w:szCs w:val="18"/>
          <w:lang w:val="en-US"/>
        </w:rPr>
        <w:t xml:space="preserve"> methane and health groups. </w:t>
      </w:r>
      <w:r w:rsidRPr="009C759A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b.</w:t>
      </w:r>
      <w:r w:rsidRPr="009C759A">
        <w:rPr>
          <w:rFonts w:ascii="Calibri" w:hAnsi="Calibri" w:cs="Calibri"/>
          <w:color w:val="000000"/>
          <w:sz w:val="18"/>
          <w:szCs w:val="18"/>
          <w:lang w:val="en-US"/>
        </w:rPr>
        <w:t xml:space="preserve"> Alpha diversity based on overall health status (black and white) as well as additionally separated by CH</w:t>
      </w:r>
      <w:r w:rsidRPr="009C759A">
        <w:rPr>
          <w:rFonts w:ascii="Calibri" w:hAnsi="Calibri" w:cs="Calibri"/>
          <w:color w:val="000000"/>
          <w:sz w:val="18"/>
          <w:szCs w:val="18"/>
          <w:vertAlign w:val="subscript"/>
          <w:lang w:val="en-US"/>
        </w:rPr>
        <w:t>4</w:t>
      </w:r>
      <w:r w:rsidRPr="009C759A">
        <w:rPr>
          <w:rFonts w:ascii="Calibri" w:hAnsi="Calibri" w:cs="Calibri"/>
          <w:color w:val="000000"/>
          <w:sz w:val="18"/>
          <w:szCs w:val="18"/>
          <w:lang w:val="en-US"/>
        </w:rPr>
        <w:t xml:space="preserve"> phenotypes (light and dark purple). </w:t>
      </w:r>
      <w:r w:rsidRPr="009C759A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c.</w:t>
      </w:r>
      <w:r w:rsidRPr="009C759A">
        <w:rPr>
          <w:rFonts w:ascii="Calibri" w:hAnsi="Calibri" w:cs="Calibri"/>
          <w:color w:val="000000"/>
          <w:sz w:val="18"/>
          <w:szCs w:val="18"/>
          <w:lang w:val="en-US"/>
        </w:rPr>
        <w:t xml:space="preserve"> Beta diversity based on the participants health status. </w:t>
      </w:r>
      <w:r w:rsidRPr="00455103">
        <w:rPr>
          <w:rFonts w:ascii="Calibri" w:hAnsi="Calibri" w:cs="Calibri"/>
          <w:color w:val="000000"/>
          <w:sz w:val="18"/>
          <w:szCs w:val="18"/>
          <w:lang w:val="en-US"/>
        </w:rPr>
        <w:t>HE - high methane emitter, LE - low methane emitter.</w:t>
      </w:r>
      <w:r w:rsidRPr="00455103">
        <w:rPr>
          <w:rFonts w:ascii="Calibri" w:hAnsi="Calibri" w:cs="Calibri"/>
          <w:lang w:val="en-US"/>
        </w:rPr>
        <w:br w:type="page"/>
      </w:r>
    </w:p>
    <w:p w14:paraId="2AC54FB1" w14:textId="158CB0D8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b/>
          <w:bCs/>
          <w:sz w:val="18"/>
          <w:szCs w:val="18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5DB3B0E4" wp14:editId="01BAFE9B">
            <wp:extent cx="5745480" cy="7861300"/>
            <wp:effectExtent l="0" t="0" r="7620" b="6350"/>
            <wp:docPr id="48793197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86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Supp. Figure X4. Relative abundance of archaeal taxa in HE and LE.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Data was grouped according to methane emission, health status and 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 xml:space="preserve">Methanobrevibacter </w:t>
      </w:r>
      <w:r w:rsidRPr="009C759A">
        <w:rPr>
          <w:rFonts w:ascii="Calibri" w:eastAsia="Arial Unicode MS" w:hAnsi="Calibri" w:cs="Calibri"/>
          <w:sz w:val="18"/>
          <w:szCs w:val="18"/>
          <w:lang w:val="en-US"/>
        </w:rPr>
        <w:t xml:space="preserve">state. Information was plotted on the left side. Relative abundance of archaeal and bacterial read counts </w:t>
      </w:r>
      <w:proofErr w:type="gramStart"/>
      <w:r w:rsidRPr="009C759A">
        <w:rPr>
          <w:rFonts w:ascii="Calibri" w:eastAsia="Arial Unicode MS" w:hAnsi="Calibri" w:cs="Calibri"/>
          <w:sz w:val="18"/>
          <w:szCs w:val="18"/>
          <w:lang w:val="en-US"/>
        </w:rPr>
        <w:t>are</w:t>
      </w:r>
      <w:proofErr w:type="gramEnd"/>
      <w:r w:rsidRPr="009C759A">
        <w:rPr>
          <w:rFonts w:ascii="Calibri" w:eastAsia="Arial Unicode MS" w:hAnsi="Calibri" w:cs="Calibri"/>
          <w:sz w:val="18"/>
          <w:szCs w:val="18"/>
          <w:lang w:val="en-US"/>
        </w:rPr>
        <w:t xml:space="preserve"> presented in the right </w:t>
      </w:r>
      <w:proofErr w:type="spellStart"/>
      <w:r w:rsidRPr="009C759A">
        <w:rPr>
          <w:rFonts w:ascii="Calibri" w:eastAsia="Arial Unicode MS" w:hAnsi="Calibri" w:cs="Calibri"/>
          <w:sz w:val="18"/>
          <w:szCs w:val="18"/>
          <w:lang w:val="en-US"/>
        </w:rPr>
        <w:t>barplot</w:t>
      </w:r>
      <w:proofErr w:type="spellEnd"/>
      <w:r w:rsidRPr="009C759A">
        <w:rPr>
          <w:rFonts w:ascii="Calibri" w:eastAsia="Arial Unicode MS" w:hAnsi="Calibri" w:cs="Calibri"/>
          <w:sz w:val="18"/>
          <w:szCs w:val="18"/>
          <w:lang w:val="en-US"/>
        </w:rPr>
        <w:t>. Stars (</w:t>
      </w:r>
      <w:r w:rsidRPr="009C759A">
        <w:rPr>
          <w:rFonts w:ascii="Segoe UI Symbol" w:eastAsia="Arial Unicode MS" w:hAnsi="Segoe UI Symbol" w:cs="Segoe UI Symbol"/>
          <w:sz w:val="18"/>
          <w:szCs w:val="18"/>
          <w:lang w:val="en-US"/>
        </w:rPr>
        <w:t>✩</w:t>
      </w:r>
      <w:r w:rsidRPr="009C759A">
        <w:rPr>
          <w:rFonts w:ascii="Calibri" w:eastAsia="Arial Unicode MS" w:hAnsi="Calibri" w:cs="Calibri"/>
          <w:sz w:val="18"/>
          <w:szCs w:val="18"/>
          <w:lang w:val="en-US"/>
        </w:rPr>
        <w:t xml:space="preserve">) indicate samples from which 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Methanobrevibacter sp.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were successfully isolated. </w:t>
      </w:r>
      <w:r w:rsidRPr="009C759A">
        <w:rPr>
          <w:rFonts w:ascii="Calibri" w:hAnsi="Calibri" w:cs="Calibri"/>
          <w:sz w:val="18"/>
          <w:szCs w:val="18"/>
        </w:rPr>
        <w:t xml:space="preserve">The </w:t>
      </w:r>
      <w:proofErr w:type="spellStart"/>
      <w:r w:rsidRPr="009C759A">
        <w:rPr>
          <w:rFonts w:ascii="Calibri" w:hAnsi="Calibri" w:cs="Calibri"/>
          <w:sz w:val="18"/>
          <w:szCs w:val="18"/>
        </w:rPr>
        <w:t>plot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C759A">
        <w:rPr>
          <w:rFonts w:ascii="Calibri" w:hAnsi="Calibri" w:cs="Calibri"/>
          <w:sz w:val="18"/>
          <w:szCs w:val="18"/>
        </w:rPr>
        <w:t>is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C759A">
        <w:rPr>
          <w:rFonts w:ascii="Calibri" w:hAnsi="Calibri" w:cs="Calibri"/>
          <w:sz w:val="18"/>
          <w:szCs w:val="18"/>
        </w:rPr>
        <w:t>based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on non-</w:t>
      </w:r>
      <w:proofErr w:type="spellStart"/>
      <w:r w:rsidRPr="009C759A">
        <w:rPr>
          <w:rFonts w:ascii="Calibri" w:hAnsi="Calibri" w:cs="Calibri"/>
          <w:sz w:val="18"/>
          <w:szCs w:val="18"/>
        </w:rPr>
        <w:t>normalized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C759A">
        <w:rPr>
          <w:rFonts w:ascii="Calibri" w:hAnsi="Calibri" w:cs="Calibri"/>
          <w:sz w:val="18"/>
          <w:szCs w:val="18"/>
        </w:rPr>
        <w:t>data</w:t>
      </w:r>
      <w:proofErr w:type="spellEnd"/>
      <w:r w:rsidRPr="009C759A">
        <w:rPr>
          <w:rFonts w:ascii="Calibri" w:hAnsi="Calibri" w:cs="Calibri"/>
          <w:sz w:val="18"/>
          <w:szCs w:val="18"/>
        </w:rPr>
        <w:t>.</w:t>
      </w:r>
    </w:p>
    <w:p w14:paraId="2CE7A243" w14:textId="2F57ABED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1299418E" wp14:editId="59BEA489">
            <wp:extent cx="5752465" cy="2040255"/>
            <wp:effectExtent l="0" t="0" r="635" b="0"/>
            <wp:docPr id="60461417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649BB" w14:textId="77777777" w:rsidR="009C759A" w:rsidRPr="009C759A" w:rsidRDefault="009C759A" w:rsidP="009C759A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Supp. Fig. X5. Ratio between archaeal and bacterial reads in the samples of our study cohort.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In general, HE </w:t>
      </w:r>
      <w:proofErr w:type="gramStart"/>
      <w:r w:rsidRPr="009C759A">
        <w:rPr>
          <w:rFonts w:ascii="Calibri" w:hAnsi="Calibri" w:cs="Calibri"/>
          <w:sz w:val="18"/>
          <w:szCs w:val="18"/>
          <w:lang w:val="en-US"/>
        </w:rPr>
        <w:t>show</w:t>
      </w:r>
      <w:proofErr w:type="gramEnd"/>
      <w:r w:rsidRPr="009C759A">
        <w:rPr>
          <w:rFonts w:ascii="Calibri" w:hAnsi="Calibri" w:cs="Calibri"/>
          <w:sz w:val="18"/>
          <w:szCs w:val="18"/>
          <w:lang w:val="en-US"/>
        </w:rPr>
        <w:t xml:space="preserve"> a higher A/B ratio compared to LE.</w:t>
      </w:r>
    </w:p>
    <w:p w14:paraId="1F18A93D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68F74A2A" w14:textId="71E52630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lang w:val="en-US"/>
        </w:rPr>
        <w:br w:type="page"/>
      </w:r>
    </w:p>
    <w:p w14:paraId="7EF70615" w14:textId="03AF67BF" w:rsid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7E2CDBA2" wp14:editId="4D192C20">
            <wp:extent cx="5759450" cy="6673850"/>
            <wp:effectExtent l="0" t="0" r="0" b="0"/>
            <wp:docPr id="170637452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01BD5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sz w:val="8"/>
          <w:szCs w:val="8"/>
        </w:rPr>
      </w:pPr>
    </w:p>
    <w:p w14:paraId="5622CFD9" w14:textId="5330D6AC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Supp. Fig. X6. </w:t>
      </w:r>
      <w:r w:rsidRPr="009C759A">
        <w:rPr>
          <w:rFonts w:ascii="Calibri" w:hAnsi="Calibri" w:cs="Calibri"/>
          <w:b/>
          <w:bCs/>
          <w:sz w:val="18"/>
          <w:szCs w:val="18"/>
          <w:u w:val="single"/>
          <w:lang w:val="en-US"/>
        </w:rPr>
        <w:t xml:space="preserve">Gut microbiome of HE and LE differs in diversity and bacterial partners. 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a.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Alpha diversity of HE samples was significantly higher compared to LE. (Shapiro-Wilk: Shannon = 0.013; Richness = 0.030; Evenness = 0.009; Mann Whitney U q-value: Shannon = 9.39E-06; Richness = 3.55E-06; Evenness = 2.13E-05) 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b.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Microbial communities of the CH</w:t>
      </w:r>
      <w:r w:rsidRPr="009C759A">
        <w:rPr>
          <w:rFonts w:ascii="Calibri" w:hAnsi="Calibri" w:cs="Calibri"/>
          <w:sz w:val="18"/>
          <w:szCs w:val="18"/>
          <w:vertAlign w:val="subscript"/>
          <w:lang w:val="en-US"/>
        </w:rPr>
        <w:t>4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emission phenotypes were overlapping but not completely separated (beta diversity;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nonSRS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data;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Permanova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- p-value: 0.004) 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c.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Differential abundance analysis shows several microbial taxa that are significantly associated with one or the other CH</w:t>
      </w:r>
      <w:r w:rsidRPr="009C759A">
        <w:rPr>
          <w:rFonts w:ascii="Calibri" w:hAnsi="Calibri" w:cs="Calibri"/>
          <w:sz w:val="18"/>
          <w:szCs w:val="18"/>
          <w:vertAlign w:val="subscript"/>
          <w:lang w:val="en-US"/>
        </w:rPr>
        <w:t>4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emission phenotype. (ALDEx2: q-value and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diff.btw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). 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d. 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Differential abundance analysis of the top 20 taxa associated with either HE or LE. 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M.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sp900766745 does not show up in the list of the top 20, however, was still significantly associated with LE. (ALDEx2: q-values;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clr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-transformed data). 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e.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Microbial networks around the three most discriminative archaeal taxa built on HE and LE data, </w:t>
      </w:r>
      <w:proofErr w:type="gramStart"/>
      <w:r w:rsidRPr="009C759A">
        <w:rPr>
          <w:rFonts w:ascii="Calibri" w:hAnsi="Calibri" w:cs="Calibri"/>
          <w:sz w:val="18"/>
          <w:szCs w:val="18"/>
          <w:lang w:val="en-US"/>
        </w:rPr>
        <w:t>respectively(</w:t>
      </w:r>
      <w:proofErr w:type="gramEnd"/>
      <w:r w:rsidRPr="009C759A">
        <w:rPr>
          <w:rFonts w:ascii="Calibri" w:hAnsi="Calibri" w:cs="Calibri"/>
          <w:sz w:val="18"/>
          <w:szCs w:val="18"/>
          <w:lang w:val="en-US"/>
        </w:rPr>
        <w:t>shotgun, species level; grey lines: negative correlation; black lines: positive. correlation) f. No dietary variable could explain the differences in the microbial communities between the two CH</w:t>
      </w:r>
      <w:r w:rsidRPr="009C759A">
        <w:rPr>
          <w:rFonts w:ascii="Calibri" w:hAnsi="Calibri" w:cs="Calibri"/>
          <w:sz w:val="18"/>
          <w:szCs w:val="18"/>
          <w:vertAlign w:val="subscript"/>
          <w:lang w:val="en-US"/>
        </w:rPr>
        <w:t>4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emission states.</w:t>
      </w:r>
    </w:p>
    <w:p w14:paraId="7BC304E5" w14:textId="039FBCB5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lang w:val="en-US"/>
        </w:rPr>
        <w:br w:type="page"/>
      </w:r>
    </w:p>
    <w:p w14:paraId="22171471" w14:textId="7DFC8834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09EF1358" wp14:editId="208FF0E4">
            <wp:extent cx="3630295" cy="2108835"/>
            <wp:effectExtent l="0" t="0" r="8255" b="5715"/>
            <wp:docPr id="41789194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95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3E804" w14:textId="77777777" w:rsidR="009C759A" w:rsidRPr="009C759A" w:rsidRDefault="009C759A" w:rsidP="009C759A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Supp. Fig. X7.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9C759A">
        <w:rPr>
          <w:rFonts w:ascii="Calibri" w:hAnsi="Calibri" w:cs="Calibri"/>
          <w:b/>
          <w:bCs/>
          <w:sz w:val="18"/>
          <w:szCs w:val="18"/>
          <w:u w:val="single"/>
          <w:lang w:val="en-US"/>
        </w:rPr>
        <w:t>Quality of retrieved MAGs of the shotgun data.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 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Two complementary bioinformatic approaches, the metagenome-atlas and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nextflow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workflows, were used to recover MAGs. However, the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Nextflow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pipeline was applied only to reads mapped to the 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 xml:space="preserve">M. </w:t>
      </w:r>
      <w:proofErr w:type="spellStart"/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intestini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reference genome. </w:t>
      </w:r>
      <w:proofErr w:type="spellStart"/>
      <w:r w:rsidRPr="009C759A">
        <w:rPr>
          <w:rFonts w:ascii="Calibri" w:hAnsi="Calibri" w:cs="Calibri"/>
          <w:sz w:val="18"/>
          <w:szCs w:val="18"/>
        </w:rPr>
        <w:t>Only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MAGs </w:t>
      </w:r>
      <w:proofErr w:type="spellStart"/>
      <w:r w:rsidRPr="009C759A">
        <w:rPr>
          <w:rFonts w:ascii="Calibri" w:hAnsi="Calibri" w:cs="Calibri"/>
          <w:sz w:val="18"/>
          <w:szCs w:val="18"/>
        </w:rPr>
        <w:t>with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&gt;95% </w:t>
      </w:r>
      <w:proofErr w:type="spellStart"/>
      <w:r w:rsidRPr="009C759A">
        <w:rPr>
          <w:rFonts w:ascii="Calibri" w:hAnsi="Calibri" w:cs="Calibri"/>
          <w:sz w:val="18"/>
          <w:szCs w:val="18"/>
        </w:rPr>
        <w:t>completeness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and &lt;5% </w:t>
      </w:r>
      <w:proofErr w:type="spellStart"/>
      <w:r w:rsidRPr="009C759A">
        <w:rPr>
          <w:rFonts w:ascii="Calibri" w:hAnsi="Calibri" w:cs="Calibri"/>
          <w:sz w:val="18"/>
          <w:szCs w:val="18"/>
        </w:rPr>
        <w:t>contamination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C759A">
        <w:rPr>
          <w:rFonts w:ascii="Calibri" w:hAnsi="Calibri" w:cs="Calibri"/>
          <w:sz w:val="18"/>
          <w:szCs w:val="18"/>
        </w:rPr>
        <w:t>are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C759A">
        <w:rPr>
          <w:rFonts w:ascii="Calibri" w:hAnsi="Calibri" w:cs="Calibri"/>
          <w:sz w:val="18"/>
          <w:szCs w:val="18"/>
        </w:rPr>
        <w:t>shown</w:t>
      </w:r>
      <w:proofErr w:type="spellEnd"/>
      <w:r w:rsidRPr="009C759A">
        <w:rPr>
          <w:rFonts w:ascii="Calibri" w:hAnsi="Calibri" w:cs="Calibri"/>
          <w:sz w:val="18"/>
          <w:szCs w:val="18"/>
        </w:rPr>
        <w:t xml:space="preserve">. </w:t>
      </w:r>
    </w:p>
    <w:p w14:paraId="5B6371FB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</w:p>
    <w:p w14:paraId="78002425" w14:textId="3877A005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</w:rPr>
        <w:br w:type="page"/>
      </w:r>
    </w:p>
    <w:p w14:paraId="6042ADF7" w14:textId="75D9CD13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</w:rPr>
      </w:pPr>
      <w:r w:rsidRPr="009C759A">
        <w:rPr>
          <w:rFonts w:ascii="Calibri" w:hAnsi="Calibri" w:cs="Calibri"/>
          <w:noProof/>
        </w:rPr>
        <w:lastRenderedPageBreak/>
        <w:drawing>
          <wp:inline distT="0" distB="0" distL="0" distR="0" wp14:anchorId="577ED937" wp14:editId="3AF693C6">
            <wp:extent cx="5759450" cy="5841365"/>
            <wp:effectExtent l="0" t="0" r="0" b="6985"/>
            <wp:docPr id="743738020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84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29538" w14:textId="77777777" w:rsidR="009C759A" w:rsidRPr="009C759A" w:rsidRDefault="009C759A" w:rsidP="009C759A">
      <w:pPr>
        <w:jc w:val="both"/>
        <w:rPr>
          <w:rFonts w:ascii="Calibri" w:hAnsi="Calibri" w:cs="Calibri"/>
          <w:color w:val="212121"/>
          <w:sz w:val="18"/>
          <w:szCs w:val="18"/>
          <w:lang w:val="en-US"/>
        </w:rPr>
      </w:pP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Supp. Fig. X8. </w:t>
      </w:r>
      <w:r w:rsidRPr="009C759A">
        <w:rPr>
          <w:rFonts w:ascii="Calibri" w:hAnsi="Calibri" w:cs="Calibri"/>
          <w:b/>
          <w:bCs/>
          <w:sz w:val="18"/>
          <w:szCs w:val="18"/>
          <w:u w:val="single"/>
          <w:lang w:val="en-US"/>
        </w:rPr>
        <w:t>Central carbon metabolism was highly conserved among all three lineages.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 xml:space="preserve"> a. 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Central carbon metabolism highlighting enzymes identified in genomic and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metatranscriptomic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data. Metabolites that differed significantly between Methanobrevibacter states based on metabolomic analysis are indicated by colored boxes and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asterices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. * p-value &lt; 0.05, ** p-value &lt; 0.01, *** p-value &lt; 0.001 </w:t>
      </w:r>
      <w:r w:rsidRPr="009C759A">
        <w:rPr>
          <w:rFonts w:ascii="Calibri" w:hAnsi="Calibri" w:cs="Calibri"/>
          <w:b/>
          <w:bCs/>
          <w:sz w:val="18"/>
          <w:szCs w:val="18"/>
          <w:lang w:val="en-US"/>
        </w:rPr>
        <w:t>b.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Stable isotope tracing with </w:t>
      </w:r>
      <w:r w:rsidRPr="009C759A">
        <w:rPr>
          <w:rFonts w:ascii="Calibri" w:hAnsi="Calibri" w:cs="Calibri"/>
          <w:color w:val="212121"/>
          <w:sz w:val="18"/>
          <w:szCs w:val="18"/>
          <w:vertAlign w:val="superscript"/>
          <w:lang w:val="en-US"/>
        </w:rPr>
        <w:t>13</w:t>
      </w:r>
      <w:r w:rsidRPr="009C759A">
        <w:rPr>
          <w:rFonts w:ascii="Calibri" w:hAnsi="Calibri" w:cs="Calibri"/>
          <w:color w:val="212121"/>
          <w:sz w:val="18"/>
          <w:szCs w:val="18"/>
          <w:lang w:val="en-US"/>
        </w:rPr>
        <w:t>C</w:t>
      </w:r>
      <w:r w:rsidRPr="009C759A">
        <w:rPr>
          <w:rFonts w:ascii="Calibri" w:hAnsi="Calibri" w:cs="Calibri"/>
          <w:color w:val="212121"/>
          <w:sz w:val="18"/>
          <w:szCs w:val="18"/>
          <w:vertAlign w:val="subscript"/>
          <w:lang w:val="en-US"/>
        </w:rPr>
        <w:t>2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-acetate in M.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intestini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and M.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smithii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.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Isotopologue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fractions of metabolites in 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 xml:space="preserve">M. </w:t>
      </w:r>
      <w:proofErr w:type="spellStart"/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smithii</w:t>
      </w:r>
      <w:proofErr w:type="spellEnd"/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 xml:space="preserve"> </w:t>
      </w:r>
      <w:r w:rsidRPr="009C759A">
        <w:rPr>
          <w:rFonts w:ascii="Calibri" w:hAnsi="Calibri" w:cs="Calibri"/>
          <w:sz w:val="18"/>
          <w:szCs w:val="18"/>
          <w:lang w:val="en-US"/>
        </w:rPr>
        <w:t>and</w:t>
      </w:r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 xml:space="preserve"> M. </w:t>
      </w:r>
      <w:proofErr w:type="spellStart"/>
      <w:r w:rsidRPr="009C759A">
        <w:rPr>
          <w:rFonts w:ascii="Calibri" w:hAnsi="Calibri" w:cs="Calibri"/>
          <w:i/>
          <w:iCs/>
          <w:sz w:val="18"/>
          <w:szCs w:val="18"/>
          <w:lang w:val="en-US"/>
        </w:rPr>
        <w:t>intestini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 after tracing with 10 mM </w:t>
      </w:r>
      <w:r w:rsidRPr="009C759A">
        <w:rPr>
          <w:rFonts w:ascii="Calibri" w:hAnsi="Calibri" w:cs="Calibri"/>
          <w:color w:val="212121"/>
          <w:sz w:val="18"/>
          <w:szCs w:val="18"/>
          <w:vertAlign w:val="superscript"/>
          <w:lang w:val="en-US"/>
        </w:rPr>
        <w:t>13</w:t>
      </w:r>
      <w:r w:rsidRPr="009C759A">
        <w:rPr>
          <w:rFonts w:ascii="Calibri" w:hAnsi="Calibri" w:cs="Calibri"/>
          <w:color w:val="212121"/>
          <w:sz w:val="18"/>
          <w:szCs w:val="18"/>
          <w:lang w:val="en-US"/>
        </w:rPr>
        <w:t>C</w:t>
      </w:r>
      <w:r w:rsidRPr="009C759A">
        <w:rPr>
          <w:rFonts w:ascii="Calibri" w:hAnsi="Calibri" w:cs="Calibri"/>
          <w:color w:val="212121"/>
          <w:sz w:val="18"/>
          <w:szCs w:val="18"/>
          <w:vertAlign w:val="subscript"/>
          <w:lang w:val="en-US"/>
        </w:rPr>
        <w:t>2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-acetate for 26 hours (n = 3). Samples were analyzed by gas chromatography-mass spectrometry. OAA, </w:t>
      </w:r>
      <w:proofErr w:type="spellStart"/>
      <w:r w:rsidRPr="009C759A">
        <w:rPr>
          <w:rFonts w:ascii="Calibri" w:hAnsi="Calibri" w:cs="Calibri"/>
          <w:sz w:val="18"/>
          <w:szCs w:val="18"/>
          <w:lang w:val="en-US"/>
        </w:rPr>
        <w:t>oxalocetate</w:t>
      </w:r>
      <w:proofErr w:type="spellEnd"/>
      <w:r w:rsidRPr="009C759A">
        <w:rPr>
          <w:rFonts w:ascii="Calibri" w:hAnsi="Calibri" w:cs="Calibri"/>
          <w:sz w:val="18"/>
          <w:szCs w:val="18"/>
          <w:lang w:val="en-US"/>
        </w:rPr>
        <w:t xml:space="preserve">; PEP, phosphoenolpyruvate; Glycerol-3P, glycerol-3-phopshate; </w:t>
      </w:r>
      <w:r w:rsidRPr="009C759A">
        <w:rPr>
          <w:rFonts w:ascii="Calibri" w:hAnsi="Calibri" w:cs="Calibri"/>
          <w:sz w:val="18"/>
          <w:szCs w:val="18"/>
        </w:rPr>
        <w:t>α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-KG, </w:t>
      </w:r>
      <w:r w:rsidRPr="009C759A">
        <w:rPr>
          <w:rFonts w:ascii="Calibri" w:hAnsi="Calibri" w:cs="Calibri"/>
          <w:sz w:val="18"/>
          <w:szCs w:val="18"/>
        </w:rPr>
        <w:t>α</w:t>
      </w:r>
      <w:r w:rsidRPr="009C759A">
        <w:rPr>
          <w:rFonts w:ascii="Calibri" w:hAnsi="Calibri" w:cs="Calibri"/>
          <w:sz w:val="18"/>
          <w:szCs w:val="18"/>
          <w:lang w:val="en-US"/>
        </w:rPr>
        <w:t>-ketoglutarate; 2 PG, 2-phosphoglycerate; 3 PG, 3-phosphoglycerate; 1,3 PG, 1,3-bisphosphoglycerate; GAP, glyceraldehyde 3-phosphate; F1,6P, fructose 1,6-bisphosphate; F6P, fructose 6-phosphate; G6P, glucose 6-phosphate; PRPP, 5-phosphoribosyl-1-pyrophosphate.</w:t>
      </w:r>
    </w:p>
    <w:p w14:paraId="0E220D10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1E797D38" w14:textId="35C58AF0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  <w:r w:rsidRPr="009C759A">
        <w:rPr>
          <w:rFonts w:ascii="Calibri" w:hAnsi="Calibri" w:cs="Calibri"/>
          <w:lang w:val="en-US"/>
        </w:rPr>
        <w:br w:type="page"/>
      </w:r>
    </w:p>
    <w:p w14:paraId="766FD880" w14:textId="32E5213F" w:rsidR="009C759A" w:rsidRPr="0049637C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p w14:paraId="3F937180" w14:textId="25066E20" w:rsidR="009C759A" w:rsidRPr="009C759A" w:rsidRDefault="00455103" w:rsidP="009C759A">
      <w:pPr>
        <w:spacing w:line="240" w:lineRule="auto"/>
        <w:jc w:val="both"/>
        <w:rPr>
          <w:rFonts w:ascii="Calibri" w:hAnsi="Calibri" w:cs="Calibri"/>
        </w:rPr>
      </w:pPr>
      <w:r>
        <w:rPr>
          <w:noProof/>
          <w:sz w:val="20"/>
          <w:szCs w:val="20"/>
        </w:rPr>
        <w:drawing>
          <wp:inline distT="0" distB="0" distL="0" distR="0" wp14:anchorId="02BB7DCC" wp14:editId="6DD5A91D">
            <wp:extent cx="5734050" cy="1819275"/>
            <wp:effectExtent l="0" t="0" r="0" b="952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C54A6" w14:textId="31BC9ACF" w:rsidR="009C759A" w:rsidRPr="009C759A" w:rsidRDefault="009C759A" w:rsidP="009C759A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5E0E6B">
        <w:rPr>
          <w:rFonts w:ascii="Calibri" w:hAnsi="Calibri" w:cs="Calibri"/>
          <w:b/>
          <w:bCs/>
          <w:sz w:val="18"/>
          <w:szCs w:val="18"/>
          <w:lang w:val="en-US"/>
        </w:rPr>
        <w:t xml:space="preserve">Supp. Figure X9. </w:t>
      </w:r>
      <w:r w:rsidRPr="005E0E6B">
        <w:rPr>
          <w:rFonts w:ascii="Calibri" w:hAnsi="Calibri" w:cs="Calibri"/>
          <w:b/>
          <w:bCs/>
          <w:i/>
          <w:iCs/>
          <w:sz w:val="18"/>
          <w:szCs w:val="18"/>
          <w:u w:val="single"/>
          <w:lang w:val="en-US"/>
        </w:rPr>
        <w:t>SCFA</w:t>
      </w:r>
      <w:r w:rsidRPr="009C759A">
        <w:rPr>
          <w:rFonts w:ascii="Calibri" w:hAnsi="Calibri" w:cs="Calibri"/>
          <w:b/>
          <w:bCs/>
          <w:i/>
          <w:iCs/>
          <w:sz w:val="18"/>
          <w:szCs w:val="18"/>
          <w:u w:val="single"/>
          <w:lang w:val="en-US"/>
        </w:rPr>
        <w:t xml:space="preserve"> ratios between the Methanobrevibacter phenotypes.</w:t>
      </w:r>
      <w:r w:rsidRPr="009C759A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455103" w:rsidRPr="00455103">
        <w:rPr>
          <w:sz w:val="18"/>
          <w:szCs w:val="18"/>
          <w:lang w:val="en-US"/>
        </w:rPr>
        <w:t xml:space="preserve">Ratios of acetic, butyric, and propionic acid concentrations across Methanobrevibacter states calculated from the mean metabolite concentrations for each </w:t>
      </w:r>
      <w:r w:rsidR="00455103" w:rsidRPr="00455103">
        <w:rPr>
          <w:i/>
          <w:iCs/>
          <w:sz w:val="18"/>
          <w:szCs w:val="18"/>
          <w:lang w:val="en-US"/>
        </w:rPr>
        <w:t>Methanobrevibacter</w:t>
      </w:r>
      <w:r w:rsidR="00455103" w:rsidRPr="00455103">
        <w:rPr>
          <w:sz w:val="18"/>
          <w:szCs w:val="18"/>
          <w:lang w:val="en-US"/>
        </w:rPr>
        <w:t xml:space="preserve"> </w:t>
      </w:r>
      <w:r w:rsidR="00455103">
        <w:rPr>
          <w:sz w:val="18"/>
          <w:szCs w:val="18"/>
          <w:lang w:val="en-US"/>
        </w:rPr>
        <w:t>state</w:t>
      </w:r>
      <w:r w:rsidR="00455103" w:rsidRPr="00455103">
        <w:rPr>
          <w:sz w:val="18"/>
          <w:szCs w:val="18"/>
          <w:lang w:val="en-US"/>
        </w:rPr>
        <w:t>.</w:t>
      </w:r>
    </w:p>
    <w:p w14:paraId="4FC3010E" w14:textId="77777777" w:rsidR="009C759A" w:rsidRPr="009C759A" w:rsidRDefault="009C759A" w:rsidP="009C759A">
      <w:pPr>
        <w:spacing w:line="240" w:lineRule="auto"/>
        <w:jc w:val="both"/>
        <w:rPr>
          <w:rFonts w:ascii="Calibri" w:hAnsi="Calibri" w:cs="Calibri"/>
          <w:lang w:val="en-US"/>
        </w:rPr>
      </w:pPr>
    </w:p>
    <w:sectPr w:rsidR="009C759A" w:rsidRPr="009C75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9A"/>
    <w:rsid w:val="00455103"/>
    <w:rsid w:val="0049637C"/>
    <w:rsid w:val="004E3B07"/>
    <w:rsid w:val="005E0E6B"/>
    <w:rsid w:val="009C759A"/>
    <w:rsid w:val="00D8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B682"/>
  <w15:chartTrackingRefBased/>
  <w15:docId w15:val="{BB388D0C-6C8E-4492-BC7A-A4C9CEEB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7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C7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7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7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7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7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7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7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7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7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C7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7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759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759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759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759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759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75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7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7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7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7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7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759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759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759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7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759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759A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75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AB0F176E50412583F000704BAFD2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EE1374-B180-477A-88D9-0508276DA511}"/>
      </w:docPartPr>
      <w:docPartBody>
        <w:p w:rsidR="002346A8" w:rsidRDefault="00FA533C" w:rsidP="00FA533C">
          <w:pPr>
            <w:pStyle w:val="0FAB0F176E50412583F000704BAFD2A1"/>
          </w:pPr>
          <w:r w:rsidRPr="003F1F1C">
            <w:rPr>
              <w:rStyle w:val="Platzhaltertext"/>
              <w:lang w:val="d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3C"/>
    <w:rsid w:val="00210561"/>
    <w:rsid w:val="002346A8"/>
    <w:rsid w:val="004D5255"/>
    <w:rsid w:val="004E3B07"/>
    <w:rsid w:val="007F7C2A"/>
    <w:rsid w:val="00B45FFD"/>
    <w:rsid w:val="00FA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A533C"/>
    <w:rPr>
      <w:color w:val="666666"/>
    </w:rPr>
  </w:style>
  <w:style w:type="paragraph" w:customStyle="1" w:styleId="0FAB0F176E50412583F000704BAFD2A1">
    <w:name w:val="0FAB0F176E50412583F000704BAFD2A1"/>
    <w:rsid w:val="00FA53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806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Kumpitsch, Christina Sarah</dc:creator>
  <cp:keywords/>
  <dc:description/>
  <cp:lastModifiedBy>Kumpitsch, Christina Sarah</cp:lastModifiedBy>
  <cp:revision>4</cp:revision>
  <dcterms:created xsi:type="dcterms:W3CDTF">2026-10-09T13:00:00Z</dcterms:created>
  <dcterms:modified xsi:type="dcterms:W3CDTF">2026-10-15T11:30:00Z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061cd9208a2b13b5e4b69a9fb56fd78d74f8b4ffef5797fdfc678241b3405db9</vt:lpwstr>
  </property>
</Properties>
</file>