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748B0" w14:textId="22803E4D" w:rsidR="000F1CC1" w:rsidRPr="00A12EA1" w:rsidRDefault="00A12EA1" w:rsidP="00A12EA1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A12EA1">
        <w:rPr>
          <w:rFonts w:ascii="Arial" w:eastAsiaTheme="majorEastAsia" w:hAnsi="Arial" w:cs="Arial"/>
          <w:sz w:val="24"/>
          <w:szCs w:val="24"/>
        </w:rPr>
        <w:t>Supplementary</w:t>
      </w:r>
      <w:proofErr w:type="spellEnd"/>
      <w:r w:rsidRPr="00A12EA1">
        <w:rPr>
          <w:rFonts w:ascii="Arial" w:eastAsiaTheme="majorEastAsia" w:hAnsi="Arial" w:cs="Arial"/>
          <w:sz w:val="24"/>
          <w:szCs w:val="24"/>
        </w:rPr>
        <w:t xml:space="preserve"> material – </w:t>
      </w:r>
      <w:proofErr w:type="spellStart"/>
      <w:r w:rsidRPr="00A12EA1">
        <w:rPr>
          <w:rFonts w:ascii="Arial" w:eastAsiaTheme="majorEastAsia" w:hAnsi="Arial" w:cs="Arial"/>
          <w:sz w:val="24"/>
          <w:szCs w:val="24"/>
        </w:rPr>
        <w:t>Production</w:t>
      </w:r>
      <w:proofErr w:type="spellEnd"/>
      <w:r w:rsidRPr="00A12EA1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A12EA1">
        <w:rPr>
          <w:rFonts w:ascii="Arial" w:eastAsiaTheme="majorEastAsia" w:hAnsi="Arial" w:cs="Arial"/>
          <w:sz w:val="24"/>
          <w:szCs w:val="24"/>
        </w:rPr>
        <w:t>of</w:t>
      </w:r>
      <w:proofErr w:type="spellEnd"/>
      <w:r w:rsidRPr="00A12EA1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A12EA1">
        <w:rPr>
          <w:rFonts w:ascii="Arial" w:eastAsiaTheme="majorEastAsia" w:hAnsi="Arial" w:cs="Arial"/>
          <w:sz w:val="24"/>
          <w:szCs w:val="24"/>
        </w:rPr>
        <w:t>biomass</w:t>
      </w:r>
      <w:proofErr w:type="spellEnd"/>
      <w:r w:rsidRPr="00A12EA1">
        <w:rPr>
          <w:rFonts w:ascii="Arial" w:eastAsiaTheme="majorEastAsia" w:hAnsi="Arial" w:cs="Arial"/>
          <w:sz w:val="24"/>
          <w:szCs w:val="24"/>
        </w:rPr>
        <w:t xml:space="preserve">, </w:t>
      </w:r>
      <w:proofErr w:type="spellStart"/>
      <w:r w:rsidRPr="00A12EA1">
        <w:rPr>
          <w:rFonts w:ascii="Arial" w:eastAsiaTheme="majorEastAsia" w:hAnsi="Arial" w:cs="Arial"/>
          <w:sz w:val="24"/>
          <w:szCs w:val="24"/>
        </w:rPr>
        <w:t>carotenoids</w:t>
      </w:r>
      <w:proofErr w:type="spellEnd"/>
      <w:r w:rsidRPr="00A12EA1">
        <w:rPr>
          <w:rFonts w:ascii="Arial" w:eastAsiaTheme="majorEastAsia" w:hAnsi="Arial" w:cs="Arial"/>
          <w:sz w:val="24"/>
          <w:szCs w:val="24"/>
        </w:rPr>
        <w:t xml:space="preserve">, </w:t>
      </w:r>
      <w:proofErr w:type="spellStart"/>
      <w:r w:rsidRPr="00A12EA1">
        <w:rPr>
          <w:rFonts w:ascii="Arial" w:eastAsiaTheme="majorEastAsia" w:hAnsi="Arial" w:cs="Arial"/>
          <w:sz w:val="24"/>
          <w:szCs w:val="24"/>
        </w:rPr>
        <w:t>and</w:t>
      </w:r>
      <w:proofErr w:type="spellEnd"/>
      <w:r w:rsidRPr="00A12EA1">
        <w:rPr>
          <w:rFonts w:ascii="Arial" w:eastAsiaTheme="majorEastAsia" w:hAnsi="Arial" w:cs="Arial"/>
          <w:sz w:val="24"/>
          <w:szCs w:val="24"/>
        </w:rPr>
        <w:t xml:space="preserve"> SPF </w:t>
      </w:r>
      <w:proofErr w:type="spellStart"/>
      <w:r w:rsidRPr="00A12EA1">
        <w:rPr>
          <w:rFonts w:ascii="Arial" w:eastAsiaTheme="majorEastAsia" w:hAnsi="Arial" w:cs="Arial"/>
          <w:sz w:val="24"/>
          <w:szCs w:val="24"/>
        </w:rPr>
        <w:t>by</w:t>
      </w:r>
      <w:proofErr w:type="spellEnd"/>
      <w:r w:rsidRPr="00A12EA1">
        <w:rPr>
          <w:rFonts w:ascii="Arial" w:eastAsiaTheme="majorEastAsia" w:hAnsi="Arial" w:cs="Arial"/>
          <w:sz w:val="24"/>
          <w:szCs w:val="24"/>
        </w:rPr>
        <w:t xml:space="preserve"> </w:t>
      </w:r>
      <w:proofErr w:type="spellStart"/>
      <w:r w:rsidRPr="00A12EA1">
        <w:rPr>
          <w:rFonts w:ascii="Arial" w:eastAsiaTheme="majorEastAsia" w:hAnsi="Arial" w:cs="Arial"/>
          <w:i/>
          <w:iCs/>
          <w:sz w:val="24"/>
          <w:szCs w:val="24"/>
        </w:rPr>
        <w:t>Kocuria</w:t>
      </w:r>
      <w:proofErr w:type="spellEnd"/>
      <w:r w:rsidRPr="00A12EA1">
        <w:rPr>
          <w:rFonts w:ascii="Arial" w:eastAsiaTheme="majorEastAsia" w:hAnsi="Arial" w:cs="Arial"/>
          <w:i/>
          <w:iCs/>
          <w:sz w:val="24"/>
          <w:szCs w:val="24"/>
        </w:rPr>
        <w:t xml:space="preserve"> </w:t>
      </w:r>
      <w:proofErr w:type="spellStart"/>
      <w:r w:rsidRPr="00A12EA1">
        <w:rPr>
          <w:rFonts w:ascii="Arial" w:eastAsiaTheme="majorEastAsia" w:hAnsi="Arial" w:cs="Arial"/>
          <w:i/>
          <w:iCs/>
          <w:sz w:val="24"/>
          <w:szCs w:val="24"/>
        </w:rPr>
        <w:t>palustris</w:t>
      </w:r>
      <w:proofErr w:type="spellEnd"/>
      <w:r w:rsidRPr="00A12EA1">
        <w:rPr>
          <w:rFonts w:ascii="Arial" w:eastAsiaTheme="majorEastAsia" w:hAnsi="Arial" w:cs="Arial"/>
          <w:sz w:val="24"/>
          <w:szCs w:val="24"/>
        </w:rPr>
        <w:t xml:space="preserve"> (120 h) in residual </w:t>
      </w:r>
      <w:proofErr w:type="spellStart"/>
      <w:r w:rsidRPr="00A12EA1">
        <w:rPr>
          <w:rFonts w:ascii="Arial" w:eastAsiaTheme="majorEastAsia" w:hAnsi="Arial" w:cs="Arial"/>
          <w:sz w:val="24"/>
          <w:szCs w:val="24"/>
        </w:rPr>
        <w:t>medium</w:t>
      </w:r>
      <w:proofErr w:type="spellEnd"/>
      <w:r w:rsidRPr="00A12EA1">
        <w:rPr>
          <w:rFonts w:ascii="Arial" w:eastAsiaTheme="majorEastAsia" w:hAnsi="Arial" w:cs="Arial"/>
          <w:sz w:val="24"/>
          <w:szCs w:val="24"/>
        </w:rPr>
        <w:t>.</w:t>
      </w:r>
    </w:p>
    <w:p w14:paraId="7581458B" w14:textId="77777777" w:rsidR="000F1CC1" w:rsidRDefault="000F1CC1" w:rsidP="000F1CC1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0F1CC1" w:rsidRPr="00A12EA1" w14:paraId="1E1A517E" w14:textId="77777777" w:rsidTr="00D46DD8">
        <w:trPr>
          <w:jc w:val="center"/>
        </w:trPr>
        <w:tc>
          <w:tcPr>
            <w:tcW w:w="1698" w:type="dxa"/>
            <w:vMerge w:val="restart"/>
            <w:vAlign w:val="center"/>
          </w:tcPr>
          <w:p w14:paraId="66B10653" w14:textId="67171F43" w:rsidR="000F1CC1" w:rsidRPr="00A12EA1" w:rsidRDefault="000F1CC1" w:rsidP="000F1CC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2EA1">
              <w:rPr>
                <w:rFonts w:ascii="Arial" w:hAnsi="Arial" w:cs="Arial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6796" w:type="dxa"/>
            <w:gridSpan w:val="4"/>
          </w:tcPr>
          <w:p w14:paraId="10621708" w14:textId="00FBE1C9" w:rsidR="000F1CC1" w:rsidRPr="00A12EA1" w:rsidRDefault="005E4BD5" w:rsidP="000F1CC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A12EA1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Pr="00A12EA1">
              <w:rPr>
                <w:rFonts w:ascii="Arial" w:hAnsi="Arial" w:cs="Arial"/>
                <w:b/>
                <w:bCs/>
                <w:sz w:val="24"/>
                <w:szCs w:val="24"/>
              </w:rPr>
              <w:t>arameters</w:t>
            </w:r>
            <w:proofErr w:type="spellEnd"/>
          </w:p>
        </w:tc>
      </w:tr>
      <w:tr w:rsidR="000F1CC1" w:rsidRPr="00A12EA1" w14:paraId="5FDA6C06" w14:textId="77777777" w:rsidTr="00D643B4">
        <w:trPr>
          <w:jc w:val="center"/>
        </w:trPr>
        <w:tc>
          <w:tcPr>
            <w:tcW w:w="1698" w:type="dxa"/>
            <w:vMerge/>
          </w:tcPr>
          <w:p w14:paraId="72B52277" w14:textId="77777777" w:rsidR="000F1CC1" w:rsidRPr="00A12EA1" w:rsidRDefault="000F1CC1" w:rsidP="000F1C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3871727B" w14:textId="77777777" w:rsidR="000F1CC1" w:rsidRPr="00A12EA1" w:rsidRDefault="000F1CC1" w:rsidP="00D46D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A12EA1">
              <w:rPr>
                <w:rFonts w:ascii="Arial" w:hAnsi="Arial" w:cs="Arial"/>
                <w:b/>
                <w:bCs/>
                <w:sz w:val="24"/>
                <w:szCs w:val="24"/>
              </w:rPr>
              <w:t>Biomass</w:t>
            </w:r>
            <w:proofErr w:type="spellEnd"/>
          </w:p>
          <w:p w14:paraId="29F82B50" w14:textId="22A561B2" w:rsidR="000F1CC1" w:rsidRPr="00A12EA1" w:rsidRDefault="000F1CC1" w:rsidP="00D46D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2EA1">
              <w:rPr>
                <w:rFonts w:ascii="Arial" w:hAnsi="Arial" w:cs="Arial"/>
                <w:b/>
                <w:bCs/>
                <w:sz w:val="24"/>
                <w:szCs w:val="24"/>
              </w:rPr>
              <w:t>(g/L)</w:t>
            </w:r>
          </w:p>
        </w:tc>
        <w:tc>
          <w:tcPr>
            <w:tcW w:w="1699" w:type="dxa"/>
          </w:tcPr>
          <w:p w14:paraId="30A26E1C" w14:textId="56D371DF" w:rsidR="000F1CC1" w:rsidRPr="00A12EA1" w:rsidRDefault="000F1CC1" w:rsidP="00D46D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2E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12EA1">
              <w:rPr>
                <w:rFonts w:ascii="Arial" w:hAnsi="Arial" w:cs="Arial"/>
                <w:b/>
                <w:bCs/>
                <w:sz w:val="24"/>
                <w:szCs w:val="24"/>
              </w:rPr>
              <w:t>Carotenoids</w:t>
            </w:r>
            <w:proofErr w:type="spellEnd"/>
            <w:r w:rsidR="00D643B4" w:rsidRPr="00A12E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(µg/L)</w:t>
            </w:r>
          </w:p>
        </w:tc>
        <w:tc>
          <w:tcPr>
            <w:tcW w:w="1699" w:type="dxa"/>
          </w:tcPr>
          <w:p w14:paraId="6F623FE8" w14:textId="77777777" w:rsidR="000F1CC1" w:rsidRPr="00A12EA1" w:rsidRDefault="000F1CC1" w:rsidP="00D46D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A12EA1">
              <w:rPr>
                <w:rFonts w:ascii="Arial" w:hAnsi="Arial" w:cs="Arial"/>
                <w:b/>
                <w:bCs/>
                <w:sz w:val="24"/>
                <w:szCs w:val="24"/>
              </w:rPr>
              <w:t>Specific</w:t>
            </w:r>
            <w:proofErr w:type="spellEnd"/>
            <w:r w:rsidRPr="00A12E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12EA1">
              <w:rPr>
                <w:rFonts w:ascii="Arial" w:hAnsi="Arial" w:cs="Arial"/>
                <w:b/>
                <w:bCs/>
                <w:sz w:val="24"/>
                <w:szCs w:val="24"/>
              </w:rPr>
              <w:t>Carotenoids</w:t>
            </w:r>
            <w:proofErr w:type="spellEnd"/>
          </w:p>
          <w:p w14:paraId="6266FE0A" w14:textId="37B7BD0A" w:rsidR="00D643B4" w:rsidRPr="00A12EA1" w:rsidRDefault="00D643B4" w:rsidP="00D46D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2EA1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r w:rsidRPr="00A12EA1">
              <w:rPr>
                <w:rFonts w:ascii="Arial" w:hAnsi="Arial" w:cs="Arial"/>
                <w:b/>
                <w:bCs/>
                <w:sz w:val="24"/>
                <w:szCs w:val="24"/>
              </w:rPr>
              <w:t>µ</w:t>
            </w:r>
            <w:r w:rsidRPr="00A12EA1">
              <w:rPr>
                <w:rFonts w:ascii="Arial" w:hAnsi="Arial" w:cs="Arial"/>
                <w:b/>
                <w:bCs/>
                <w:sz w:val="24"/>
                <w:szCs w:val="24"/>
              </w:rPr>
              <w:t>g/g)</w:t>
            </w:r>
          </w:p>
        </w:tc>
        <w:tc>
          <w:tcPr>
            <w:tcW w:w="1699" w:type="dxa"/>
            <w:vAlign w:val="center"/>
          </w:tcPr>
          <w:p w14:paraId="242CA59E" w14:textId="2B1F87AD" w:rsidR="000F1CC1" w:rsidRPr="00A12EA1" w:rsidRDefault="000F1CC1" w:rsidP="00D46D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2EA1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="005E4BD5" w:rsidRPr="00A12EA1">
              <w:rPr>
                <w:rFonts w:ascii="Arial" w:hAnsi="Arial" w:cs="Arial"/>
                <w:b/>
                <w:bCs/>
                <w:sz w:val="24"/>
                <w:szCs w:val="24"/>
              </w:rPr>
              <w:t>PF</w:t>
            </w:r>
          </w:p>
        </w:tc>
      </w:tr>
      <w:tr w:rsidR="000F1CC1" w:rsidRPr="00A12EA1" w14:paraId="3F54FD1A" w14:textId="77777777" w:rsidTr="00D46DD8">
        <w:trPr>
          <w:jc w:val="center"/>
        </w:trPr>
        <w:tc>
          <w:tcPr>
            <w:tcW w:w="1698" w:type="dxa"/>
          </w:tcPr>
          <w:p w14:paraId="596F02E9" w14:textId="00ED37E6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0h</w:t>
            </w:r>
          </w:p>
        </w:tc>
        <w:tc>
          <w:tcPr>
            <w:tcW w:w="1699" w:type="dxa"/>
          </w:tcPr>
          <w:p w14:paraId="12CF9198" w14:textId="64F0FB0A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3,672</w:t>
            </w:r>
          </w:p>
        </w:tc>
        <w:tc>
          <w:tcPr>
            <w:tcW w:w="1699" w:type="dxa"/>
          </w:tcPr>
          <w:p w14:paraId="40112BBE" w14:textId="2747F513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14.580,00</w:t>
            </w:r>
          </w:p>
        </w:tc>
        <w:tc>
          <w:tcPr>
            <w:tcW w:w="1699" w:type="dxa"/>
          </w:tcPr>
          <w:p w14:paraId="6DC7E25A" w14:textId="32EAC414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1.191,18</w:t>
            </w:r>
          </w:p>
        </w:tc>
        <w:tc>
          <w:tcPr>
            <w:tcW w:w="1699" w:type="dxa"/>
          </w:tcPr>
          <w:p w14:paraId="284377BB" w14:textId="31F97FF0" w:rsidR="000F1CC1" w:rsidRPr="00A12EA1" w:rsidRDefault="005E4BD5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40,06</w:t>
            </w:r>
          </w:p>
        </w:tc>
      </w:tr>
      <w:tr w:rsidR="000F1CC1" w:rsidRPr="00A12EA1" w14:paraId="4DA8486A" w14:textId="77777777" w:rsidTr="00D46DD8">
        <w:trPr>
          <w:jc w:val="center"/>
        </w:trPr>
        <w:tc>
          <w:tcPr>
            <w:tcW w:w="1698" w:type="dxa"/>
          </w:tcPr>
          <w:p w14:paraId="3A7EA2D1" w14:textId="62488EAC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24h</w:t>
            </w:r>
          </w:p>
        </w:tc>
        <w:tc>
          <w:tcPr>
            <w:tcW w:w="1699" w:type="dxa"/>
          </w:tcPr>
          <w:p w14:paraId="2738F3A2" w14:textId="776EF25B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2,962</w:t>
            </w:r>
          </w:p>
        </w:tc>
        <w:tc>
          <w:tcPr>
            <w:tcW w:w="1699" w:type="dxa"/>
          </w:tcPr>
          <w:p w14:paraId="4EE7612C" w14:textId="1260FEB2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13.146,01</w:t>
            </w:r>
          </w:p>
        </w:tc>
        <w:tc>
          <w:tcPr>
            <w:tcW w:w="1699" w:type="dxa"/>
          </w:tcPr>
          <w:p w14:paraId="1D87AE3A" w14:textId="305E2588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1.796,58</w:t>
            </w:r>
          </w:p>
        </w:tc>
        <w:tc>
          <w:tcPr>
            <w:tcW w:w="1699" w:type="dxa"/>
          </w:tcPr>
          <w:p w14:paraId="7933A75B" w14:textId="43D0EC42" w:rsidR="000F1CC1" w:rsidRPr="00A12EA1" w:rsidRDefault="005E4BD5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29,89</w:t>
            </w:r>
          </w:p>
        </w:tc>
      </w:tr>
      <w:tr w:rsidR="000F1CC1" w:rsidRPr="00A12EA1" w14:paraId="55BBD3B9" w14:textId="77777777" w:rsidTr="00D46DD8">
        <w:trPr>
          <w:jc w:val="center"/>
        </w:trPr>
        <w:tc>
          <w:tcPr>
            <w:tcW w:w="1698" w:type="dxa"/>
          </w:tcPr>
          <w:p w14:paraId="4BEEFC2C" w14:textId="023300C4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48h</w:t>
            </w:r>
          </w:p>
        </w:tc>
        <w:tc>
          <w:tcPr>
            <w:tcW w:w="1699" w:type="dxa"/>
          </w:tcPr>
          <w:p w14:paraId="2A4D12E1" w14:textId="24D39155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2,744</w:t>
            </w:r>
          </w:p>
        </w:tc>
        <w:tc>
          <w:tcPr>
            <w:tcW w:w="1699" w:type="dxa"/>
          </w:tcPr>
          <w:p w14:paraId="69DA14FB" w14:textId="0F4D6074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14.576,00</w:t>
            </w:r>
          </w:p>
        </w:tc>
        <w:tc>
          <w:tcPr>
            <w:tcW w:w="1699" w:type="dxa"/>
          </w:tcPr>
          <w:p w14:paraId="6E63D9D1" w14:textId="34EE6AA3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1.593,59</w:t>
            </w:r>
          </w:p>
        </w:tc>
        <w:tc>
          <w:tcPr>
            <w:tcW w:w="1699" w:type="dxa"/>
          </w:tcPr>
          <w:p w14:paraId="07A811B4" w14:textId="6813221D" w:rsidR="000F1CC1" w:rsidRPr="00A12EA1" w:rsidRDefault="005E4BD5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41,47</w:t>
            </w:r>
          </w:p>
        </w:tc>
      </w:tr>
      <w:tr w:rsidR="000F1CC1" w:rsidRPr="00A12EA1" w14:paraId="57E02242" w14:textId="77777777" w:rsidTr="00D46DD8">
        <w:trPr>
          <w:jc w:val="center"/>
        </w:trPr>
        <w:tc>
          <w:tcPr>
            <w:tcW w:w="1698" w:type="dxa"/>
          </w:tcPr>
          <w:p w14:paraId="21B635ED" w14:textId="45832408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72h</w:t>
            </w:r>
          </w:p>
        </w:tc>
        <w:tc>
          <w:tcPr>
            <w:tcW w:w="1699" w:type="dxa"/>
          </w:tcPr>
          <w:p w14:paraId="663F9724" w14:textId="3DFB9B82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2,789</w:t>
            </w:r>
          </w:p>
        </w:tc>
        <w:tc>
          <w:tcPr>
            <w:tcW w:w="1699" w:type="dxa"/>
          </w:tcPr>
          <w:p w14:paraId="30963C4F" w14:textId="1B9D58EE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14.636,01</w:t>
            </w:r>
          </w:p>
        </w:tc>
        <w:tc>
          <w:tcPr>
            <w:tcW w:w="1699" w:type="dxa"/>
          </w:tcPr>
          <w:p w14:paraId="0E9482B0" w14:textId="186F7839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1.574,58</w:t>
            </w:r>
          </w:p>
        </w:tc>
        <w:tc>
          <w:tcPr>
            <w:tcW w:w="1699" w:type="dxa"/>
          </w:tcPr>
          <w:p w14:paraId="72664132" w14:textId="1C1704F1" w:rsidR="000F1CC1" w:rsidRPr="00A12EA1" w:rsidRDefault="005E4BD5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42,32</w:t>
            </w:r>
          </w:p>
        </w:tc>
      </w:tr>
      <w:tr w:rsidR="000F1CC1" w:rsidRPr="00A12EA1" w14:paraId="256A15DF" w14:textId="77777777" w:rsidTr="00D46DD8">
        <w:trPr>
          <w:jc w:val="center"/>
        </w:trPr>
        <w:tc>
          <w:tcPr>
            <w:tcW w:w="1698" w:type="dxa"/>
          </w:tcPr>
          <w:p w14:paraId="36B8FB69" w14:textId="0B01011C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96h</w:t>
            </w:r>
          </w:p>
        </w:tc>
        <w:tc>
          <w:tcPr>
            <w:tcW w:w="1699" w:type="dxa"/>
          </w:tcPr>
          <w:p w14:paraId="7191C369" w14:textId="5639DB72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2,855</w:t>
            </w:r>
          </w:p>
        </w:tc>
        <w:tc>
          <w:tcPr>
            <w:tcW w:w="1699" w:type="dxa"/>
          </w:tcPr>
          <w:p w14:paraId="000282F1" w14:textId="641BEC7B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14.633,99</w:t>
            </w:r>
          </w:p>
        </w:tc>
        <w:tc>
          <w:tcPr>
            <w:tcW w:w="1699" w:type="dxa"/>
          </w:tcPr>
          <w:p w14:paraId="7B660B53" w14:textId="7F36752E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1.537,72</w:t>
            </w:r>
          </w:p>
        </w:tc>
        <w:tc>
          <w:tcPr>
            <w:tcW w:w="1699" w:type="dxa"/>
          </w:tcPr>
          <w:p w14:paraId="14CD5CB4" w14:textId="23D309BC" w:rsidR="000F1CC1" w:rsidRPr="00A12EA1" w:rsidRDefault="005E4BD5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45,38</w:t>
            </w:r>
          </w:p>
        </w:tc>
      </w:tr>
      <w:tr w:rsidR="000F1CC1" w:rsidRPr="00A12EA1" w14:paraId="7A38167C" w14:textId="77777777" w:rsidTr="00D46DD8">
        <w:trPr>
          <w:jc w:val="center"/>
        </w:trPr>
        <w:tc>
          <w:tcPr>
            <w:tcW w:w="1698" w:type="dxa"/>
          </w:tcPr>
          <w:p w14:paraId="22C81FF4" w14:textId="5A26E490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120h</w:t>
            </w:r>
          </w:p>
        </w:tc>
        <w:tc>
          <w:tcPr>
            <w:tcW w:w="1699" w:type="dxa"/>
          </w:tcPr>
          <w:p w14:paraId="727E8C0F" w14:textId="4F3638CF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3,023</w:t>
            </w:r>
          </w:p>
        </w:tc>
        <w:tc>
          <w:tcPr>
            <w:tcW w:w="1699" w:type="dxa"/>
          </w:tcPr>
          <w:p w14:paraId="7BD01308" w14:textId="7E6E0F7B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14.471,95</w:t>
            </w:r>
          </w:p>
        </w:tc>
        <w:tc>
          <w:tcPr>
            <w:tcW w:w="1699" w:type="dxa"/>
          </w:tcPr>
          <w:p w14:paraId="78771636" w14:textId="02F6FC30" w:rsidR="000F1CC1" w:rsidRPr="00A12EA1" w:rsidRDefault="000F1CC1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1.436,61</w:t>
            </w:r>
          </w:p>
        </w:tc>
        <w:tc>
          <w:tcPr>
            <w:tcW w:w="1699" w:type="dxa"/>
          </w:tcPr>
          <w:p w14:paraId="0B9BFCA6" w14:textId="1A6F815D" w:rsidR="000F1CC1" w:rsidRPr="00A12EA1" w:rsidRDefault="005E4BD5" w:rsidP="005E4B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2EA1">
              <w:rPr>
                <w:rFonts w:ascii="Arial" w:hAnsi="Arial" w:cs="Arial"/>
                <w:sz w:val="24"/>
                <w:szCs w:val="24"/>
              </w:rPr>
              <w:t>49,31</w:t>
            </w:r>
          </w:p>
        </w:tc>
      </w:tr>
    </w:tbl>
    <w:p w14:paraId="169692FB" w14:textId="77777777" w:rsidR="00A12EA1" w:rsidRPr="00A12EA1" w:rsidRDefault="00A12EA1" w:rsidP="00A12EA1">
      <w:pPr>
        <w:jc w:val="center"/>
        <w:rPr>
          <w:rFonts w:ascii="Arial" w:hAnsi="Arial" w:cs="Arial"/>
          <w:sz w:val="24"/>
          <w:szCs w:val="24"/>
        </w:rPr>
      </w:pPr>
    </w:p>
    <w:p w14:paraId="2A9615F0" w14:textId="69F92894" w:rsidR="000F1CC1" w:rsidRPr="00A12EA1" w:rsidRDefault="00A12EA1" w:rsidP="00A12EA1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A12EA1">
        <w:rPr>
          <w:rFonts w:ascii="Arial" w:hAnsi="Arial" w:cs="Arial"/>
          <w:sz w:val="24"/>
          <w:szCs w:val="24"/>
        </w:rPr>
        <w:t>Source</w:t>
      </w:r>
      <w:proofErr w:type="spellEnd"/>
      <w:r w:rsidRPr="00A12EA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A12EA1">
        <w:rPr>
          <w:rFonts w:ascii="Arial" w:hAnsi="Arial" w:cs="Arial"/>
          <w:sz w:val="24"/>
          <w:szCs w:val="24"/>
        </w:rPr>
        <w:t>the</w:t>
      </w:r>
      <w:proofErr w:type="spellEnd"/>
      <w:r w:rsidRPr="00A12E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12EA1">
        <w:rPr>
          <w:rFonts w:ascii="Arial" w:hAnsi="Arial" w:cs="Arial"/>
          <w:sz w:val="24"/>
          <w:szCs w:val="24"/>
        </w:rPr>
        <w:t>authors</w:t>
      </w:r>
      <w:proofErr w:type="spellEnd"/>
      <w:r w:rsidRPr="00A12EA1">
        <w:rPr>
          <w:rFonts w:ascii="Arial" w:hAnsi="Arial" w:cs="Arial"/>
          <w:sz w:val="24"/>
          <w:szCs w:val="24"/>
        </w:rPr>
        <w:t xml:space="preserve"> (2025)</w:t>
      </w:r>
    </w:p>
    <w:p w14:paraId="1CB229E5" w14:textId="77777777" w:rsidR="000F1CC1" w:rsidRDefault="000F1CC1">
      <w:pPr>
        <w:rPr>
          <w:b/>
          <w:noProof/>
          <w:sz w:val="20"/>
        </w:rPr>
      </w:pPr>
    </w:p>
    <w:p w14:paraId="5AAC8BBA" w14:textId="1AF70C71" w:rsidR="00092669" w:rsidRDefault="00092669"/>
    <w:sectPr w:rsidR="000926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C1"/>
    <w:rsid w:val="000149DE"/>
    <w:rsid w:val="00092669"/>
    <w:rsid w:val="000F1CC1"/>
    <w:rsid w:val="000F6CB6"/>
    <w:rsid w:val="001105E4"/>
    <w:rsid w:val="001A76A0"/>
    <w:rsid w:val="005E4BD5"/>
    <w:rsid w:val="006B1364"/>
    <w:rsid w:val="007B50EF"/>
    <w:rsid w:val="00817D9A"/>
    <w:rsid w:val="00891EAB"/>
    <w:rsid w:val="00894B10"/>
    <w:rsid w:val="0094534E"/>
    <w:rsid w:val="00A12EA1"/>
    <w:rsid w:val="00C10775"/>
    <w:rsid w:val="00D46DD8"/>
    <w:rsid w:val="00D643B4"/>
    <w:rsid w:val="00D8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7EA5B"/>
  <w15:chartTrackingRefBased/>
  <w15:docId w15:val="{28A6844F-B563-44AF-8594-57F6CC1F8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F1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F1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F1C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F1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F1C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F1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F1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F1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F1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dicedeilustraes">
    <w:name w:val="table of figures"/>
    <w:basedOn w:val="Normal"/>
    <w:next w:val="Normal"/>
    <w:uiPriority w:val="99"/>
    <w:unhideWhenUsed/>
    <w:rsid w:val="000149DE"/>
    <w:pPr>
      <w:framePr w:wrap="around" w:vAnchor="text" w:hAnchor="text" w:xAlign="center" w:y="1"/>
      <w:spacing w:after="0" w:line="360" w:lineRule="auto"/>
      <w:jc w:val="both"/>
    </w:pPr>
    <w:rPr>
      <w:rFonts w:ascii="Arial" w:eastAsia="Calibri" w:hAnsi="Arial" w:cs="Calibri"/>
      <w:color w:val="000000" w:themeColor="text1"/>
      <w:kern w:val="0"/>
      <w:sz w:val="24"/>
      <w:lang w:eastAsia="pt-BR"/>
      <w14:ligatures w14:val="none"/>
    </w:rPr>
  </w:style>
  <w:style w:type="paragraph" w:customStyle="1" w:styleId="Table">
    <w:name w:val="Table"/>
    <w:basedOn w:val="Normal"/>
    <w:link w:val="TableChar"/>
    <w:qFormat/>
    <w:rsid w:val="00D84AC8"/>
    <w:pPr>
      <w:spacing w:after="120" w:line="36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ableChar">
    <w:name w:val="Table Char"/>
    <w:basedOn w:val="Fontepargpadro"/>
    <w:link w:val="Table"/>
    <w:rsid w:val="00D84AC8"/>
    <w:rPr>
      <w:rFonts w:ascii="Times New Roman" w:eastAsia="Times New Roman" w:hAnsi="Times New Roman" w:cs="Times New Roman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84AC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Tabela1-Nveisdevariveisindependentesusadosemensaiosdeplanejamentofatorial">
    <w:name w:val="Tabela 1 - Níveis de variáveis independentes usados em ensaios de planejamento fatorial"/>
    <w:basedOn w:val="Legenda"/>
    <w:link w:val="Tabela1-NveisdevariveisindependentesusadosemensaiosdeplanejamentofatorialChar"/>
    <w:qFormat/>
    <w:rsid w:val="006B1364"/>
    <w:pPr>
      <w:keepNext/>
      <w:jc w:val="center"/>
    </w:pPr>
    <w:rPr>
      <w:rFonts w:ascii="Arial" w:hAnsi="Arial"/>
      <w:i w:val="0"/>
      <w:color w:val="000000" w:themeColor="text1"/>
      <w:sz w:val="20"/>
    </w:rPr>
  </w:style>
  <w:style w:type="character" w:customStyle="1" w:styleId="Tabela1-NveisdevariveisindependentesusadosemensaiosdeplanejamentofatorialChar">
    <w:name w:val="Tabela 1 - Níveis de variáveis independentes usados em ensaios de planejamento fatorial Char"/>
    <w:basedOn w:val="Fontepargpadro"/>
    <w:link w:val="Tabela1-Nveisdevariveisindependentesusadosemensaiosdeplanejamentofatorial"/>
    <w:rsid w:val="006B1364"/>
    <w:rPr>
      <w:rFonts w:ascii="Arial" w:hAnsi="Arial"/>
      <w:iCs/>
      <w:color w:val="000000" w:themeColor="text1"/>
      <w:sz w:val="20"/>
      <w:szCs w:val="18"/>
    </w:rPr>
  </w:style>
  <w:style w:type="paragraph" w:customStyle="1" w:styleId="Figura1-DiagramasdeParetoobtidosapartirdosresultadosdoplanejamentofatorial2aplicadoparainvestigaraproduodebiomassaA">
    <w:name w:val="Figura 1 - Diagramas de Pareto obtidos a partir dos resultados do planejamento fatorial 2² aplicado para investigar a produção de biomassa (A)"/>
    <w:aliases w:val="carotenoides totais (B),carotenoides específicos (C) e o fator de proteção solar (FPS) (D) por K. palustris."/>
    <w:basedOn w:val="Legenda"/>
    <w:link w:val="Figura1-DiagramasdeParetoobtidosapartirdosresultadosdoplanejamentofatorial2aplicadoparainvestigaraproduodebiomassaAChar"/>
    <w:qFormat/>
    <w:rsid w:val="006B1364"/>
    <w:pPr>
      <w:keepNext/>
      <w:jc w:val="center"/>
    </w:pPr>
    <w:rPr>
      <w:rFonts w:ascii="Arial" w:hAnsi="Arial"/>
      <w:i w:val="0"/>
      <w:color w:val="000000" w:themeColor="text1"/>
      <w:sz w:val="20"/>
    </w:rPr>
  </w:style>
  <w:style w:type="character" w:customStyle="1" w:styleId="Figura1-DiagramasdeParetoobtidosapartirdosresultadosdoplanejamentofatorial2aplicadoparainvestigaraproduodebiomassaAChar">
    <w:name w:val="Figura 1 - Diagramas de Pareto obtidos a partir dos resultados do planejamento fatorial 2² aplicado para investigar a produção de biomassa (A) Char"/>
    <w:aliases w:val="carotenoides totais (B) Char"/>
    <w:basedOn w:val="Fontepargpadro"/>
    <w:link w:val="Figura1-DiagramasdeParetoobtidosapartirdosresultadosdoplanejamentofatorial2aplicadoparainvestigaraproduodebiomassaA"/>
    <w:rsid w:val="006B1364"/>
    <w:rPr>
      <w:rFonts w:ascii="Arial" w:hAnsi="Arial"/>
      <w:iCs/>
      <w:color w:val="000000" w:themeColor="text1"/>
      <w:sz w:val="20"/>
      <w:szCs w:val="18"/>
    </w:rPr>
  </w:style>
  <w:style w:type="paragraph" w:customStyle="1" w:styleId="Estilo2">
    <w:name w:val="Estilo2"/>
    <w:basedOn w:val="Normal"/>
    <w:link w:val="Estilo2Char"/>
    <w:qFormat/>
    <w:rsid w:val="006B1364"/>
    <w:pPr>
      <w:spacing w:after="0" w:line="360" w:lineRule="auto"/>
    </w:pPr>
    <w:rPr>
      <w:rFonts w:ascii="Arial" w:eastAsia="Arial" w:hAnsi="Arial" w:cs="Arial"/>
      <w:sz w:val="24"/>
      <w:szCs w:val="24"/>
    </w:rPr>
  </w:style>
  <w:style w:type="character" w:customStyle="1" w:styleId="Estilo2Char">
    <w:name w:val="Estilo2 Char"/>
    <w:basedOn w:val="Fontepargpadro"/>
    <w:link w:val="Estilo2"/>
    <w:rsid w:val="006B1364"/>
    <w:rPr>
      <w:rFonts w:ascii="Arial" w:eastAsia="Arial" w:hAnsi="Arial" w:cs="Arial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0F1C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F1C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F1C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F1C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F1CC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F1C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F1CC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F1C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F1C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F1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F1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F1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F1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F1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F1CC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F1CC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F1CC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F1C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F1CC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F1CC1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0F1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</Words>
  <Characters>384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Xavier lobo</dc:creator>
  <cp:keywords/>
  <dc:description/>
  <cp:lastModifiedBy>fabio Xavier lobo</cp:lastModifiedBy>
  <cp:revision>5</cp:revision>
  <dcterms:created xsi:type="dcterms:W3CDTF">2026-10-15T09:12:00Z</dcterms:created>
  <dcterms:modified xsi:type="dcterms:W3CDTF">2026-10-15T09:26:00Z</dcterms:modified>
</cp:coreProperties>
</file>