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FC4F" w14:textId="77777777" w:rsidR="00E97959" w:rsidRDefault="00000000">
      <w:pPr>
        <w:rPr>
          <w:rFonts w:hint="eastAsia"/>
        </w:rPr>
      </w:pPr>
      <w:r>
        <w:rPr>
          <w:b/>
          <w:color w:val="D4A04A"/>
          <w:sz w:val="32"/>
        </w:rPr>
        <w:t>Supplementary Appendix</w:t>
      </w:r>
    </w:p>
    <w:p w14:paraId="564B4500" w14:textId="77777777" w:rsidR="00E17AEF" w:rsidRPr="003A3EF8" w:rsidRDefault="00E17AEF" w:rsidP="00E17AEF">
      <w:pPr>
        <w:pStyle w:val="Heading2"/>
        <w:spacing w:before="0" w:line="480" w:lineRule="auto"/>
        <w:jc w:val="both"/>
        <w:rPr>
          <w:rFonts w:ascii="Times New Roman" w:eastAsia="Google Sans" w:hAnsi="Times New Roman" w:cs="Times New Roman"/>
          <w:color w:val="1F1F1F"/>
          <w:sz w:val="22"/>
          <w:szCs w:val="22"/>
        </w:rPr>
      </w:pPr>
      <w:bookmarkStart w:id="0" w:name="_Hlk242800186"/>
      <w:r w:rsidRPr="003A3EF8">
        <w:rPr>
          <w:rFonts w:ascii="Times New Roman" w:eastAsia="Google Sans" w:hAnsi="Times New Roman" w:cs="Times New Roman"/>
          <w:color w:val="1F1F1F"/>
          <w:sz w:val="22"/>
          <w:szCs w:val="22"/>
        </w:rPr>
        <w:t xml:space="preserve">Carrier Burden and Birth Prevalence of Recessive Inborn Errors of Metabolism in South Asians: A gnomAD and </w:t>
      </w:r>
      <w:proofErr w:type="spellStart"/>
      <w:r w:rsidRPr="003A3EF8">
        <w:rPr>
          <w:rFonts w:ascii="Times New Roman" w:eastAsia="Google Sans" w:hAnsi="Times New Roman" w:cs="Times New Roman"/>
          <w:color w:val="1F1F1F"/>
          <w:sz w:val="22"/>
          <w:szCs w:val="22"/>
        </w:rPr>
        <w:t>GenomeIndia</w:t>
      </w:r>
      <w:proofErr w:type="spellEnd"/>
      <w:r w:rsidRPr="003A3EF8">
        <w:rPr>
          <w:rFonts w:ascii="Times New Roman" w:eastAsia="Google Sans" w:hAnsi="Times New Roman" w:cs="Times New Roman"/>
          <w:color w:val="1F1F1F"/>
          <w:sz w:val="22"/>
          <w:szCs w:val="22"/>
        </w:rPr>
        <w:t xml:space="preserve"> Study</w:t>
      </w:r>
    </w:p>
    <w:bookmarkEnd w:id="0"/>
    <w:p w14:paraId="063F67DB" w14:textId="77777777" w:rsidR="00E97959" w:rsidRDefault="00000000">
      <w:pPr>
        <w:rPr>
          <w:rFonts w:hint="eastAsia"/>
        </w:rPr>
      </w:pPr>
      <w:r>
        <w:t>This appendix contains Supplementary Figures S1–S6 and Supplementary Tables S1–S3 referenced in the main text of the revised manuscript (v2.2).</w:t>
      </w:r>
    </w:p>
    <w:p w14:paraId="497FF4D4" w14:textId="77777777" w:rsidR="00E97959" w:rsidRDefault="00000000">
      <w:pPr>
        <w:spacing w:before="2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514C139" wp14:editId="584555B6">
            <wp:extent cx="5486400" cy="3174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52AA" w14:textId="77777777" w:rsidR="00E97959" w:rsidRDefault="00000000">
      <w:pPr>
        <w:rPr>
          <w:rFonts w:hint="eastAsia"/>
        </w:rPr>
      </w:pPr>
      <w:r>
        <w:rPr>
          <w:b/>
          <w:color w:val="1A1A1A"/>
          <w:sz w:val="18"/>
        </w:rPr>
        <w:t>Supplementary Figure S1.</w:t>
      </w:r>
      <w:r>
        <w:rPr>
          <w:color w:val="1A1A1A"/>
          <w:sz w:val="18"/>
        </w:rPr>
        <w:t xml:space="preserve"> Predicted AR-IEM birth prevalence across mating models: ClinVar-curated lower bound vs. broad predicted panel. Comparison of predicted prevalence (per 100,000, log scale) between the conservative ClinVar-only set (blue) and the primary broad panel (orange) from HW to F = 0.0625.</w:t>
      </w:r>
    </w:p>
    <w:p w14:paraId="54D021F1" w14:textId="77777777" w:rsidR="00E97959" w:rsidRDefault="00000000">
      <w:pPr>
        <w:spacing w:before="2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6F6152F" wp14:editId="5997A5C2">
            <wp:extent cx="5486400" cy="24618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300C1" w14:textId="77777777" w:rsidR="00E97959" w:rsidRDefault="00000000">
      <w:pPr>
        <w:rPr>
          <w:rFonts w:hint="eastAsia"/>
        </w:rPr>
      </w:pPr>
      <w:r>
        <w:lastRenderedPageBreak/>
        <w:t>Supplementary Figure S2. Pathogenic allele load (q) for top 25 South Asian genes across global ancestries. Log-scale heatmap of pathogenic allele load q (per 1,000 alleles) for the top 25 genes ranked by South Asian load across eight gnomAD populations (SAS outlined). Top 25 most cross-ancestry-variable AR-IEM genes. Heatmap of pathogenic allele load q for the 25 panel loci showing the greatest variance across global ancestries. (MMUT [labeled MUT] is among the top-ranking South Asian AR-IEM loci).</w:t>
      </w:r>
    </w:p>
    <w:p w14:paraId="2130BCAA" w14:textId="77777777" w:rsidR="00E97959" w:rsidRDefault="00000000">
      <w:pPr>
        <w:spacing w:before="2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9BEDCB8" wp14:editId="1A263F23">
            <wp:extent cx="5486400" cy="23527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28359" w14:textId="77777777" w:rsidR="00E97959" w:rsidRDefault="00000000">
      <w:pPr>
        <w:rPr>
          <w:rFonts w:hint="eastAsia"/>
        </w:rPr>
      </w:pPr>
      <w:r>
        <w:rPr>
          <w:b/>
          <w:color w:val="1A1A1A"/>
          <w:sz w:val="18"/>
        </w:rPr>
        <w:t>Supplementary Figure S3.</w:t>
      </w:r>
      <w:r>
        <w:rPr>
          <w:color w:val="1A1A1A"/>
          <w:sz w:val="18"/>
        </w:rPr>
        <w:t xml:space="preserve"> Variant-type composition and rare-allele detection gap. Left: Proportion of curated ClinVar pathogenic alleles detectable by short-read SNV/indel exome sequencing (63%) versus invisible structural/CNV variants (37%). Right: Distribution of per-gene SNV/indel capture rates into gnomAD SAS (median capture = 0.14).</w:t>
      </w:r>
    </w:p>
    <w:p w14:paraId="7235D302" w14:textId="77777777" w:rsidR="00E97959" w:rsidRDefault="00000000">
      <w:pPr>
        <w:spacing w:before="240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850CF59" wp14:editId="5F2F548F">
            <wp:extent cx="5486400" cy="38349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CE03A" w14:textId="77777777" w:rsidR="00E97959" w:rsidRDefault="00000000">
      <w:pPr>
        <w:rPr>
          <w:rFonts w:hint="eastAsia"/>
        </w:rPr>
      </w:pPr>
      <w:r>
        <w:rPr>
          <w:b/>
          <w:color w:val="1A1A1A"/>
          <w:sz w:val="18"/>
        </w:rPr>
        <w:t>Supplementary Figure S4.</w:t>
      </w:r>
      <w:r>
        <w:rPr>
          <w:color w:val="1A1A1A"/>
          <w:sz w:val="18"/>
        </w:rPr>
        <w:t xml:space="preserve"> Sequencing-priority map with per-gene cost and feasibility. Panel genes plotted by predicted birth prevalence (y-axis) against discovery gap (x-axis). Marker shapes represent sequencing feasibility tiers (circle = standard capture, square = CNV-aware, triangle = long-read/specialized); top-30 feasibility-adjusted target loci highlighted.</w:t>
      </w:r>
    </w:p>
    <w:p w14:paraId="3B62C525" w14:textId="77777777" w:rsidR="008B4B6B" w:rsidRDefault="00000000">
      <w:pPr>
        <w:spacing w:before="2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5CBD9E0" wp14:editId="68723DBD">
            <wp:extent cx="5486400" cy="30777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gi_vs_sas_per_typ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1FF7F" w14:textId="77777777" w:rsidR="008B4B6B" w:rsidRDefault="00000000">
      <w:pPr>
        <w:rPr>
          <w:rFonts w:hint="eastAsia"/>
        </w:rPr>
      </w:pPr>
      <w:r>
        <w:rPr>
          <w:b/>
          <w:color w:val="1A1A1A"/>
          <w:sz w:val="18"/>
        </w:rPr>
        <w:lastRenderedPageBreak/>
        <w:t>Supplementary Figure S5.</w:t>
      </w:r>
      <w:r>
        <w:rPr>
          <w:color w:val="1A1A1A"/>
          <w:sz w:val="18"/>
        </w:rPr>
        <w:t xml:space="preserve"> Independent replication in the GenomeIndia cohort: collective AR-IEM birth prevalence by variant type and combined, estimated from GenomeIndia (9,768 samples) versus gnomAD South Asian, under random mating (log scale).</w:t>
      </w:r>
    </w:p>
    <w:p w14:paraId="342389EC" w14:textId="77777777" w:rsidR="008B4B6B" w:rsidRDefault="00000000">
      <w:pPr>
        <w:spacing w:before="2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1B773ED" wp14:editId="75E6ECAA">
            <wp:extent cx="5486400" cy="509451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gi_vs_sas_per_ge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EF3F5" w14:textId="77777777" w:rsidR="008B4B6B" w:rsidRDefault="00000000">
      <w:pPr>
        <w:rPr>
          <w:rFonts w:hint="eastAsia"/>
        </w:rPr>
      </w:pPr>
      <w:r>
        <w:t>Supplementary Figure S6. Per-gene pathogenic allele load (q) in GenomeIndia versus gnomAD South Asian across the 696-gene panel (log–log). Dashed line: equality. Founder-amplified genes (XPNPEP3, RBCK1, GLDC) and other high-burden loci (MMUT [labeled MUT], MAN2B2, DPYD) are labelled. Spearman ρ = 0.83 across 608 genes with non-zero load in both cohorts.</w:t>
      </w:r>
    </w:p>
    <w:p w14:paraId="100C81EA" w14:textId="77777777" w:rsidR="00E17AEF" w:rsidRDefault="00E17AEF">
      <w:pPr>
        <w:spacing w:before="240" w:after="80"/>
        <w:rPr>
          <w:b/>
          <w:sz w:val="18"/>
        </w:rPr>
      </w:pPr>
    </w:p>
    <w:p w14:paraId="27D935A0" w14:textId="77777777" w:rsidR="00E17AEF" w:rsidRDefault="00E17AEF">
      <w:pPr>
        <w:spacing w:before="240" w:after="80"/>
        <w:rPr>
          <w:b/>
          <w:sz w:val="18"/>
        </w:rPr>
      </w:pPr>
    </w:p>
    <w:p w14:paraId="1B6B6920" w14:textId="77777777" w:rsidR="00E17AEF" w:rsidRDefault="00E17AEF">
      <w:pPr>
        <w:spacing w:before="240" w:after="80"/>
        <w:rPr>
          <w:b/>
          <w:sz w:val="18"/>
        </w:rPr>
      </w:pPr>
    </w:p>
    <w:p w14:paraId="37BB019B" w14:textId="77777777" w:rsidR="00E17AEF" w:rsidRDefault="00E17AEF">
      <w:pPr>
        <w:spacing w:before="240" w:after="80"/>
        <w:rPr>
          <w:b/>
          <w:sz w:val="18"/>
        </w:rPr>
      </w:pPr>
    </w:p>
    <w:p w14:paraId="5FDF6833" w14:textId="77777777" w:rsidR="00E17AEF" w:rsidRDefault="00E17AEF">
      <w:pPr>
        <w:spacing w:before="240" w:after="80"/>
        <w:rPr>
          <w:b/>
          <w:sz w:val="18"/>
        </w:rPr>
      </w:pPr>
    </w:p>
    <w:p w14:paraId="0591D3F3" w14:textId="1C395E32" w:rsidR="008B4B6B" w:rsidRDefault="00000000">
      <w:pPr>
        <w:spacing w:before="240" w:after="80"/>
        <w:rPr>
          <w:rFonts w:hint="eastAsia"/>
        </w:rPr>
      </w:pPr>
      <w:r>
        <w:rPr>
          <w:b/>
          <w:sz w:val="18"/>
        </w:rPr>
        <w:lastRenderedPageBreak/>
        <w:t>Supplementary Table S1.</w:t>
      </w:r>
      <w:r>
        <w:rPr>
          <w:sz w:val="18"/>
        </w:rPr>
        <w:t xml:space="preserve"> Sensitivity analyses of collective AR-IEM birth prevalence and carrier frequency across variant filtering thresholds, computational predictor combinations, and gene validity tiers in South Asians.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1551"/>
        <w:gridCol w:w="966"/>
        <w:gridCol w:w="896"/>
        <w:gridCol w:w="914"/>
        <w:gridCol w:w="896"/>
        <w:gridCol w:w="918"/>
        <w:gridCol w:w="1444"/>
      </w:tblGrid>
      <w:tr w:rsidR="008B4B6B" w14:paraId="6468BA2F" w14:textId="77777777" w:rsidTr="00E17AEF">
        <w:tc>
          <w:tcPr>
            <w:tcW w:w="1080" w:type="dxa"/>
          </w:tcPr>
          <w:p w14:paraId="467CD1D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Analysis / Filter Parameter</w:t>
            </w:r>
          </w:p>
        </w:tc>
        <w:tc>
          <w:tcPr>
            <w:tcW w:w="1080" w:type="dxa"/>
          </w:tcPr>
          <w:p w14:paraId="3D8BFB2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Variant Set / Subset</w:t>
            </w:r>
          </w:p>
        </w:tc>
        <w:tc>
          <w:tcPr>
            <w:tcW w:w="1080" w:type="dxa"/>
          </w:tcPr>
          <w:p w14:paraId="3E2EE84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Variants (n)</w:t>
            </w:r>
          </w:p>
        </w:tc>
        <w:tc>
          <w:tcPr>
            <w:tcW w:w="1080" w:type="dxa"/>
          </w:tcPr>
          <w:p w14:paraId="2891AED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Genes (n)</w:t>
            </w:r>
          </w:p>
        </w:tc>
        <w:tc>
          <w:tcPr>
            <w:tcW w:w="1080" w:type="dxa"/>
          </w:tcPr>
          <w:p w14:paraId="77EDD0D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Carrier Freq (%)</w:t>
            </w:r>
          </w:p>
        </w:tc>
        <w:tc>
          <w:tcPr>
            <w:tcW w:w="1080" w:type="dxa"/>
          </w:tcPr>
          <w:p w14:paraId="7971944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HW Birth Prev (per 100k)</w:t>
            </w:r>
          </w:p>
        </w:tc>
        <w:tc>
          <w:tcPr>
            <w:tcW w:w="1080" w:type="dxa"/>
          </w:tcPr>
          <w:p w14:paraId="15536A3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F = 0.02 Birth Prev (per 100k)</w:t>
            </w:r>
          </w:p>
        </w:tc>
        <w:tc>
          <w:tcPr>
            <w:tcW w:w="1080" w:type="dxa"/>
          </w:tcPr>
          <w:p w14:paraId="3C1DF5B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Description / Methodological Note</w:t>
            </w:r>
          </w:p>
        </w:tc>
      </w:tr>
      <w:tr w:rsidR="008B4B6B" w14:paraId="691048F3" w14:textId="77777777" w:rsidTr="00E17AEF">
        <w:tc>
          <w:tcPr>
            <w:tcW w:w="1080" w:type="dxa"/>
          </w:tcPr>
          <w:p w14:paraId="20BB803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Variant Definition Thresholds</w:t>
            </w:r>
          </w:p>
        </w:tc>
        <w:tc>
          <w:tcPr>
            <w:tcW w:w="1080" w:type="dxa"/>
          </w:tcPr>
          <w:p w14:paraId="543230A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ClinVar P/LP only (conservative lower bound)</w:t>
            </w:r>
          </w:p>
        </w:tc>
        <w:tc>
          <w:tcPr>
            <w:tcW w:w="1080" w:type="dxa"/>
          </w:tcPr>
          <w:p w14:paraId="2480F70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4,857</w:t>
            </w:r>
          </w:p>
        </w:tc>
        <w:tc>
          <w:tcPr>
            <w:tcW w:w="1080" w:type="dxa"/>
          </w:tcPr>
          <w:p w14:paraId="0292375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590</w:t>
            </w:r>
          </w:p>
        </w:tc>
        <w:tc>
          <w:tcPr>
            <w:tcW w:w="1080" w:type="dxa"/>
          </w:tcPr>
          <w:p w14:paraId="3E60DB7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40.1%</w:t>
            </w:r>
          </w:p>
        </w:tc>
        <w:tc>
          <w:tcPr>
            <w:tcW w:w="1080" w:type="dxa"/>
          </w:tcPr>
          <w:p w14:paraId="24D14C0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40.6 (1 in 2,461)</w:t>
            </w:r>
          </w:p>
        </w:tc>
        <w:tc>
          <w:tcPr>
            <w:tcW w:w="1080" w:type="dxa"/>
          </w:tcPr>
          <w:p w14:paraId="0C5EEF4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550.9 (1 in 181)</w:t>
            </w:r>
          </w:p>
        </w:tc>
        <w:tc>
          <w:tcPr>
            <w:tcW w:w="1080" w:type="dxa"/>
          </w:tcPr>
          <w:p w14:paraId="310D5F5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Restricted strictly to ClinVar-curated P/LP assertions (expert panel or clinical submission)</w:t>
            </w:r>
          </w:p>
        </w:tc>
      </w:tr>
      <w:tr w:rsidR="008B4B6B" w14:paraId="2E637B61" w14:textId="77777777" w:rsidTr="00E17AEF">
        <w:tc>
          <w:tcPr>
            <w:tcW w:w="1080" w:type="dxa"/>
          </w:tcPr>
          <w:p w14:paraId="30CB8E2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Variant Definition Thresholds</w:t>
            </w:r>
          </w:p>
        </w:tc>
        <w:tc>
          <w:tcPr>
            <w:tcW w:w="1080" w:type="dxa"/>
          </w:tcPr>
          <w:p w14:paraId="0C1891D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High-confidence LoF (LOFTEE-HC)</w:t>
            </w:r>
          </w:p>
        </w:tc>
        <w:tc>
          <w:tcPr>
            <w:tcW w:w="1080" w:type="dxa"/>
          </w:tcPr>
          <w:p w14:paraId="25A060C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6,777</w:t>
            </w:r>
          </w:p>
        </w:tc>
        <w:tc>
          <w:tcPr>
            <w:tcW w:w="1080" w:type="dxa"/>
          </w:tcPr>
          <w:p w14:paraId="14AE043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680</w:t>
            </w:r>
          </w:p>
        </w:tc>
        <w:tc>
          <w:tcPr>
            <w:tcW w:w="1080" w:type="dxa"/>
          </w:tcPr>
          <w:p w14:paraId="72E596B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37.2%</w:t>
            </w:r>
          </w:p>
        </w:tc>
        <w:tc>
          <w:tcPr>
            <w:tcW w:w="1080" w:type="dxa"/>
          </w:tcPr>
          <w:p w14:paraId="6CD3BC4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41.3 (1 in 2,419)</w:t>
            </w:r>
          </w:p>
        </w:tc>
        <w:tc>
          <w:tcPr>
            <w:tcW w:w="1080" w:type="dxa"/>
          </w:tcPr>
          <w:p w14:paraId="11EBBD4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614.6 (1 in 163)</w:t>
            </w:r>
          </w:p>
        </w:tc>
        <w:tc>
          <w:tcPr>
            <w:tcW w:w="1080" w:type="dxa"/>
          </w:tcPr>
          <w:p w14:paraId="1BC9F90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Predicted loss-of-function passing LOFTEE high-confidence filters</w:t>
            </w:r>
          </w:p>
        </w:tc>
      </w:tr>
      <w:tr w:rsidR="008B4B6B" w14:paraId="6B383286" w14:textId="77777777" w:rsidTr="00E17AEF">
        <w:tc>
          <w:tcPr>
            <w:tcW w:w="1080" w:type="dxa"/>
          </w:tcPr>
          <w:p w14:paraId="3980F90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Variant Definition Thresholds</w:t>
            </w:r>
          </w:p>
        </w:tc>
        <w:tc>
          <w:tcPr>
            <w:tcW w:w="1080" w:type="dxa"/>
          </w:tcPr>
          <w:p w14:paraId="23DF462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Predicted-damaging missense (AM ∩ REVEL)</w:t>
            </w:r>
          </w:p>
        </w:tc>
        <w:tc>
          <w:tcPr>
            <w:tcW w:w="1080" w:type="dxa"/>
          </w:tcPr>
          <w:p w14:paraId="47925B1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9,225</w:t>
            </w:r>
          </w:p>
        </w:tc>
        <w:tc>
          <w:tcPr>
            <w:tcW w:w="1080" w:type="dxa"/>
          </w:tcPr>
          <w:p w14:paraId="54BD924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637</w:t>
            </w:r>
          </w:p>
        </w:tc>
        <w:tc>
          <w:tcPr>
            <w:tcW w:w="1080" w:type="dxa"/>
          </w:tcPr>
          <w:p w14:paraId="07A11FC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49.5%</w:t>
            </w:r>
          </w:p>
        </w:tc>
        <w:tc>
          <w:tcPr>
            <w:tcW w:w="1080" w:type="dxa"/>
          </w:tcPr>
          <w:p w14:paraId="4B4D16C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62.7 (1 in 1,595)</w:t>
            </w:r>
          </w:p>
        </w:tc>
        <w:tc>
          <w:tcPr>
            <w:tcW w:w="1080" w:type="dxa"/>
          </w:tcPr>
          <w:p w14:paraId="676F589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813.0 (1 in 123)</w:t>
            </w:r>
          </w:p>
        </w:tc>
        <w:tc>
          <w:tcPr>
            <w:tcW w:w="1080" w:type="dxa"/>
          </w:tcPr>
          <w:p w14:paraId="35A738B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Conservative intersection: AlphaMissense likely_pathogenic AND REVEL ≥ 0.75</w:t>
            </w:r>
          </w:p>
        </w:tc>
      </w:tr>
      <w:tr w:rsidR="008B4B6B" w14:paraId="6B9CF6D1" w14:textId="77777777" w:rsidTr="00E17AEF">
        <w:tc>
          <w:tcPr>
            <w:tcW w:w="1080" w:type="dxa"/>
          </w:tcPr>
          <w:p w14:paraId="65F741A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Variant Definition Thresholds</w:t>
            </w:r>
          </w:p>
        </w:tc>
        <w:tc>
          <w:tcPr>
            <w:tcW w:w="1080" w:type="dxa"/>
          </w:tcPr>
          <w:p w14:paraId="599E90F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Broad panel (primary combined)</w:t>
            </w:r>
          </w:p>
        </w:tc>
        <w:tc>
          <w:tcPr>
            <w:tcW w:w="1080" w:type="dxa"/>
          </w:tcPr>
          <w:p w14:paraId="332D144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20,859</w:t>
            </w:r>
          </w:p>
        </w:tc>
        <w:tc>
          <w:tcPr>
            <w:tcW w:w="1080" w:type="dxa"/>
          </w:tcPr>
          <w:p w14:paraId="636F9D8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695</w:t>
            </w:r>
          </w:p>
        </w:tc>
        <w:tc>
          <w:tcPr>
            <w:tcW w:w="1080" w:type="dxa"/>
          </w:tcPr>
          <w:p w14:paraId="4BFAB3D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84.2%</w:t>
            </w:r>
          </w:p>
        </w:tc>
        <w:tc>
          <w:tcPr>
            <w:tcW w:w="1080" w:type="dxa"/>
          </w:tcPr>
          <w:p w14:paraId="6BD2CFC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255.1 (1 in 392)</w:t>
            </w:r>
          </w:p>
        </w:tc>
        <w:tc>
          <w:tcPr>
            <w:tcW w:w="1080" w:type="dxa"/>
          </w:tcPr>
          <w:p w14:paraId="1179920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2,072.1 (1 in 48)</w:t>
            </w:r>
          </w:p>
        </w:tc>
        <w:tc>
          <w:tcPr>
            <w:tcW w:w="1080" w:type="dxa"/>
          </w:tcPr>
          <w:p w14:paraId="7FE4123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Primary broad panel; includes cross-type compound-heterozygous increment of 110.5/100k (~43%)</w:t>
            </w:r>
          </w:p>
        </w:tc>
      </w:tr>
      <w:tr w:rsidR="008B4B6B" w14:paraId="6C6B8B76" w14:textId="77777777" w:rsidTr="00E17AEF">
        <w:tc>
          <w:tcPr>
            <w:tcW w:w="1080" w:type="dxa"/>
          </w:tcPr>
          <w:p w14:paraId="7FB59A8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Allele Frequency Ceiling</w:t>
            </w:r>
          </w:p>
        </w:tc>
        <w:tc>
          <w:tcPr>
            <w:tcW w:w="1080" w:type="dxa"/>
          </w:tcPr>
          <w:p w14:paraId="74F6D8F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No AF ceiling (unfiltered)</w:t>
            </w:r>
          </w:p>
        </w:tc>
        <w:tc>
          <w:tcPr>
            <w:tcW w:w="1080" w:type="dxa"/>
          </w:tcPr>
          <w:p w14:paraId="3CEEF33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35F583A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696</w:t>
            </w:r>
          </w:p>
        </w:tc>
        <w:tc>
          <w:tcPr>
            <w:tcW w:w="1080" w:type="dxa"/>
          </w:tcPr>
          <w:p w14:paraId="26C9B05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&gt;99%</w:t>
            </w:r>
          </w:p>
        </w:tc>
        <w:tc>
          <w:tcPr>
            <w:tcW w:w="1080" w:type="dxa"/>
          </w:tcPr>
          <w:p w14:paraId="227E8BF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88,948</w:t>
            </w:r>
          </w:p>
        </w:tc>
        <w:tc>
          <w:tcPr>
            <w:tcW w:w="1080" w:type="dxa"/>
          </w:tcPr>
          <w:p w14:paraId="6BCC497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172B1FB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Massive contamination by common hypomorphic polymorphisms (e.g., MTHFR c.677C&gt;T)</w:t>
            </w:r>
          </w:p>
        </w:tc>
      </w:tr>
      <w:tr w:rsidR="008B4B6B" w14:paraId="3A46613A" w14:textId="77777777" w:rsidTr="00E17AEF">
        <w:tc>
          <w:tcPr>
            <w:tcW w:w="1080" w:type="dxa"/>
          </w:tcPr>
          <w:p w14:paraId="74D2169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Allele Frequency Ceiling</w:t>
            </w:r>
          </w:p>
        </w:tc>
        <w:tc>
          <w:tcPr>
            <w:tcW w:w="1080" w:type="dxa"/>
          </w:tcPr>
          <w:p w14:paraId="3ABA82D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AF ≤ 0.5% ceiling (study standard)</w:t>
            </w:r>
          </w:p>
        </w:tc>
        <w:tc>
          <w:tcPr>
            <w:tcW w:w="1080" w:type="dxa"/>
          </w:tcPr>
          <w:p w14:paraId="203A4B0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20,859</w:t>
            </w:r>
          </w:p>
        </w:tc>
        <w:tc>
          <w:tcPr>
            <w:tcW w:w="1080" w:type="dxa"/>
          </w:tcPr>
          <w:p w14:paraId="775DD62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695</w:t>
            </w:r>
          </w:p>
        </w:tc>
        <w:tc>
          <w:tcPr>
            <w:tcW w:w="1080" w:type="dxa"/>
          </w:tcPr>
          <w:p w14:paraId="65ECE13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84.2%</w:t>
            </w:r>
          </w:p>
        </w:tc>
        <w:tc>
          <w:tcPr>
            <w:tcW w:w="1080" w:type="dxa"/>
          </w:tcPr>
          <w:p w14:paraId="4B8804F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255.1</w:t>
            </w:r>
          </w:p>
        </w:tc>
        <w:tc>
          <w:tcPr>
            <w:tcW w:w="1080" w:type="dxa"/>
          </w:tcPr>
          <w:p w14:paraId="3C3374B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2,072.1</w:t>
            </w:r>
          </w:p>
        </w:tc>
        <w:tc>
          <w:tcPr>
            <w:tcW w:w="1080" w:type="dxa"/>
          </w:tcPr>
          <w:p w14:paraId="1D11430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Standard quality threshold eliminating common benign/mild polymorphisms across all classes</w:t>
            </w:r>
          </w:p>
        </w:tc>
      </w:tr>
      <w:tr w:rsidR="008B4B6B" w14:paraId="62D78C31" w14:textId="77777777" w:rsidTr="00E17AEF">
        <w:tc>
          <w:tcPr>
            <w:tcW w:w="1080" w:type="dxa"/>
          </w:tcPr>
          <w:p w14:paraId="390CD28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Missense Predictor Thresholds</w:t>
            </w:r>
          </w:p>
        </w:tc>
        <w:tc>
          <w:tcPr>
            <w:tcW w:w="1080" w:type="dxa"/>
          </w:tcPr>
          <w:p w14:paraId="3BF634F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AlphaMissense alone (likely_pathogenic)</w:t>
            </w:r>
          </w:p>
        </w:tc>
        <w:tc>
          <w:tcPr>
            <w:tcW w:w="1080" w:type="dxa"/>
          </w:tcPr>
          <w:p w14:paraId="6F5A444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74FAA7F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4F09B97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431D003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473.4</w:t>
            </w:r>
          </w:p>
        </w:tc>
        <w:tc>
          <w:tcPr>
            <w:tcW w:w="1080" w:type="dxa"/>
          </w:tcPr>
          <w:p w14:paraId="4A9F279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3,114.7</w:t>
            </w:r>
          </w:p>
        </w:tc>
        <w:tc>
          <w:tcPr>
            <w:tcW w:w="1080" w:type="dxa"/>
          </w:tcPr>
          <w:p w14:paraId="56BE6FE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Higher sensitivity (70.2%), moderate specificity (95.6%) against ClinVar truth set</w:t>
            </w:r>
          </w:p>
        </w:tc>
      </w:tr>
      <w:tr w:rsidR="008B4B6B" w14:paraId="6F04711D" w14:textId="77777777" w:rsidTr="00E17AEF">
        <w:tc>
          <w:tcPr>
            <w:tcW w:w="1080" w:type="dxa"/>
          </w:tcPr>
          <w:p w14:paraId="022A122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lastRenderedPageBreak/>
              <w:t>Missense Predictor Thresholds</w:t>
            </w:r>
          </w:p>
        </w:tc>
        <w:tc>
          <w:tcPr>
            <w:tcW w:w="1080" w:type="dxa"/>
          </w:tcPr>
          <w:p w14:paraId="2306967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REVEL alone (REVEL ≥ 0.75)</w:t>
            </w:r>
          </w:p>
        </w:tc>
        <w:tc>
          <w:tcPr>
            <w:tcW w:w="1080" w:type="dxa"/>
          </w:tcPr>
          <w:p w14:paraId="4EC8281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6FB682F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47CB600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602FB0C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498.8</w:t>
            </w:r>
          </w:p>
        </w:tc>
        <w:tc>
          <w:tcPr>
            <w:tcW w:w="1080" w:type="dxa"/>
          </w:tcPr>
          <w:p w14:paraId="209E948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2,929.8</w:t>
            </w:r>
          </w:p>
        </w:tc>
        <w:tc>
          <w:tcPr>
            <w:tcW w:w="1080" w:type="dxa"/>
          </w:tcPr>
          <w:p w14:paraId="7EB4894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Higher sensitivity (72.8%), specificity (97.5%) against ClinVar truth set</w:t>
            </w:r>
          </w:p>
        </w:tc>
      </w:tr>
      <w:tr w:rsidR="008B4B6B" w14:paraId="7EEB35EE" w14:textId="77777777" w:rsidTr="00E17AEF">
        <w:tc>
          <w:tcPr>
            <w:tcW w:w="1080" w:type="dxa"/>
          </w:tcPr>
          <w:p w14:paraId="1874687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Missense Predictor Thresholds</w:t>
            </w:r>
          </w:p>
        </w:tc>
        <w:tc>
          <w:tcPr>
            <w:tcW w:w="1080" w:type="dxa"/>
          </w:tcPr>
          <w:p w14:paraId="44D750C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STUDY intersection (AM ∩ REVEL ≥ 0.75)</w:t>
            </w:r>
          </w:p>
        </w:tc>
        <w:tc>
          <w:tcPr>
            <w:tcW w:w="1080" w:type="dxa"/>
          </w:tcPr>
          <w:p w14:paraId="1341BB3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9,225</w:t>
            </w:r>
          </w:p>
        </w:tc>
        <w:tc>
          <w:tcPr>
            <w:tcW w:w="1080" w:type="dxa"/>
          </w:tcPr>
          <w:p w14:paraId="5BB7917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637</w:t>
            </w:r>
          </w:p>
        </w:tc>
        <w:tc>
          <w:tcPr>
            <w:tcW w:w="1080" w:type="dxa"/>
          </w:tcPr>
          <w:p w14:paraId="2C55027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49.5%</w:t>
            </w:r>
          </w:p>
        </w:tc>
        <w:tc>
          <w:tcPr>
            <w:tcW w:w="1080" w:type="dxa"/>
          </w:tcPr>
          <w:p w14:paraId="544D30F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255.1</w:t>
            </w:r>
          </w:p>
        </w:tc>
        <w:tc>
          <w:tcPr>
            <w:tcW w:w="1080" w:type="dxa"/>
          </w:tcPr>
          <w:p w14:paraId="305CD02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2,072.1</w:t>
            </w:r>
          </w:p>
        </w:tc>
        <w:tc>
          <w:tcPr>
            <w:tcW w:w="1080" w:type="dxa"/>
          </w:tcPr>
          <w:p w14:paraId="73AAEA4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Most conservative: highest specificity (98.9%) and PPV (98.9%) against ClinVar truth set</w:t>
            </w:r>
          </w:p>
        </w:tc>
      </w:tr>
      <w:tr w:rsidR="008B4B6B" w14:paraId="40DED460" w14:textId="77777777" w:rsidTr="00E17AEF">
        <w:tc>
          <w:tcPr>
            <w:tcW w:w="1080" w:type="dxa"/>
          </w:tcPr>
          <w:p w14:paraId="2080E0E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Missense Predictor Thresholds</w:t>
            </w:r>
          </w:p>
        </w:tc>
        <w:tc>
          <w:tcPr>
            <w:tcW w:w="1080" w:type="dxa"/>
          </w:tcPr>
          <w:p w14:paraId="0B3FBD2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Union (AM OR REVEL ≥ 0.75)</w:t>
            </w:r>
          </w:p>
        </w:tc>
        <w:tc>
          <w:tcPr>
            <w:tcW w:w="1080" w:type="dxa"/>
          </w:tcPr>
          <w:p w14:paraId="274766F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7945F29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0B79458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466E2E3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645.2</w:t>
            </w:r>
          </w:p>
        </w:tc>
        <w:tc>
          <w:tcPr>
            <w:tcW w:w="1080" w:type="dxa"/>
          </w:tcPr>
          <w:p w14:paraId="0BF0588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3,980.5</w:t>
            </w:r>
          </w:p>
        </w:tc>
        <w:tc>
          <w:tcPr>
            <w:tcW w:w="1080" w:type="dxa"/>
          </w:tcPr>
          <w:p w14:paraId="1E80739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Broadest missense inclusion (sensitivity 83.9%, specificity 94.2%)</w:t>
            </w:r>
          </w:p>
        </w:tc>
      </w:tr>
      <w:tr w:rsidR="008B4B6B" w14:paraId="469ABEF7" w14:textId="77777777" w:rsidTr="00E17AEF">
        <w:tc>
          <w:tcPr>
            <w:tcW w:w="1080" w:type="dxa"/>
          </w:tcPr>
          <w:p w14:paraId="3F86380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ClinGen Gene Validity Tiering</w:t>
            </w:r>
          </w:p>
        </w:tc>
        <w:tc>
          <w:tcPr>
            <w:tcW w:w="1080" w:type="dxa"/>
          </w:tcPr>
          <w:p w14:paraId="1B200D2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Tier A only (Definitive / Strong)</w:t>
            </w:r>
          </w:p>
        </w:tc>
        <w:tc>
          <w:tcPr>
            <w:tcW w:w="1080" w:type="dxa"/>
          </w:tcPr>
          <w:p w14:paraId="37A57C3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629C1FA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452</w:t>
            </w:r>
          </w:p>
        </w:tc>
        <w:tc>
          <w:tcPr>
            <w:tcW w:w="1080" w:type="dxa"/>
          </w:tcPr>
          <w:p w14:paraId="1A772E4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71.8%</w:t>
            </w:r>
          </w:p>
        </w:tc>
        <w:tc>
          <w:tcPr>
            <w:tcW w:w="1080" w:type="dxa"/>
          </w:tcPr>
          <w:p w14:paraId="6937F14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167.2 (1 in 598)</w:t>
            </w:r>
          </w:p>
        </w:tc>
        <w:tc>
          <w:tcPr>
            <w:tcW w:w="1080" w:type="dxa"/>
          </w:tcPr>
          <w:p w14:paraId="222FF83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1,419.1 (1 in 70)</w:t>
            </w:r>
          </w:p>
        </w:tc>
        <w:tc>
          <w:tcPr>
            <w:tcW w:w="1080" w:type="dxa"/>
          </w:tcPr>
          <w:p w14:paraId="25519A5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Restricted strictly to genes with definitive/strong clinical validity</w:t>
            </w:r>
          </w:p>
        </w:tc>
      </w:tr>
      <w:tr w:rsidR="008B4B6B" w14:paraId="34469ECB" w14:textId="77777777" w:rsidTr="00E17AEF">
        <w:tc>
          <w:tcPr>
            <w:tcW w:w="1080" w:type="dxa"/>
          </w:tcPr>
          <w:p w14:paraId="399CEEE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ClinGen Gene Validity Tiering</w:t>
            </w:r>
          </w:p>
        </w:tc>
        <w:tc>
          <w:tcPr>
            <w:tcW w:w="1080" w:type="dxa"/>
          </w:tcPr>
          <w:p w14:paraId="5485362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Tier A + B (Definitive / Strong + Moderate)</w:t>
            </w:r>
          </w:p>
        </w:tc>
        <w:tc>
          <w:tcPr>
            <w:tcW w:w="1080" w:type="dxa"/>
          </w:tcPr>
          <w:p w14:paraId="157C7A0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63610C1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527</w:t>
            </w:r>
          </w:p>
        </w:tc>
        <w:tc>
          <w:tcPr>
            <w:tcW w:w="1080" w:type="dxa"/>
          </w:tcPr>
          <w:p w14:paraId="1D18DF9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75.1%</w:t>
            </w:r>
          </w:p>
        </w:tc>
        <w:tc>
          <w:tcPr>
            <w:tcW w:w="1080" w:type="dxa"/>
          </w:tcPr>
          <w:p w14:paraId="5E47520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177.5 (1 in 563)</w:t>
            </w:r>
          </w:p>
        </w:tc>
        <w:tc>
          <w:tcPr>
            <w:tcW w:w="1080" w:type="dxa"/>
          </w:tcPr>
          <w:p w14:paraId="712338D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1,551.9 (1 in 64)</w:t>
            </w:r>
          </w:p>
        </w:tc>
        <w:tc>
          <w:tcPr>
            <w:tcW w:w="1080" w:type="dxa"/>
          </w:tcPr>
          <w:p w14:paraId="6F47E5C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Includes moderate validity genes</w:t>
            </w:r>
          </w:p>
        </w:tc>
      </w:tr>
      <w:tr w:rsidR="008B4B6B" w14:paraId="78AB8554" w14:textId="77777777" w:rsidTr="00E17AEF">
        <w:tc>
          <w:tcPr>
            <w:tcW w:w="1080" w:type="dxa"/>
          </w:tcPr>
          <w:p w14:paraId="14469EB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ClinGen Gene Validity Tiering</w:t>
            </w:r>
          </w:p>
        </w:tc>
        <w:tc>
          <w:tcPr>
            <w:tcW w:w="1080" w:type="dxa"/>
          </w:tcPr>
          <w:p w14:paraId="7443016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Tier A + B + U+ (PanelApp-validated)</w:t>
            </w:r>
          </w:p>
        </w:tc>
        <w:tc>
          <w:tcPr>
            <w:tcW w:w="1080" w:type="dxa"/>
          </w:tcPr>
          <w:p w14:paraId="4999DE7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080" w:type="dxa"/>
          </w:tcPr>
          <w:p w14:paraId="2EF7E2B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669</w:t>
            </w:r>
          </w:p>
        </w:tc>
        <w:tc>
          <w:tcPr>
            <w:tcW w:w="1080" w:type="dxa"/>
          </w:tcPr>
          <w:p w14:paraId="76C1EA8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83.1%</w:t>
            </w:r>
          </w:p>
        </w:tc>
        <w:tc>
          <w:tcPr>
            <w:tcW w:w="1080" w:type="dxa"/>
          </w:tcPr>
          <w:p w14:paraId="08506CD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240.4 (1 in 416)</w:t>
            </w:r>
          </w:p>
        </w:tc>
        <w:tc>
          <w:tcPr>
            <w:tcW w:w="1080" w:type="dxa"/>
          </w:tcPr>
          <w:p w14:paraId="106CDF9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1,994.4 (1 in 50)</w:t>
            </w:r>
          </w:p>
        </w:tc>
        <w:tc>
          <w:tcPr>
            <w:tcW w:w="1080" w:type="dxa"/>
          </w:tcPr>
          <w:p w14:paraId="3BCB132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Re-incorporates 142 Tier U genes verified on diagnostic panels (Genomics England PanelApp)</w:t>
            </w:r>
          </w:p>
        </w:tc>
      </w:tr>
      <w:tr w:rsidR="008B4B6B" w14:paraId="74D76E2B" w14:textId="77777777" w:rsidTr="00E17AEF">
        <w:tc>
          <w:tcPr>
            <w:tcW w:w="1080" w:type="dxa"/>
          </w:tcPr>
          <w:p w14:paraId="6726DB8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ClinGen Gene Validity Tiering</w:t>
            </w:r>
          </w:p>
        </w:tc>
        <w:tc>
          <w:tcPr>
            <w:tcW w:w="1080" w:type="dxa"/>
          </w:tcPr>
          <w:p w14:paraId="58BFC49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Full Panel (Tier A + B + C + U)</w:t>
            </w:r>
          </w:p>
        </w:tc>
        <w:tc>
          <w:tcPr>
            <w:tcW w:w="1080" w:type="dxa"/>
          </w:tcPr>
          <w:p w14:paraId="4FE5E82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20,859</w:t>
            </w:r>
          </w:p>
        </w:tc>
        <w:tc>
          <w:tcPr>
            <w:tcW w:w="1080" w:type="dxa"/>
          </w:tcPr>
          <w:p w14:paraId="4208712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696</w:t>
            </w:r>
          </w:p>
        </w:tc>
        <w:tc>
          <w:tcPr>
            <w:tcW w:w="1080" w:type="dxa"/>
          </w:tcPr>
          <w:p w14:paraId="58E962C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84.2%</w:t>
            </w:r>
          </w:p>
        </w:tc>
        <w:tc>
          <w:tcPr>
            <w:tcW w:w="1080" w:type="dxa"/>
          </w:tcPr>
          <w:p w14:paraId="0C7F009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255.1 (1 in 392)</w:t>
            </w:r>
          </w:p>
        </w:tc>
        <w:tc>
          <w:tcPr>
            <w:tcW w:w="1080" w:type="dxa"/>
          </w:tcPr>
          <w:p w14:paraId="7F46D00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2,072.1 (1 in 48)</w:t>
            </w:r>
          </w:p>
        </w:tc>
        <w:tc>
          <w:tcPr>
            <w:tcW w:w="1080" w:type="dxa"/>
          </w:tcPr>
          <w:p w14:paraId="5AA7DD0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Complete 696-gene AR-IEM panel</w:t>
            </w:r>
          </w:p>
        </w:tc>
      </w:tr>
    </w:tbl>
    <w:p w14:paraId="07AA67E7" w14:textId="77777777" w:rsidR="008B4B6B" w:rsidRDefault="008B4B6B">
      <w:pPr>
        <w:spacing w:after="160"/>
      </w:pPr>
    </w:p>
    <w:p w14:paraId="00EAB7F5" w14:textId="77777777" w:rsidR="00E17AEF" w:rsidRDefault="00E17AEF">
      <w:pPr>
        <w:spacing w:after="160"/>
      </w:pPr>
    </w:p>
    <w:p w14:paraId="5A47E778" w14:textId="77777777" w:rsidR="00E17AEF" w:rsidRDefault="00E17AEF">
      <w:pPr>
        <w:spacing w:after="160"/>
      </w:pPr>
    </w:p>
    <w:p w14:paraId="5DB4088B" w14:textId="77777777" w:rsidR="00E17AEF" w:rsidRDefault="00E17AEF">
      <w:pPr>
        <w:spacing w:after="160"/>
      </w:pPr>
    </w:p>
    <w:p w14:paraId="69D0F9E5" w14:textId="77777777" w:rsidR="00E17AEF" w:rsidRDefault="00E17AEF">
      <w:pPr>
        <w:spacing w:after="160"/>
      </w:pPr>
    </w:p>
    <w:p w14:paraId="24047055" w14:textId="77777777" w:rsidR="00E17AEF" w:rsidRDefault="00E17AEF">
      <w:pPr>
        <w:spacing w:after="160"/>
      </w:pPr>
    </w:p>
    <w:p w14:paraId="5B882DAC" w14:textId="77777777" w:rsidR="00E17AEF" w:rsidRDefault="00E17AEF">
      <w:pPr>
        <w:spacing w:after="160"/>
      </w:pPr>
    </w:p>
    <w:p w14:paraId="312A929D" w14:textId="77777777" w:rsidR="00E17AEF" w:rsidRDefault="00E17AEF">
      <w:pPr>
        <w:spacing w:after="160"/>
      </w:pPr>
    </w:p>
    <w:p w14:paraId="2F60BB32" w14:textId="77777777" w:rsidR="008B4B6B" w:rsidRDefault="00000000">
      <w:pPr>
        <w:spacing w:before="240" w:after="80"/>
        <w:rPr>
          <w:rFonts w:hint="eastAsia"/>
        </w:rPr>
      </w:pPr>
      <w:r>
        <w:rPr>
          <w:b/>
          <w:sz w:val="18"/>
        </w:rPr>
        <w:lastRenderedPageBreak/>
        <w:t>Supplementary Table S2.</w:t>
      </w:r>
      <w:r>
        <w:rPr>
          <w:sz w:val="18"/>
        </w:rPr>
        <w:t xml:space="preserve"> Calibration of predicted Hardy–Weinberg genetic birth prevalence against published newborn screening (NBS) clinical incidence across 15 standard metabolic conditions.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055"/>
        <w:gridCol w:w="1010"/>
        <w:gridCol w:w="1024"/>
        <w:gridCol w:w="1061"/>
        <w:gridCol w:w="1009"/>
        <w:gridCol w:w="1041"/>
        <w:gridCol w:w="1066"/>
      </w:tblGrid>
      <w:tr w:rsidR="008B4B6B" w14:paraId="51D6EC47" w14:textId="77777777" w:rsidTr="00E17AEF">
        <w:tc>
          <w:tcPr>
            <w:tcW w:w="1080" w:type="dxa"/>
          </w:tcPr>
          <w:p w14:paraId="2CFA426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Condition</w:t>
            </w:r>
          </w:p>
        </w:tc>
        <w:tc>
          <w:tcPr>
            <w:tcW w:w="1080" w:type="dxa"/>
          </w:tcPr>
          <w:p w14:paraId="17D36AE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Gene(s)</w:t>
            </w:r>
          </w:p>
        </w:tc>
        <w:tc>
          <w:tcPr>
            <w:tcW w:w="1080" w:type="dxa"/>
          </w:tcPr>
          <w:p w14:paraId="24B9CE5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Pred GP, HW (per 100k)</w:t>
            </w:r>
          </w:p>
        </w:tc>
        <w:tc>
          <w:tcPr>
            <w:tcW w:w="1080" w:type="dxa"/>
          </w:tcPr>
          <w:p w14:paraId="072D4A4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Pred GP, F=0.02 (per 100k)</w:t>
            </w:r>
          </w:p>
        </w:tc>
        <w:tc>
          <w:tcPr>
            <w:tcW w:w="1080" w:type="dxa"/>
          </w:tcPr>
          <w:p w14:paraId="6F865C0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Obs NBS Incidence (per 100k)</w:t>
            </w:r>
          </w:p>
        </w:tc>
        <w:tc>
          <w:tcPr>
            <w:tcW w:w="1080" w:type="dxa"/>
          </w:tcPr>
          <w:p w14:paraId="10847BA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Ratio (HW)</w:t>
            </w:r>
          </w:p>
        </w:tc>
        <w:tc>
          <w:tcPr>
            <w:tcW w:w="1080" w:type="dxa"/>
          </w:tcPr>
          <w:p w14:paraId="4587FDF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Ratio (F=0.02)</w:t>
            </w:r>
          </w:p>
        </w:tc>
        <w:tc>
          <w:tcPr>
            <w:tcW w:w="1080" w:type="dxa"/>
          </w:tcPr>
          <w:p w14:paraId="0D27FB0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b/>
                <w:sz w:val="16"/>
              </w:rPr>
              <w:t>Reference / Screening Cohort</w:t>
            </w:r>
          </w:p>
        </w:tc>
      </w:tr>
      <w:tr w:rsidR="008B4B6B" w14:paraId="417DB914" w14:textId="77777777" w:rsidTr="00E17AEF">
        <w:tc>
          <w:tcPr>
            <w:tcW w:w="1080" w:type="dxa"/>
          </w:tcPr>
          <w:p w14:paraId="3D332F5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Phenylketonuria (PKU)</w:t>
            </w:r>
          </w:p>
        </w:tc>
        <w:tc>
          <w:tcPr>
            <w:tcW w:w="1080" w:type="dxa"/>
          </w:tcPr>
          <w:p w14:paraId="6FACFF3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PAH</w:t>
            </w:r>
          </w:p>
        </w:tc>
        <w:tc>
          <w:tcPr>
            <w:tcW w:w="1080" w:type="dxa"/>
          </w:tcPr>
          <w:p w14:paraId="5AC8BC0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5.50</w:t>
            </w:r>
          </w:p>
        </w:tc>
        <w:tc>
          <w:tcPr>
            <w:tcW w:w="1080" w:type="dxa"/>
          </w:tcPr>
          <w:p w14:paraId="61E2FFF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20.23</w:t>
            </w:r>
          </w:p>
        </w:tc>
        <w:tc>
          <w:tcPr>
            <w:tcW w:w="1080" w:type="dxa"/>
          </w:tcPr>
          <w:p w14:paraId="5C83486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6.00</w:t>
            </w:r>
          </w:p>
        </w:tc>
        <w:tc>
          <w:tcPr>
            <w:tcW w:w="1080" w:type="dxa"/>
          </w:tcPr>
          <w:p w14:paraId="337D79C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0.92×</w:t>
            </w:r>
          </w:p>
        </w:tc>
        <w:tc>
          <w:tcPr>
            <w:tcW w:w="1080" w:type="dxa"/>
          </w:tcPr>
          <w:p w14:paraId="6FB673E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3.37×</w:t>
            </w:r>
          </w:p>
        </w:tc>
        <w:tc>
          <w:tcPr>
            <w:tcW w:w="1080" w:type="dxa"/>
          </w:tcPr>
          <w:p w14:paraId="45895B3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Shoraka et al. 2020 [16]</w:t>
            </w:r>
          </w:p>
        </w:tc>
      </w:tr>
      <w:tr w:rsidR="008B4B6B" w14:paraId="745CB99E" w14:textId="77777777" w:rsidTr="00E17AEF">
        <w:tc>
          <w:tcPr>
            <w:tcW w:w="1080" w:type="dxa"/>
          </w:tcPr>
          <w:p w14:paraId="0F321B8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MCAD deficiency</w:t>
            </w:r>
          </w:p>
        </w:tc>
        <w:tc>
          <w:tcPr>
            <w:tcW w:w="1080" w:type="dxa"/>
          </w:tcPr>
          <w:p w14:paraId="10567C5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ACADM</w:t>
            </w:r>
          </w:p>
        </w:tc>
        <w:tc>
          <w:tcPr>
            <w:tcW w:w="1080" w:type="dxa"/>
          </w:tcPr>
          <w:p w14:paraId="60EC998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1.27</w:t>
            </w:r>
          </w:p>
        </w:tc>
        <w:tc>
          <w:tcPr>
            <w:tcW w:w="1080" w:type="dxa"/>
          </w:tcPr>
          <w:p w14:paraId="6FC9AE6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8.38</w:t>
            </w:r>
          </w:p>
        </w:tc>
        <w:tc>
          <w:tcPr>
            <w:tcW w:w="1080" w:type="dxa"/>
          </w:tcPr>
          <w:p w14:paraId="273546C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7.30</w:t>
            </w:r>
          </w:p>
        </w:tc>
        <w:tc>
          <w:tcPr>
            <w:tcW w:w="1080" w:type="dxa"/>
          </w:tcPr>
          <w:p w14:paraId="41E9A06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0.17×</w:t>
            </w:r>
          </w:p>
        </w:tc>
        <w:tc>
          <w:tcPr>
            <w:tcW w:w="1080" w:type="dxa"/>
          </w:tcPr>
          <w:p w14:paraId="3ABB744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1.15×</w:t>
            </w:r>
          </w:p>
        </w:tc>
        <w:tc>
          <w:tcPr>
            <w:tcW w:w="1080" w:type="dxa"/>
          </w:tcPr>
          <w:p w14:paraId="446867A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Martín-Rivada et al. 2022</w:t>
            </w:r>
          </w:p>
        </w:tc>
      </w:tr>
      <w:tr w:rsidR="008B4B6B" w14:paraId="48FAEE73" w14:textId="77777777" w:rsidTr="00E17AEF">
        <w:tc>
          <w:tcPr>
            <w:tcW w:w="1080" w:type="dxa"/>
          </w:tcPr>
          <w:p w14:paraId="2449E7B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Classic galactosemia</w:t>
            </w:r>
          </w:p>
        </w:tc>
        <w:tc>
          <w:tcPr>
            <w:tcW w:w="1080" w:type="dxa"/>
          </w:tcPr>
          <w:p w14:paraId="424A76E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GALT</w:t>
            </w:r>
          </w:p>
        </w:tc>
        <w:tc>
          <w:tcPr>
            <w:tcW w:w="1080" w:type="dxa"/>
          </w:tcPr>
          <w:p w14:paraId="3DC02A3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0.52</w:t>
            </w:r>
          </w:p>
        </w:tc>
        <w:tc>
          <w:tcPr>
            <w:tcW w:w="1080" w:type="dxa"/>
          </w:tcPr>
          <w:p w14:paraId="1020B04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5.09</w:t>
            </w:r>
          </w:p>
        </w:tc>
        <w:tc>
          <w:tcPr>
            <w:tcW w:w="1080" w:type="dxa"/>
          </w:tcPr>
          <w:p w14:paraId="5117C9B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2.60</w:t>
            </w:r>
          </w:p>
        </w:tc>
        <w:tc>
          <w:tcPr>
            <w:tcW w:w="1080" w:type="dxa"/>
          </w:tcPr>
          <w:p w14:paraId="18A2729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0.20×</w:t>
            </w:r>
          </w:p>
        </w:tc>
        <w:tc>
          <w:tcPr>
            <w:tcW w:w="1080" w:type="dxa"/>
          </w:tcPr>
          <w:p w14:paraId="2B1296B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1.96×</w:t>
            </w:r>
          </w:p>
        </w:tc>
        <w:tc>
          <w:tcPr>
            <w:tcW w:w="1080" w:type="dxa"/>
          </w:tcPr>
          <w:p w14:paraId="032BF8F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Cantley et al. 2023</w:t>
            </w:r>
          </w:p>
        </w:tc>
      </w:tr>
      <w:tr w:rsidR="008B4B6B" w14:paraId="44786B45" w14:textId="77777777" w:rsidTr="00E17AEF">
        <w:tc>
          <w:tcPr>
            <w:tcW w:w="1080" w:type="dxa"/>
          </w:tcPr>
          <w:p w14:paraId="5D9A9FF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Maple syrup urine disease</w:t>
            </w:r>
          </w:p>
        </w:tc>
        <w:tc>
          <w:tcPr>
            <w:tcW w:w="1080" w:type="dxa"/>
          </w:tcPr>
          <w:p w14:paraId="0FF8F1E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BCKDHA, BCKDHB, DBT</w:t>
            </w:r>
          </w:p>
        </w:tc>
        <w:tc>
          <w:tcPr>
            <w:tcW w:w="1080" w:type="dxa"/>
          </w:tcPr>
          <w:p w14:paraId="5C64CC7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0.41</w:t>
            </w:r>
          </w:p>
        </w:tc>
        <w:tc>
          <w:tcPr>
            <w:tcW w:w="1080" w:type="dxa"/>
          </w:tcPr>
          <w:p w14:paraId="2205994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6.90</w:t>
            </w:r>
          </w:p>
        </w:tc>
        <w:tc>
          <w:tcPr>
            <w:tcW w:w="1080" w:type="dxa"/>
          </w:tcPr>
          <w:p w14:paraId="4BD5DF4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2.00</w:t>
            </w:r>
          </w:p>
        </w:tc>
        <w:tc>
          <w:tcPr>
            <w:tcW w:w="1080" w:type="dxa"/>
          </w:tcPr>
          <w:p w14:paraId="66E49B1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0.20×</w:t>
            </w:r>
          </w:p>
        </w:tc>
        <w:tc>
          <w:tcPr>
            <w:tcW w:w="1080" w:type="dxa"/>
          </w:tcPr>
          <w:p w14:paraId="6B1F70F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3.45×</w:t>
            </w:r>
          </w:p>
        </w:tc>
        <w:tc>
          <w:tcPr>
            <w:tcW w:w="1080" w:type="dxa"/>
          </w:tcPr>
          <w:p w14:paraId="303D8DD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Chapman et al. 2018</w:t>
            </w:r>
          </w:p>
        </w:tc>
      </w:tr>
      <w:tr w:rsidR="008B4B6B" w14:paraId="2EE38C1D" w14:textId="77777777" w:rsidTr="00E17AEF">
        <w:tc>
          <w:tcPr>
            <w:tcW w:w="1080" w:type="dxa"/>
          </w:tcPr>
          <w:p w14:paraId="5AB805F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Methylmalonic acidemia (mut)</w:t>
            </w:r>
          </w:p>
        </w:tc>
        <w:tc>
          <w:tcPr>
            <w:tcW w:w="1080" w:type="dxa"/>
          </w:tcPr>
          <w:p w14:paraId="60C8BA2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MMUT (MUT)</w:t>
            </w:r>
          </w:p>
        </w:tc>
        <w:tc>
          <w:tcPr>
            <w:tcW w:w="1080" w:type="dxa"/>
          </w:tcPr>
          <w:p w14:paraId="0F9A4E9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5.10</w:t>
            </w:r>
          </w:p>
        </w:tc>
        <w:tc>
          <w:tcPr>
            <w:tcW w:w="1080" w:type="dxa"/>
          </w:tcPr>
          <w:p w14:paraId="2DC5202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19.27</w:t>
            </w:r>
          </w:p>
        </w:tc>
        <w:tc>
          <w:tcPr>
            <w:tcW w:w="1080" w:type="dxa"/>
          </w:tcPr>
          <w:p w14:paraId="7E6FBF0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3.40</w:t>
            </w:r>
          </w:p>
        </w:tc>
        <w:tc>
          <w:tcPr>
            <w:tcW w:w="1080" w:type="dxa"/>
          </w:tcPr>
          <w:p w14:paraId="20004C3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1.50×</w:t>
            </w:r>
          </w:p>
        </w:tc>
        <w:tc>
          <w:tcPr>
            <w:tcW w:w="1080" w:type="dxa"/>
          </w:tcPr>
          <w:p w14:paraId="4679416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5.67×</w:t>
            </w:r>
          </w:p>
        </w:tc>
        <w:tc>
          <w:tcPr>
            <w:tcW w:w="1080" w:type="dxa"/>
          </w:tcPr>
          <w:p w14:paraId="34D01C8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Almási et al. 2019 [17]</w:t>
            </w:r>
          </w:p>
        </w:tc>
      </w:tr>
      <w:tr w:rsidR="008B4B6B" w14:paraId="68D72056" w14:textId="77777777" w:rsidTr="00E17AEF">
        <w:tc>
          <w:tcPr>
            <w:tcW w:w="1080" w:type="dxa"/>
          </w:tcPr>
          <w:p w14:paraId="6A82EDE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Propionic acidemia</w:t>
            </w:r>
          </w:p>
        </w:tc>
        <w:tc>
          <w:tcPr>
            <w:tcW w:w="1080" w:type="dxa"/>
          </w:tcPr>
          <w:p w14:paraId="3BEEA28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PCCA, PCCB</w:t>
            </w:r>
          </w:p>
        </w:tc>
        <w:tc>
          <w:tcPr>
            <w:tcW w:w="1080" w:type="dxa"/>
          </w:tcPr>
          <w:p w14:paraId="4CDE9B9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1.57</w:t>
            </w:r>
          </w:p>
        </w:tc>
        <w:tc>
          <w:tcPr>
            <w:tcW w:w="1080" w:type="dxa"/>
          </w:tcPr>
          <w:p w14:paraId="1303DBA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12.50</w:t>
            </w:r>
          </w:p>
        </w:tc>
        <w:tc>
          <w:tcPr>
            <w:tcW w:w="1080" w:type="dxa"/>
          </w:tcPr>
          <w:p w14:paraId="160F644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0.31</w:t>
            </w:r>
          </w:p>
        </w:tc>
        <w:tc>
          <w:tcPr>
            <w:tcW w:w="1080" w:type="dxa"/>
          </w:tcPr>
          <w:p w14:paraId="6787996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5.07×</w:t>
            </w:r>
          </w:p>
        </w:tc>
        <w:tc>
          <w:tcPr>
            <w:tcW w:w="1080" w:type="dxa"/>
          </w:tcPr>
          <w:p w14:paraId="58146CB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40.31×</w:t>
            </w:r>
          </w:p>
        </w:tc>
        <w:tc>
          <w:tcPr>
            <w:tcW w:w="1080" w:type="dxa"/>
          </w:tcPr>
          <w:p w14:paraId="229C7F9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Almási et al. 2019</w:t>
            </w:r>
          </w:p>
        </w:tc>
      </w:tr>
      <w:tr w:rsidR="008B4B6B" w14:paraId="3D7BCB69" w14:textId="77777777" w:rsidTr="00E17AEF">
        <w:tc>
          <w:tcPr>
            <w:tcW w:w="1080" w:type="dxa"/>
          </w:tcPr>
          <w:p w14:paraId="20007FB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Pompe disease</w:t>
            </w:r>
          </w:p>
        </w:tc>
        <w:tc>
          <w:tcPr>
            <w:tcW w:w="1080" w:type="dxa"/>
          </w:tcPr>
          <w:p w14:paraId="4E2FC48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GAA</w:t>
            </w:r>
          </w:p>
        </w:tc>
        <w:tc>
          <w:tcPr>
            <w:tcW w:w="1080" w:type="dxa"/>
          </w:tcPr>
          <w:p w14:paraId="19943CD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2.53</w:t>
            </w:r>
          </w:p>
        </w:tc>
        <w:tc>
          <w:tcPr>
            <w:tcW w:w="1080" w:type="dxa"/>
          </w:tcPr>
          <w:p w14:paraId="66EF32B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12.54</w:t>
            </w:r>
          </w:p>
        </w:tc>
        <w:tc>
          <w:tcPr>
            <w:tcW w:w="1080" w:type="dxa"/>
          </w:tcPr>
          <w:p w14:paraId="01786C5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5.30</w:t>
            </w:r>
          </w:p>
        </w:tc>
        <w:tc>
          <w:tcPr>
            <w:tcW w:w="1080" w:type="dxa"/>
          </w:tcPr>
          <w:p w14:paraId="03E04C3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0.48×</w:t>
            </w:r>
          </w:p>
        </w:tc>
        <w:tc>
          <w:tcPr>
            <w:tcW w:w="1080" w:type="dxa"/>
          </w:tcPr>
          <w:p w14:paraId="4ED8F6A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2.37×</w:t>
            </w:r>
          </w:p>
        </w:tc>
        <w:tc>
          <w:tcPr>
            <w:tcW w:w="1080" w:type="dxa"/>
          </w:tcPr>
          <w:p w14:paraId="747B691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Colburn &amp; Lapidus 2024 [18]</w:t>
            </w:r>
          </w:p>
        </w:tc>
      </w:tr>
      <w:tr w:rsidR="008B4B6B" w14:paraId="215ADC49" w14:textId="77777777" w:rsidTr="00E17AEF">
        <w:tc>
          <w:tcPr>
            <w:tcW w:w="1080" w:type="dxa"/>
          </w:tcPr>
          <w:p w14:paraId="5137413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MPS I (Hurler)</w:t>
            </w:r>
          </w:p>
        </w:tc>
        <w:tc>
          <w:tcPr>
            <w:tcW w:w="1080" w:type="dxa"/>
          </w:tcPr>
          <w:p w14:paraId="4FCD3B5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IDUA</w:t>
            </w:r>
          </w:p>
        </w:tc>
        <w:tc>
          <w:tcPr>
            <w:tcW w:w="1080" w:type="dxa"/>
          </w:tcPr>
          <w:p w14:paraId="0F6B1F9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1.47</w:t>
            </w:r>
          </w:p>
        </w:tc>
        <w:tc>
          <w:tcPr>
            <w:tcW w:w="1080" w:type="dxa"/>
          </w:tcPr>
          <w:p w14:paraId="1BA80EF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9.11</w:t>
            </w:r>
          </w:p>
        </w:tc>
        <w:tc>
          <w:tcPr>
            <w:tcW w:w="1080" w:type="dxa"/>
          </w:tcPr>
          <w:p w14:paraId="1953FB0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1.56</w:t>
            </w:r>
          </w:p>
        </w:tc>
        <w:tc>
          <w:tcPr>
            <w:tcW w:w="1080" w:type="dxa"/>
          </w:tcPr>
          <w:p w14:paraId="45D1B30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0.94×</w:t>
            </w:r>
          </w:p>
        </w:tc>
        <w:tc>
          <w:tcPr>
            <w:tcW w:w="1080" w:type="dxa"/>
          </w:tcPr>
          <w:p w14:paraId="18CCEC1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5.84×</w:t>
            </w:r>
          </w:p>
        </w:tc>
        <w:tc>
          <w:tcPr>
            <w:tcW w:w="1080" w:type="dxa"/>
          </w:tcPr>
          <w:p w14:paraId="0889966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Polo et al. 2020</w:t>
            </w:r>
          </w:p>
        </w:tc>
      </w:tr>
      <w:tr w:rsidR="008B4B6B" w14:paraId="535166E8" w14:textId="77777777" w:rsidTr="00E17AEF">
        <w:tc>
          <w:tcPr>
            <w:tcW w:w="1080" w:type="dxa"/>
          </w:tcPr>
          <w:p w14:paraId="35C1963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VLCAD deficiency</w:t>
            </w:r>
          </w:p>
        </w:tc>
        <w:tc>
          <w:tcPr>
            <w:tcW w:w="1080" w:type="dxa"/>
          </w:tcPr>
          <w:p w14:paraId="5EAC909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ACADVL</w:t>
            </w:r>
          </w:p>
        </w:tc>
        <w:tc>
          <w:tcPr>
            <w:tcW w:w="1080" w:type="dxa"/>
          </w:tcPr>
          <w:p w14:paraId="1D33340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0.52</w:t>
            </w:r>
          </w:p>
        </w:tc>
        <w:tc>
          <w:tcPr>
            <w:tcW w:w="1080" w:type="dxa"/>
          </w:tcPr>
          <w:p w14:paraId="505F446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5.08</w:t>
            </w:r>
          </w:p>
        </w:tc>
        <w:tc>
          <w:tcPr>
            <w:tcW w:w="1080" w:type="dxa"/>
          </w:tcPr>
          <w:p w14:paraId="71D04A8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1.10</w:t>
            </w:r>
          </w:p>
        </w:tc>
        <w:tc>
          <w:tcPr>
            <w:tcW w:w="1080" w:type="dxa"/>
          </w:tcPr>
          <w:p w14:paraId="5EC7395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0.47×</w:t>
            </w:r>
          </w:p>
        </w:tc>
        <w:tc>
          <w:tcPr>
            <w:tcW w:w="1080" w:type="dxa"/>
          </w:tcPr>
          <w:p w14:paraId="1BEE950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4.62×</w:t>
            </w:r>
          </w:p>
        </w:tc>
        <w:tc>
          <w:tcPr>
            <w:tcW w:w="1080" w:type="dxa"/>
          </w:tcPr>
          <w:p w14:paraId="2AD89ED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Lin et al. 2020</w:t>
            </w:r>
          </w:p>
        </w:tc>
      </w:tr>
      <w:tr w:rsidR="008B4B6B" w14:paraId="61E2CD23" w14:textId="77777777" w:rsidTr="00E17AEF">
        <w:tc>
          <w:tcPr>
            <w:tcW w:w="1080" w:type="dxa"/>
          </w:tcPr>
          <w:p w14:paraId="74E5A7D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Glutaric acidemia type 1</w:t>
            </w:r>
          </w:p>
        </w:tc>
        <w:tc>
          <w:tcPr>
            <w:tcW w:w="1080" w:type="dxa"/>
          </w:tcPr>
          <w:p w14:paraId="29651A4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GCDH</w:t>
            </w:r>
          </w:p>
        </w:tc>
        <w:tc>
          <w:tcPr>
            <w:tcW w:w="1080" w:type="dxa"/>
          </w:tcPr>
          <w:p w14:paraId="26AF008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0.76</w:t>
            </w:r>
          </w:p>
        </w:tc>
        <w:tc>
          <w:tcPr>
            <w:tcW w:w="1080" w:type="dxa"/>
          </w:tcPr>
          <w:p w14:paraId="22B3D48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6.26</w:t>
            </w:r>
          </w:p>
        </w:tc>
        <w:tc>
          <w:tcPr>
            <w:tcW w:w="1080" w:type="dxa"/>
          </w:tcPr>
          <w:p w14:paraId="67ECC2D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0.90</w:t>
            </w:r>
          </w:p>
        </w:tc>
        <w:tc>
          <w:tcPr>
            <w:tcW w:w="1080" w:type="dxa"/>
          </w:tcPr>
          <w:p w14:paraId="00FC7C3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0.85×</w:t>
            </w:r>
          </w:p>
        </w:tc>
        <w:tc>
          <w:tcPr>
            <w:tcW w:w="1080" w:type="dxa"/>
          </w:tcPr>
          <w:p w14:paraId="713715D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6.96×</w:t>
            </w:r>
          </w:p>
        </w:tc>
        <w:tc>
          <w:tcPr>
            <w:tcW w:w="1080" w:type="dxa"/>
          </w:tcPr>
          <w:p w14:paraId="694D9F3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Moorthie et al. 2014 [19]</w:t>
            </w:r>
          </w:p>
        </w:tc>
      </w:tr>
      <w:tr w:rsidR="008B4B6B" w14:paraId="5A3F32E1" w14:textId="77777777" w:rsidTr="00E17AEF">
        <w:tc>
          <w:tcPr>
            <w:tcW w:w="1080" w:type="dxa"/>
          </w:tcPr>
          <w:p w14:paraId="54E499B8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Isovaleric acidemia</w:t>
            </w:r>
          </w:p>
        </w:tc>
        <w:tc>
          <w:tcPr>
            <w:tcW w:w="1080" w:type="dxa"/>
          </w:tcPr>
          <w:p w14:paraId="60EA182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IVD</w:t>
            </w:r>
          </w:p>
        </w:tc>
        <w:tc>
          <w:tcPr>
            <w:tcW w:w="1080" w:type="dxa"/>
          </w:tcPr>
          <w:p w14:paraId="0FADC17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0.21</w:t>
            </w:r>
          </w:p>
        </w:tc>
        <w:tc>
          <w:tcPr>
            <w:tcW w:w="1080" w:type="dxa"/>
          </w:tcPr>
          <w:p w14:paraId="17E3297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3.07</w:t>
            </w:r>
          </w:p>
        </w:tc>
        <w:tc>
          <w:tcPr>
            <w:tcW w:w="1080" w:type="dxa"/>
          </w:tcPr>
          <w:p w14:paraId="00BAF8D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0.70</w:t>
            </w:r>
          </w:p>
        </w:tc>
        <w:tc>
          <w:tcPr>
            <w:tcW w:w="1080" w:type="dxa"/>
          </w:tcPr>
          <w:p w14:paraId="1FE97A4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0.29×</w:t>
            </w:r>
          </w:p>
        </w:tc>
        <w:tc>
          <w:tcPr>
            <w:tcW w:w="1080" w:type="dxa"/>
          </w:tcPr>
          <w:p w14:paraId="5B046FF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4.38×</w:t>
            </w:r>
          </w:p>
        </w:tc>
        <w:tc>
          <w:tcPr>
            <w:tcW w:w="1080" w:type="dxa"/>
          </w:tcPr>
          <w:p w14:paraId="54479C2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Moorthie et al. 2014 [19]</w:t>
            </w:r>
          </w:p>
        </w:tc>
      </w:tr>
      <w:tr w:rsidR="008B4B6B" w14:paraId="2F75D0B1" w14:textId="77777777" w:rsidTr="00E17AEF">
        <w:tc>
          <w:tcPr>
            <w:tcW w:w="1080" w:type="dxa"/>
          </w:tcPr>
          <w:p w14:paraId="458FB4FC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Homocystinuria (CBS)</w:t>
            </w:r>
          </w:p>
        </w:tc>
        <w:tc>
          <w:tcPr>
            <w:tcW w:w="1080" w:type="dxa"/>
          </w:tcPr>
          <w:p w14:paraId="351EF9D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CBS</w:t>
            </w:r>
          </w:p>
        </w:tc>
        <w:tc>
          <w:tcPr>
            <w:tcW w:w="1080" w:type="dxa"/>
          </w:tcPr>
          <w:p w14:paraId="0062B1B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0.01</w:t>
            </w:r>
          </w:p>
        </w:tc>
        <w:tc>
          <w:tcPr>
            <w:tcW w:w="1080" w:type="dxa"/>
          </w:tcPr>
          <w:p w14:paraId="6547F3A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0.55</w:t>
            </w:r>
          </w:p>
        </w:tc>
        <w:tc>
          <w:tcPr>
            <w:tcW w:w="1080" w:type="dxa"/>
          </w:tcPr>
          <w:p w14:paraId="145AF60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0.50</w:t>
            </w:r>
          </w:p>
        </w:tc>
        <w:tc>
          <w:tcPr>
            <w:tcW w:w="1080" w:type="dxa"/>
          </w:tcPr>
          <w:p w14:paraId="009E5BA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0.01×</w:t>
            </w:r>
          </w:p>
        </w:tc>
        <w:tc>
          <w:tcPr>
            <w:tcW w:w="1080" w:type="dxa"/>
          </w:tcPr>
          <w:p w14:paraId="562E734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1.11×</w:t>
            </w:r>
          </w:p>
        </w:tc>
        <w:tc>
          <w:tcPr>
            <w:tcW w:w="1080" w:type="dxa"/>
          </w:tcPr>
          <w:p w14:paraId="4F09365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Moorthie et al. 2014 [19]</w:t>
            </w:r>
          </w:p>
        </w:tc>
      </w:tr>
      <w:tr w:rsidR="008B4B6B" w14:paraId="50D403D9" w14:textId="77777777" w:rsidTr="00E17AEF">
        <w:tc>
          <w:tcPr>
            <w:tcW w:w="1080" w:type="dxa"/>
          </w:tcPr>
          <w:p w14:paraId="55D3D52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Biotinidase deficiency</w:t>
            </w:r>
          </w:p>
        </w:tc>
        <w:tc>
          <w:tcPr>
            <w:tcW w:w="1080" w:type="dxa"/>
          </w:tcPr>
          <w:p w14:paraId="3AA5954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BTD</w:t>
            </w:r>
          </w:p>
        </w:tc>
        <w:tc>
          <w:tcPr>
            <w:tcW w:w="1080" w:type="dxa"/>
          </w:tcPr>
          <w:p w14:paraId="7D5DC47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2.72</w:t>
            </w:r>
          </w:p>
        </w:tc>
        <w:tc>
          <w:tcPr>
            <w:tcW w:w="1080" w:type="dxa"/>
          </w:tcPr>
          <w:p w14:paraId="1148434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13.09</w:t>
            </w:r>
          </w:p>
        </w:tc>
        <w:tc>
          <w:tcPr>
            <w:tcW w:w="1080" w:type="dxa"/>
          </w:tcPr>
          <w:p w14:paraId="1C4AFB4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1.20</w:t>
            </w:r>
          </w:p>
        </w:tc>
        <w:tc>
          <w:tcPr>
            <w:tcW w:w="1080" w:type="dxa"/>
          </w:tcPr>
          <w:p w14:paraId="0395A005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2.26×</w:t>
            </w:r>
          </w:p>
        </w:tc>
        <w:tc>
          <w:tcPr>
            <w:tcW w:w="1080" w:type="dxa"/>
          </w:tcPr>
          <w:p w14:paraId="1E28842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10.90×</w:t>
            </w:r>
          </w:p>
        </w:tc>
        <w:tc>
          <w:tcPr>
            <w:tcW w:w="1080" w:type="dxa"/>
          </w:tcPr>
          <w:p w14:paraId="1362D00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Strovel et al. 2017</w:t>
            </w:r>
          </w:p>
        </w:tc>
      </w:tr>
      <w:tr w:rsidR="008B4B6B" w14:paraId="1DDE572A" w14:textId="77777777" w:rsidTr="00E17AEF">
        <w:tc>
          <w:tcPr>
            <w:tcW w:w="1080" w:type="dxa"/>
          </w:tcPr>
          <w:p w14:paraId="70A46B1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Citrullinemia type 1</w:t>
            </w:r>
          </w:p>
        </w:tc>
        <w:tc>
          <w:tcPr>
            <w:tcW w:w="1080" w:type="dxa"/>
          </w:tcPr>
          <w:p w14:paraId="6EADCB63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ASS1</w:t>
            </w:r>
          </w:p>
        </w:tc>
        <w:tc>
          <w:tcPr>
            <w:tcW w:w="1080" w:type="dxa"/>
          </w:tcPr>
          <w:p w14:paraId="1C609A6A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1.07</w:t>
            </w:r>
          </w:p>
        </w:tc>
        <w:tc>
          <w:tcPr>
            <w:tcW w:w="1080" w:type="dxa"/>
          </w:tcPr>
          <w:p w14:paraId="41109B5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7.58</w:t>
            </w:r>
          </w:p>
        </w:tc>
        <w:tc>
          <w:tcPr>
            <w:tcW w:w="1080" w:type="dxa"/>
          </w:tcPr>
          <w:p w14:paraId="35233EDB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0.60</w:t>
            </w:r>
          </w:p>
        </w:tc>
        <w:tc>
          <w:tcPr>
            <w:tcW w:w="1080" w:type="dxa"/>
          </w:tcPr>
          <w:p w14:paraId="242F1587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1.78×</w:t>
            </w:r>
          </w:p>
        </w:tc>
        <w:tc>
          <w:tcPr>
            <w:tcW w:w="1080" w:type="dxa"/>
          </w:tcPr>
          <w:p w14:paraId="3D5997D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12.63×</w:t>
            </w:r>
          </w:p>
        </w:tc>
        <w:tc>
          <w:tcPr>
            <w:tcW w:w="1080" w:type="dxa"/>
          </w:tcPr>
          <w:p w14:paraId="3122C4A2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Berardo et al. 2025</w:t>
            </w:r>
          </w:p>
        </w:tc>
      </w:tr>
      <w:tr w:rsidR="008B4B6B" w14:paraId="6CD0A319" w14:textId="77777777" w:rsidTr="00E17AEF">
        <w:tc>
          <w:tcPr>
            <w:tcW w:w="1080" w:type="dxa"/>
          </w:tcPr>
          <w:p w14:paraId="75C2B7B4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Tyrosinemia type 1</w:t>
            </w:r>
          </w:p>
        </w:tc>
        <w:tc>
          <w:tcPr>
            <w:tcW w:w="1080" w:type="dxa"/>
          </w:tcPr>
          <w:p w14:paraId="4A0E5F3D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FAH</w:t>
            </w:r>
          </w:p>
        </w:tc>
        <w:tc>
          <w:tcPr>
            <w:tcW w:w="1080" w:type="dxa"/>
          </w:tcPr>
          <w:p w14:paraId="246881E6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0.32</w:t>
            </w:r>
          </w:p>
        </w:tc>
        <w:tc>
          <w:tcPr>
            <w:tcW w:w="1080" w:type="dxa"/>
          </w:tcPr>
          <w:p w14:paraId="584C2D1E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3.91</w:t>
            </w:r>
          </w:p>
        </w:tc>
        <w:tc>
          <w:tcPr>
            <w:tcW w:w="1080" w:type="dxa"/>
          </w:tcPr>
          <w:p w14:paraId="7D6BCC8F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0.50</w:t>
            </w:r>
          </w:p>
        </w:tc>
        <w:tc>
          <w:tcPr>
            <w:tcW w:w="1080" w:type="dxa"/>
          </w:tcPr>
          <w:p w14:paraId="2B938309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0.65×</w:t>
            </w:r>
          </w:p>
        </w:tc>
        <w:tc>
          <w:tcPr>
            <w:tcW w:w="1080" w:type="dxa"/>
          </w:tcPr>
          <w:p w14:paraId="5516B820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7.82×</w:t>
            </w:r>
          </w:p>
        </w:tc>
        <w:tc>
          <w:tcPr>
            <w:tcW w:w="1080" w:type="dxa"/>
          </w:tcPr>
          <w:p w14:paraId="63A284E1" w14:textId="77777777" w:rsidR="008B4B6B" w:rsidRDefault="00000000">
            <w:pPr>
              <w:spacing w:before="30" w:after="30"/>
              <w:rPr>
                <w:rFonts w:hint="eastAsia"/>
              </w:rPr>
            </w:pPr>
            <w:r>
              <w:rPr>
                <w:sz w:val="16"/>
              </w:rPr>
              <w:t>Berardo et al. 2025</w:t>
            </w:r>
          </w:p>
        </w:tc>
      </w:tr>
    </w:tbl>
    <w:p w14:paraId="1B0DDD7C" w14:textId="77777777" w:rsidR="008B4B6B" w:rsidRDefault="00000000">
      <w:pPr>
        <w:spacing w:before="40" w:after="160"/>
        <w:rPr>
          <w:rFonts w:hint="eastAsia"/>
        </w:rPr>
      </w:pPr>
      <w:r>
        <w:rPr>
          <w:sz w:val="16"/>
        </w:rPr>
        <w:t>Note: Across the 15 standard newborn screening conditions, the median clinical-to-genetic scaling factor (Clinical / Genetic) under random mating is 0.65× (interquartile range: 0.25–1.22×). Applying this 0.65× scaling factor across the broad panel yields a calibrated clinical incidence of 165 per 100,000 live births (1 in 608) (255 × 0.65).</w:t>
      </w:r>
    </w:p>
    <w:p w14:paraId="0EFAE8A7" w14:textId="77777777" w:rsidR="00E17AEF" w:rsidRDefault="00E17AEF">
      <w:pPr>
        <w:spacing w:before="280"/>
        <w:rPr>
          <w:b/>
          <w:color w:val="1A1A1A"/>
          <w:sz w:val="18"/>
        </w:rPr>
      </w:pPr>
    </w:p>
    <w:p w14:paraId="28D660AF" w14:textId="77777777" w:rsidR="00E17AEF" w:rsidRDefault="00E17AEF">
      <w:pPr>
        <w:spacing w:before="280"/>
        <w:rPr>
          <w:b/>
          <w:color w:val="1A1A1A"/>
          <w:sz w:val="18"/>
        </w:rPr>
      </w:pPr>
    </w:p>
    <w:p w14:paraId="39F5FF52" w14:textId="77777777" w:rsidR="00E17AEF" w:rsidRDefault="00E17AEF">
      <w:pPr>
        <w:spacing w:before="280"/>
        <w:rPr>
          <w:b/>
          <w:color w:val="1A1A1A"/>
          <w:sz w:val="18"/>
        </w:rPr>
      </w:pPr>
    </w:p>
    <w:p w14:paraId="7DF6AAFF" w14:textId="4347F104" w:rsidR="008B4B6B" w:rsidRDefault="00000000">
      <w:pPr>
        <w:spacing w:before="280"/>
        <w:rPr>
          <w:rFonts w:hint="eastAsia"/>
        </w:rPr>
      </w:pPr>
      <w:r>
        <w:rPr>
          <w:b/>
          <w:color w:val="1A1A1A"/>
          <w:sz w:val="18"/>
        </w:rPr>
        <w:lastRenderedPageBreak/>
        <w:t>Supplementary Table S3.</w:t>
      </w:r>
      <w:r>
        <w:rPr>
          <w:color w:val="1A1A1A"/>
          <w:sz w:val="18"/>
        </w:rPr>
        <w:t xml:space="preserve"> Candidate GenomeIndia-enriched alleles (GenomeIndia AF ≥ 0.1% and ≥2-fold enrichment over gnomAD SAS, or GenomeIndia AF ≥ 0.5%), with transcript-level and population review outcomes. Review: consequences annotated on MANE Select/canonical transcripts (Ensembl VEP); population frequencies and homozygote counts from gnomAD v4; ClinVar records and literature reviewed. GI = GenomeIndia; SAS = gnomAD South Asian; dash = not individually reviewed.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2339"/>
        <w:gridCol w:w="1606"/>
        <w:gridCol w:w="596"/>
        <w:gridCol w:w="680"/>
        <w:gridCol w:w="730"/>
        <w:gridCol w:w="494"/>
        <w:gridCol w:w="1236"/>
      </w:tblGrid>
      <w:tr w:rsidR="008B4B6B" w14:paraId="4AB2E1A7" w14:textId="77777777" w:rsidTr="00E17AEF">
        <w:tc>
          <w:tcPr>
            <w:tcW w:w="1080" w:type="dxa"/>
          </w:tcPr>
          <w:p w14:paraId="7B0AE761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Gene</w:t>
            </w:r>
          </w:p>
        </w:tc>
        <w:tc>
          <w:tcPr>
            <w:tcW w:w="1080" w:type="dxa"/>
          </w:tcPr>
          <w:p w14:paraId="6C5B600F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Variant</w:t>
            </w:r>
          </w:p>
        </w:tc>
        <w:tc>
          <w:tcPr>
            <w:tcW w:w="1080" w:type="dxa"/>
          </w:tcPr>
          <w:p w14:paraId="088107FA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Class</w:t>
            </w:r>
          </w:p>
        </w:tc>
        <w:tc>
          <w:tcPr>
            <w:tcW w:w="1080" w:type="dxa"/>
          </w:tcPr>
          <w:p w14:paraId="591BC448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GI AF (%)</w:t>
            </w:r>
          </w:p>
        </w:tc>
        <w:tc>
          <w:tcPr>
            <w:tcW w:w="1080" w:type="dxa"/>
          </w:tcPr>
          <w:p w14:paraId="1945DC6B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SAS AF (%)</w:t>
            </w:r>
          </w:p>
        </w:tc>
        <w:tc>
          <w:tcPr>
            <w:tcW w:w="1080" w:type="dxa"/>
          </w:tcPr>
          <w:p w14:paraId="2825BBAE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GI/SAS</w:t>
            </w:r>
          </w:p>
        </w:tc>
        <w:tc>
          <w:tcPr>
            <w:tcW w:w="1080" w:type="dxa"/>
          </w:tcPr>
          <w:p w14:paraId="4A9DCEA3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Tier</w:t>
            </w:r>
          </w:p>
        </w:tc>
        <w:tc>
          <w:tcPr>
            <w:tcW w:w="1080" w:type="dxa"/>
          </w:tcPr>
          <w:p w14:paraId="230D278C" w14:textId="77777777" w:rsidR="008B4B6B" w:rsidRDefault="00000000">
            <w:pPr>
              <w:rPr>
                <w:rFonts w:hint="eastAsia"/>
              </w:rPr>
            </w:pPr>
            <w:r>
              <w:rPr>
                <w:b/>
                <w:color w:val="1A1A1A"/>
                <w:sz w:val="16"/>
              </w:rPr>
              <w:t>Review outcome</w:t>
            </w:r>
          </w:p>
        </w:tc>
      </w:tr>
      <w:tr w:rsidR="008B4B6B" w14:paraId="61FD2C70" w14:textId="77777777" w:rsidTr="00E17AEF">
        <w:tc>
          <w:tcPr>
            <w:tcW w:w="1080" w:type="dxa"/>
          </w:tcPr>
          <w:p w14:paraId="4B879B8F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XPNPEP3</w:t>
            </w:r>
          </w:p>
        </w:tc>
        <w:tc>
          <w:tcPr>
            <w:tcW w:w="1080" w:type="dxa"/>
          </w:tcPr>
          <w:p w14:paraId="2C67994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22:40860676:A:G</w:t>
            </w:r>
          </w:p>
        </w:tc>
        <w:tc>
          <w:tcPr>
            <w:tcW w:w="1080" w:type="dxa"/>
          </w:tcPr>
          <w:p w14:paraId="1D6F70C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5746B9D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1.248</w:t>
            </w:r>
          </w:p>
        </w:tc>
        <w:tc>
          <w:tcPr>
            <w:tcW w:w="1080" w:type="dxa"/>
          </w:tcPr>
          <w:p w14:paraId="4F55543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0.1981</w:t>
            </w:r>
          </w:p>
        </w:tc>
        <w:tc>
          <w:tcPr>
            <w:tcW w:w="1080" w:type="dxa"/>
          </w:tcPr>
          <w:p w14:paraId="178D72C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6.3</w:t>
            </w:r>
          </w:p>
        </w:tc>
        <w:tc>
          <w:tcPr>
            <w:tcW w:w="1080" w:type="dxa"/>
          </w:tcPr>
          <w:p w14:paraId="287985E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</w:t>
            </w:r>
          </w:p>
        </w:tc>
        <w:tc>
          <w:tcPr>
            <w:tcW w:w="1080" w:type="dxa"/>
          </w:tcPr>
          <w:p w14:paraId="5913A71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Likely benign (annotation artefact)</w:t>
            </w:r>
          </w:p>
        </w:tc>
      </w:tr>
      <w:tr w:rsidR="008B4B6B" w14:paraId="6F3459B4" w14:textId="77777777" w:rsidTr="00E17AEF">
        <w:tc>
          <w:tcPr>
            <w:tcW w:w="1080" w:type="dxa"/>
          </w:tcPr>
          <w:p w14:paraId="489EA8C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RBCK1</w:t>
            </w:r>
          </w:p>
        </w:tc>
        <w:tc>
          <w:tcPr>
            <w:tcW w:w="1080" w:type="dxa"/>
          </w:tcPr>
          <w:p w14:paraId="09BE410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20:417296:C:T</w:t>
            </w:r>
          </w:p>
        </w:tc>
        <w:tc>
          <w:tcPr>
            <w:tcW w:w="1080" w:type="dxa"/>
          </w:tcPr>
          <w:p w14:paraId="62D05AE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6E3BB80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1.028</w:t>
            </w:r>
          </w:p>
        </w:tc>
        <w:tc>
          <w:tcPr>
            <w:tcW w:w="1080" w:type="dxa"/>
          </w:tcPr>
          <w:p w14:paraId="040F4D7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0.1919</w:t>
            </w:r>
          </w:p>
        </w:tc>
        <w:tc>
          <w:tcPr>
            <w:tcW w:w="1080" w:type="dxa"/>
          </w:tcPr>
          <w:p w14:paraId="5A1BAA2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5.4</w:t>
            </w:r>
          </w:p>
        </w:tc>
        <w:tc>
          <w:tcPr>
            <w:tcW w:w="1080" w:type="dxa"/>
          </w:tcPr>
          <w:p w14:paraId="725C089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</w:t>
            </w:r>
          </w:p>
        </w:tc>
        <w:tc>
          <w:tcPr>
            <w:tcW w:w="1080" w:type="dxa"/>
          </w:tcPr>
          <w:p w14:paraId="4FC261F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Likely benign (annotation artefact)</w:t>
            </w:r>
          </w:p>
        </w:tc>
      </w:tr>
      <w:tr w:rsidR="008B4B6B" w14:paraId="78DD7825" w14:textId="77777777" w:rsidTr="00E17AEF">
        <w:tc>
          <w:tcPr>
            <w:tcW w:w="1080" w:type="dxa"/>
          </w:tcPr>
          <w:p w14:paraId="4662319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GLDC</w:t>
            </w:r>
          </w:p>
        </w:tc>
        <w:tc>
          <w:tcPr>
            <w:tcW w:w="1080" w:type="dxa"/>
          </w:tcPr>
          <w:p w14:paraId="401580F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9:6622821:C:A</w:t>
            </w:r>
          </w:p>
        </w:tc>
        <w:tc>
          <w:tcPr>
            <w:tcW w:w="1080" w:type="dxa"/>
          </w:tcPr>
          <w:p w14:paraId="1400668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6E6A461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0.594</w:t>
            </w:r>
          </w:p>
        </w:tc>
        <w:tc>
          <w:tcPr>
            <w:tcW w:w="1080" w:type="dxa"/>
          </w:tcPr>
          <w:p w14:paraId="7E100CF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0.3055</w:t>
            </w:r>
          </w:p>
        </w:tc>
        <w:tc>
          <w:tcPr>
            <w:tcW w:w="1080" w:type="dxa"/>
          </w:tcPr>
          <w:p w14:paraId="48CF32E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1.9</w:t>
            </w:r>
          </w:p>
        </w:tc>
        <w:tc>
          <w:tcPr>
            <w:tcW w:w="1080" w:type="dxa"/>
          </w:tcPr>
          <w:p w14:paraId="4FE1B96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</w:t>
            </w:r>
          </w:p>
        </w:tc>
        <w:tc>
          <w:tcPr>
            <w:tcW w:w="1080" w:type="dxa"/>
          </w:tcPr>
          <w:p w14:paraId="2191FE8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Likely benign (annotation artefact)</w:t>
            </w:r>
          </w:p>
        </w:tc>
      </w:tr>
      <w:tr w:rsidR="008B4B6B" w14:paraId="4666C5CE" w14:textId="77777777" w:rsidTr="00E17AEF">
        <w:tc>
          <w:tcPr>
            <w:tcW w:w="1080" w:type="dxa"/>
          </w:tcPr>
          <w:p w14:paraId="6357291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PGAM2</w:t>
            </w:r>
          </w:p>
        </w:tc>
        <w:tc>
          <w:tcPr>
            <w:tcW w:w="1080" w:type="dxa"/>
          </w:tcPr>
          <w:p w14:paraId="21D1192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7:44065240:C:T</w:t>
            </w:r>
          </w:p>
        </w:tc>
        <w:tc>
          <w:tcPr>
            <w:tcW w:w="1080" w:type="dxa"/>
          </w:tcPr>
          <w:p w14:paraId="6DBF8C7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687BB49F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0.333</w:t>
            </w:r>
          </w:p>
        </w:tc>
        <w:tc>
          <w:tcPr>
            <w:tcW w:w="1080" w:type="dxa"/>
          </w:tcPr>
          <w:p w14:paraId="6CCD356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0.0692</w:t>
            </w:r>
          </w:p>
        </w:tc>
        <w:tc>
          <w:tcPr>
            <w:tcW w:w="1080" w:type="dxa"/>
          </w:tcPr>
          <w:p w14:paraId="178714C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4.8</w:t>
            </w:r>
          </w:p>
        </w:tc>
        <w:tc>
          <w:tcPr>
            <w:tcW w:w="1080" w:type="dxa"/>
          </w:tcPr>
          <w:p w14:paraId="3435C88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0E5AA48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4C3A0AB1" w14:textId="77777777" w:rsidTr="00E17AEF">
        <w:tc>
          <w:tcPr>
            <w:tcW w:w="1080" w:type="dxa"/>
          </w:tcPr>
          <w:p w14:paraId="6FBF45D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MMACHC</w:t>
            </w:r>
          </w:p>
        </w:tc>
        <w:tc>
          <w:tcPr>
            <w:tcW w:w="1080" w:type="dxa"/>
          </w:tcPr>
          <w:p w14:paraId="17E7AA1E" w14:textId="77777777" w:rsidR="008B4B6B" w:rsidRDefault="00000000">
            <w:pPr>
              <w:rPr>
                <w:rFonts w:hint="eastAsia"/>
              </w:rPr>
            </w:pPr>
            <w:r>
              <w:rPr>
                <w:sz w:val="16"/>
              </w:rPr>
              <w:t>1:45509213:TG:T (c.848del, p.Ter283ext*)</w:t>
            </w:r>
          </w:p>
        </w:tc>
        <w:tc>
          <w:tcPr>
            <w:tcW w:w="1080" w:type="dxa"/>
          </w:tcPr>
          <w:p w14:paraId="2D76065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23DEB98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0.312</w:t>
            </w:r>
          </w:p>
        </w:tc>
        <w:tc>
          <w:tcPr>
            <w:tcW w:w="1080" w:type="dxa"/>
          </w:tcPr>
          <w:p w14:paraId="327F920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0.0088</w:t>
            </w:r>
          </w:p>
        </w:tc>
        <w:tc>
          <w:tcPr>
            <w:tcW w:w="1080" w:type="dxa"/>
          </w:tcPr>
          <w:p w14:paraId="6311322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35.5</w:t>
            </w:r>
          </w:p>
        </w:tc>
        <w:tc>
          <w:tcPr>
            <w:tcW w:w="1080" w:type="dxa"/>
          </w:tcPr>
          <w:p w14:paraId="25BD59A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6C246B6C" w14:textId="77777777" w:rsidR="008B4B6B" w:rsidRDefault="00000000">
            <w:pPr>
              <w:rPr>
                <w:rFonts w:hint="eastAsia"/>
              </w:rPr>
            </w:pPr>
            <w:r>
              <w:rPr>
                <w:sz w:val="16"/>
              </w:rPr>
              <w:t>Candidate (c.848del stop-lost/extension); pathogenicity unproven / ClinVar VUS</w:t>
            </w:r>
          </w:p>
        </w:tc>
      </w:tr>
      <w:tr w:rsidR="008B4B6B" w14:paraId="2847BAB5" w14:textId="77777777" w:rsidTr="00E17AEF">
        <w:tc>
          <w:tcPr>
            <w:tcW w:w="1080" w:type="dxa"/>
          </w:tcPr>
          <w:p w14:paraId="69B8F6E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NAXD</w:t>
            </w:r>
          </w:p>
        </w:tc>
        <w:tc>
          <w:tcPr>
            <w:tcW w:w="1080" w:type="dxa"/>
          </w:tcPr>
          <w:p w14:paraId="77E4C42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13:110615956:T:TGACAGAGG</w:t>
            </w:r>
          </w:p>
        </w:tc>
        <w:tc>
          <w:tcPr>
            <w:tcW w:w="1080" w:type="dxa"/>
          </w:tcPr>
          <w:p w14:paraId="1E45C38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756B67F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0.292</w:t>
            </w:r>
          </w:p>
        </w:tc>
        <w:tc>
          <w:tcPr>
            <w:tcW w:w="1080" w:type="dxa"/>
          </w:tcPr>
          <w:p w14:paraId="3480389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0.0518</w:t>
            </w:r>
          </w:p>
        </w:tc>
        <w:tc>
          <w:tcPr>
            <w:tcW w:w="1080" w:type="dxa"/>
          </w:tcPr>
          <w:p w14:paraId="3608966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5.6</w:t>
            </w:r>
          </w:p>
        </w:tc>
        <w:tc>
          <w:tcPr>
            <w:tcW w:w="1080" w:type="dxa"/>
          </w:tcPr>
          <w:p w14:paraId="027EF68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5BC4CF0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Likely benign (annotation artefact)</w:t>
            </w:r>
          </w:p>
        </w:tc>
      </w:tr>
      <w:tr w:rsidR="008B4B6B" w14:paraId="4D902905" w14:textId="77777777" w:rsidTr="00E17AEF">
        <w:tc>
          <w:tcPr>
            <w:tcW w:w="1080" w:type="dxa"/>
          </w:tcPr>
          <w:p w14:paraId="62D276D6" w14:textId="77777777" w:rsidR="008B4B6B" w:rsidRDefault="00000000">
            <w:pPr>
              <w:rPr>
                <w:rFonts w:hint="eastAsia"/>
              </w:rPr>
            </w:pPr>
            <w:r>
              <w:rPr>
                <w:sz w:val="16"/>
              </w:rPr>
              <w:t>MMUT</w:t>
            </w:r>
          </w:p>
        </w:tc>
        <w:tc>
          <w:tcPr>
            <w:tcW w:w="1080" w:type="dxa"/>
          </w:tcPr>
          <w:p w14:paraId="3F25DBB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6:49457878:T:C</w:t>
            </w:r>
          </w:p>
        </w:tc>
        <w:tc>
          <w:tcPr>
            <w:tcW w:w="1080" w:type="dxa"/>
          </w:tcPr>
          <w:p w14:paraId="2A6ACB8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5E0DED6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0.235</w:t>
            </w:r>
          </w:p>
        </w:tc>
        <w:tc>
          <w:tcPr>
            <w:tcW w:w="1080" w:type="dxa"/>
          </w:tcPr>
          <w:p w14:paraId="5759649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0.0395</w:t>
            </w:r>
          </w:p>
        </w:tc>
        <w:tc>
          <w:tcPr>
            <w:tcW w:w="1080" w:type="dxa"/>
          </w:tcPr>
          <w:p w14:paraId="1B746BA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6.0</w:t>
            </w:r>
          </w:p>
        </w:tc>
        <w:tc>
          <w:tcPr>
            <w:tcW w:w="1080" w:type="dxa"/>
          </w:tcPr>
          <w:p w14:paraId="5C523F4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5A536D2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1734C94C" w14:textId="77777777" w:rsidTr="00E17AEF">
        <w:tc>
          <w:tcPr>
            <w:tcW w:w="1080" w:type="dxa"/>
          </w:tcPr>
          <w:p w14:paraId="2E827E3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ALDOB</w:t>
            </w:r>
          </w:p>
        </w:tc>
        <w:tc>
          <w:tcPr>
            <w:tcW w:w="1080" w:type="dxa"/>
          </w:tcPr>
          <w:p w14:paraId="5F30857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9:101429853:C:T</w:t>
            </w:r>
          </w:p>
        </w:tc>
        <w:tc>
          <w:tcPr>
            <w:tcW w:w="1080" w:type="dxa"/>
          </w:tcPr>
          <w:p w14:paraId="637D8B6F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625B13A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0.174</w:t>
            </w:r>
          </w:p>
        </w:tc>
        <w:tc>
          <w:tcPr>
            <w:tcW w:w="1080" w:type="dxa"/>
          </w:tcPr>
          <w:p w14:paraId="5B0E41A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0.0406</w:t>
            </w:r>
          </w:p>
        </w:tc>
        <w:tc>
          <w:tcPr>
            <w:tcW w:w="1080" w:type="dxa"/>
          </w:tcPr>
          <w:p w14:paraId="4CF9051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4.3</w:t>
            </w:r>
          </w:p>
        </w:tc>
        <w:tc>
          <w:tcPr>
            <w:tcW w:w="1080" w:type="dxa"/>
          </w:tcPr>
          <w:p w14:paraId="084565B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695C5BA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5F611CB1" w14:textId="77777777" w:rsidTr="00E17AEF">
        <w:tc>
          <w:tcPr>
            <w:tcW w:w="1080" w:type="dxa"/>
          </w:tcPr>
          <w:p w14:paraId="5F1B21D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ABCG8</w:t>
            </w:r>
          </w:p>
        </w:tc>
        <w:tc>
          <w:tcPr>
            <w:tcW w:w="1080" w:type="dxa"/>
          </w:tcPr>
          <w:p w14:paraId="2EEE9FB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2:43875152:G:A</w:t>
            </w:r>
          </w:p>
        </w:tc>
        <w:tc>
          <w:tcPr>
            <w:tcW w:w="1080" w:type="dxa"/>
          </w:tcPr>
          <w:p w14:paraId="1371B1B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0BBC17A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0.159</w:t>
            </w:r>
          </w:p>
        </w:tc>
        <w:tc>
          <w:tcPr>
            <w:tcW w:w="1080" w:type="dxa"/>
          </w:tcPr>
          <w:p w14:paraId="49E3DE1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0.0439</w:t>
            </w:r>
          </w:p>
        </w:tc>
        <w:tc>
          <w:tcPr>
            <w:tcW w:w="1080" w:type="dxa"/>
          </w:tcPr>
          <w:p w14:paraId="45CB3D2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3.6</w:t>
            </w:r>
          </w:p>
        </w:tc>
        <w:tc>
          <w:tcPr>
            <w:tcW w:w="1080" w:type="dxa"/>
          </w:tcPr>
          <w:p w14:paraId="20F6724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298B484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1F699435" w14:textId="77777777" w:rsidTr="00E17AEF">
        <w:tc>
          <w:tcPr>
            <w:tcW w:w="1080" w:type="dxa"/>
          </w:tcPr>
          <w:p w14:paraId="2B969C0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SLC25A36</w:t>
            </w:r>
          </w:p>
        </w:tc>
        <w:tc>
          <w:tcPr>
            <w:tcW w:w="1080" w:type="dxa"/>
          </w:tcPr>
          <w:p w14:paraId="4BEC775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3:140956672:G:A</w:t>
            </w:r>
          </w:p>
        </w:tc>
        <w:tc>
          <w:tcPr>
            <w:tcW w:w="1080" w:type="dxa"/>
          </w:tcPr>
          <w:p w14:paraId="49AAD9F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3A78834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0.159</w:t>
            </w:r>
          </w:p>
        </w:tc>
        <w:tc>
          <w:tcPr>
            <w:tcW w:w="1080" w:type="dxa"/>
          </w:tcPr>
          <w:p w14:paraId="3C518E5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0.0431</w:t>
            </w:r>
          </w:p>
        </w:tc>
        <w:tc>
          <w:tcPr>
            <w:tcW w:w="1080" w:type="dxa"/>
          </w:tcPr>
          <w:p w14:paraId="1FCD8A8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3.7</w:t>
            </w:r>
          </w:p>
        </w:tc>
        <w:tc>
          <w:tcPr>
            <w:tcW w:w="1080" w:type="dxa"/>
          </w:tcPr>
          <w:p w14:paraId="2B47188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6183FC0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5AC3DD6A" w14:textId="77777777" w:rsidTr="00E17AEF">
        <w:tc>
          <w:tcPr>
            <w:tcW w:w="1080" w:type="dxa"/>
          </w:tcPr>
          <w:p w14:paraId="3067770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BTD</w:t>
            </w:r>
          </w:p>
        </w:tc>
        <w:tc>
          <w:tcPr>
            <w:tcW w:w="1080" w:type="dxa"/>
          </w:tcPr>
          <w:p w14:paraId="0C4EA6E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3:15645647:G:A</w:t>
            </w:r>
          </w:p>
        </w:tc>
        <w:tc>
          <w:tcPr>
            <w:tcW w:w="1080" w:type="dxa"/>
          </w:tcPr>
          <w:p w14:paraId="4065D7D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ClinVar P/LP (GI-only)</w:t>
            </w:r>
          </w:p>
        </w:tc>
        <w:tc>
          <w:tcPr>
            <w:tcW w:w="1080" w:type="dxa"/>
          </w:tcPr>
          <w:p w14:paraId="1E1535F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0.154</w:t>
            </w:r>
          </w:p>
        </w:tc>
        <w:tc>
          <w:tcPr>
            <w:tcW w:w="1080" w:type="dxa"/>
          </w:tcPr>
          <w:p w14:paraId="2EC4BBD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  <w:tc>
          <w:tcPr>
            <w:tcW w:w="1080" w:type="dxa"/>
          </w:tcPr>
          <w:p w14:paraId="4C67294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∞</w:t>
            </w:r>
          </w:p>
        </w:tc>
        <w:tc>
          <w:tcPr>
            <w:tcW w:w="1080" w:type="dxa"/>
          </w:tcPr>
          <w:p w14:paraId="2CA6900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0CEF7E1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Candidate; pathogenicity unproven</w:t>
            </w:r>
          </w:p>
        </w:tc>
      </w:tr>
      <w:tr w:rsidR="008B4B6B" w14:paraId="1DF396E8" w14:textId="77777777" w:rsidTr="00E17AEF">
        <w:tc>
          <w:tcPr>
            <w:tcW w:w="1080" w:type="dxa"/>
          </w:tcPr>
          <w:p w14:paraId="27120EC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BCKDHA</w:t>
            </w:r>
          </w:p>
        </w:tc>
        <w:tc>
          <w:tcPr>
            <w:tcW w:w="1080" w:type="dxa"/>
          </w:tcPr>
          <w:p w14:paraId="7ACE28B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19:41424462:G:A</w:t>
            </w:r>
          </w:p>
        </w:tc>
        <w:tc>
          <w:tcPr>
            <w:tcW w:w="1080" w:type="dxa"/>
          </w:tcPr>
          <w:p w14:paraId="51FC92F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619F57F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0.138</w:t>
            </w:r>
          </w:p>
        </w:tc>
        <w:tc>
          <w:tcPr>
            <w:tcW w:w="1080" w:type="dxa"/>
          </w:tcPr>
          <w:p w14:paraId="38FE5BB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0.0384</w:t>
            </w:r>
          </w:p>
        </w:tc>
        <w:tc>
          <w:tcPr>
            <w:tcW w:w="1080" w:type="dxa"/>
          </w:tcPr>
          <w:p w14:paraId="11119C8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3.6</w:t>
            </w:r>
          </w:p>
        </w:tc>
        <w:tc>
          <w:tcPr>
            <w:tcW w:w="1080" w:type="dxa"/>
          </w:tcPr>
          <w:p w14:paraId="6BADC19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03E9086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06D6CEF7" w14:textId="77777777" w:rsidTr="00E17AEF">
        <w:tc>
          <w:tcPr>
            <w:tcW w:w="1080" w:type="dxa"/>
          </w:tcPr>
          <w:p w14:paraId="24F10D1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ACAD8</w:t>
            </w:r>
          </w:p>
        </w:tc>
        <w:tc>
          <w:tcPr>
            <w:tcW w:w="1080" w:type="dxa"/>
          </w:tcPr>
          <w:p w14:paraId="4E8EDCE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11:134257136:G:A</w:t>
            </w:r>
          </w:p>
        </w:tc>
        <w:tc>
          <w:tcPr>
            <w:tcW w:w="1080" w:type="dxa"/>
          </w:tcPr>
          <w:p w14:paraId="59BE603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777D077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0.128</w:t>
            </w:r>
          </w:p>
        </w:tc>
        <w:tc>
          <w:tcPr>
            <w:tcW w:w="1080" w:type="dxa"/>
          </w:tcPr>
          <w:p w14:paraId="1293A3D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0.0055</w:t>
            </w:r>
          </w:p>
        </w:tc>
        <w:tc>
          <w:tcPr>
            <w:tcW w:w="1080" w:type="dxa"/>
          </w:tcPr>
          <w:p w14:paraId="450139A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23.3</w:t>
            </w:r>
          </w:p>
        </w:tc>
        <w:tc>
          <w:tcPr>
            <w:tcW w:w="1080" w:type="dxa"/>
          </w:tcPr>
          <w:p w14:paraId="5B0DD7F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3D231B3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4B71F5DE" w14:textId="77777777" w:rsidTr="00E17AEF">
        <w:tc>
          <w:tcPr>
            <w:tcW w:w="1080" w:type="dxa"/>
          </w:tcPr>
          <w:p w14:paraId="79CE9AF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lastRenderedPageBreak/>
              <w:t>LPIN1</w:t>
            </w:r>
          </w:p>
        </w:tc>
        <w:tc>
          <w:tcPr>
            <w:tcW w:w="1080" w:type="dxa"/>
          </w:tcPr>
          <w:p w14:paraId="061CE42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2:11787137:A:T</w:t>
            </w:r>
          </w:p>
        </w:tc>
        <w:tc>
          <w:tcPr>
            <w:tcW w:w="1080" w:type="dxa"/>
          </w:tcPr>
          <w:p w14:paraId="1D68A88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5315CAAF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0.123</w:t>
            </w:r>
          </w:p>
        </w:tc>
        <w:tc>
          <w:tcPr>
            <w:tcW w:w="1080" w:type="dxa"/>
          </w:tcPr>
          <w:p w14:paraId="060D89A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0.0242</w:t>
            </w:r>
          </w:p>
        </w:tc>
        <w:tc>
          <w:tcPr>
            <w:tcW w:w="1080" w:type="dxa"/>
          </w:tcPr>
          <w:p w14:paraId="5066524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5.1</w:t>
            </w:r>
          </w:p>
        </w:tc>
        <w:tc>
          <w:tcPr>
            <w:tcW w:w="1080" w:type="dxa"/>
          </w:tcPr>
          <w:p w14:paraId="006EAD9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3105ED6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633CDDC1" w14:textId="77777777" w:rsidTr="00E17AEF">
        <w:tc>
          <w:tcPr>
            <w:tcW w:w="1080" w:type="dxa"/>
          </w:tcPr>
          <w:p w14:paraId="6DF21C6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NAGLU</w:t>
            </w:r>
          </w:p>
        </w:tc>
        <w:tc>
          <w:tcPr>
            <w:tcW w:w="1080" w:type="dxa"/>
          </w:tcPr>
          <w:p w14:paraId="7C37856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17:42538419:G:T</w:t>
            </w:r>
          </w:p>
        </w:tc>
        <w:tc>
          <w:tcPr>
            <w:tcW w:w="1080" w:type="dxa"/>
          </w:tcPr>
          <w:p w14:paraId="7905F4C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748C0B7F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0.118</w:t>
            </w:r>
          </w:p>
        </w:tc>
        <w:tc>
          <w:tcPr>
            <w:tcW w:w="1080" w:type="dxa"/>
          </w:tcPr>
          <w:p w14:paraId="3BA1F09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0.0176</w:t>
            </w:r>
          </w:p>
        </w:tc>
        <w:tc>
          <w:tcPr>
            <w:tcW w:w="1080" w:type="dxa"/>
          </w:tcPr>
          <w:p w14:paraId="4E968DA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6.7</w:t>
            </w:r>
          </w:p>
        </w:tc>
        <w:tc>
          <w:tcPr>
            <w:tcW w:w="1080" w:type="dxa"/>
          </w:tcPr>
          <w:p w14:paraId="00C5AC4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3A6F848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26B064BD" w14:textId="77777777" w:rsidTr="00E17AEF">
        <w:tc>
          <w:tcPr>
            <w:tcW w:w="1080" w:type="dxa"/>
          </w:tcPr>
          <w:p w14:paraId="311413D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HSD17B4</w:t>
            </w:r>
          </w:p>
        </w:tc>
        <w:tc>
          <w:tcPr>
            <w:tcW w:w="1080" w:type="dxa"/>
          </w:tcPr>
          <w:p w14:paraId="6A494FE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5:119471667:A:T</w:t>
            </w:r>
          </w:p>
        </w:tc>
        <w:tc>
          <w:tcPr>
            <w:tcW w:w="1080" w:type="dxa"/>
          </w:tcPr>
          <w:p w14:paraId="198B515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ClinVar_PLP</w:t>
            </w:r>
          </w:p>
        </w:tc>
        <w:tc>
          <w:tcPr>
            <w:tcW w:w="1080" w:type="dxa"/>
          </w:tcPr>
          <w:p w14:paraId="10BC838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0.113</w:t>
            </w:r>
          </w:p>
        </w:tc>
        <w:tc>
          <w:tcPr>
            <w:tcW w:w="1080" w:type="dxa"/>
          </w:tcPr>
          <w:p w14:paraId="2B0F5EE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0.0027</w:t>
            </w:r>
          </w:p>
        </w:tc>
        <w:tc>
          <w:tcPr>
            <w:tcW w:w="1080" w:type="dxa"/>
          </w:tcPr>
          <w:p w14:paraId="07B7F9D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41.6</w:t>
            </w:r>
          </w:p>
        </w:tc>
        <w:tc>
          <w:tcPr>
            <w:tcW w:w="1080" w:type="dxa"/>
          </w:tcPr>
          <w:p w14:paraId="37F7881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2E2D9B6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Uncertain (intronic on canonical)</w:t>
            </w:r>
          </w:p>
        </w:tc>
      </w:tr>
      <w:tr w:rsidR="008B4B6B" w14:paraId="04AF9A4D" w14:textId="77777777" w:rsidTr="00E17AEF">
        <w:tc>
          <w:tcPr>
            <w:tcW w:w="1080" w:type="dxa"/>
          </w:tcPr>
          <w:p w14:paraId="58156CB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PGAM2</w:t>
            </w:r>
          </w:p>
        </w:tc>
        <w:tc>
          <w:tcPr>
            <w:tcW w:w="1080" w:type="dxa"/>
          </w:tcPr>
          <w:p w14:paraId="48F8A25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7:44064849:A:G</w:t>
            </w:r>
          </w:p>
        </w:tc>
        <w:tc>
          <w:tcPr>
            <w:tcW w:w="1080" w:type="dxa"/>
          </w:tcPr>
          <w:p w14:paraId="0577BE3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5DCA089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0.107</w:t>
            </w:r>
          </w:p>
        </w:tc>
        <w:tc>
          <w:tcPr>
            <w:tcW w:w="1080" w:type="dxa"/>
          </w:tcPr>
          <w:p w14:paraId="2AB79DC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0.0023</w:t>
            </w:r>
          </w:p>
        </w:tc>
        <w:tc>
          <w:tcPr>
            <w:tcW w:w="1080" w:type="dxa"/>
          </w:tcPr>
          <w:p w14:paraId="612CEC3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45.8</w:t>
            </w:r>
          </w:p>
        </w:tc>
        <w:tc>
          <w:tcPr>
            <w:tcW w:w="1080" w:type="dxa"/>
          </w:tcPr>
          <w:p w14:paraId="136E6BF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</w:t>
            </w:r>
          </w:p>
        </w:tc>
        <w:tc>
          <w:tcPr>
            <w:tcW w:w="1080" w:type="dxa"/>
          </w:tcPr>
          <w:p w14:paraId="0E30E43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476A24F8" w14:textId="77777777" w:rsidTr="00E17AEF">
        <w:tc>
          <w:tcPr>
            <w:tcW w:w="1080" w:type="dxa"/>
          </w:tcPr>
          <w:p w14:paraId="5FBF35AA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FH</w:t>
            </w:r>
          </w:p>
        </w:tc>
        <w:tc>
          <w:tcPr>
            <w:tcW w:w="1080" w:type="dxa"/>
          </w:tcPr>
          <w:p w14:paraId="457AB5B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1:241504137:A:G</w:t>
            </w:r>
          </w:p>
        </w:tc>
        <w:tc>
          <w:tcPr>
            <w:tcW w:w="1080" w:type="dxa"/>
          </w:tcPr>
          <w:p w14:paraId="0F9A0A18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missense_damaging</w:t>
            </w:r>
          </w:p>
        </w:tc>
        <w:tc>
          <w:tcPr>
            <w:tcW w:w="1080" w:type="dxa"/>
          </w:tcPr>
          <w:p w14:paraId="238201A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0.159</w:t>
            </w:r>
          </w:p>
        </w:tc>
        <w:tc>
          <w:tcPr>
            <w:tcW w:w="1080" w:type="dxa"/>
          </w:tcPr>
          <w:p w14:paraId="4D87243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0.0714</w:t>
            </w:r>
          </w:p>
        </w:tc>
        <w:tc>
          <w:tcPr>
            <w:tcW w:w="1080" w:type="dxa"/>
          </w:tcPr>
          <w:p w14:paraId="548507B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2.2</w:t>
            </w:r>
          </w:p>
        </w:tc>
        <w:tc>
          <w:tcPr>
            <w:tcW w:w="1080" w:type="dxa"/>
          </w:tcPr>
          <w:p w14:paraId="0E85674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</w:t>
            </w:r>
          </w:p>
        </w:tc>
        <w:tc>
          <w:tcPr>
            <w:tcW w:w="1080" w:type="dxa"/>
          </w:tcPr>
          <w:p w14:paraId="2ED89F7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  <w:tr w:rsidR="008B4B6B" w14:paraId="21DD9803" w14:textId="77777777" w:rsidTr="00E17AEF">
        <w:tc>
          <w:tcPr>
            <w:tcW w:w="1080" w:type="dxa"/>
          </w:tcPr>
          <w:p w14:paraId="4E19134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DYM</w:t>
            </w:r>
          </w:p>
        </w:tc>
        <w:tc>
          <w:tcPr>
            <w:tcW w:w="1080" w:type="dxa"/>
          </w:tcPr>
          <w:p w14:paraId="3305C58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18:49209688:A:T</w:t>
            </w:r>
          </w:p>
        </w:tc>
        <w:tc>
          <w:tcPr>
            <w:tcW w:w="1080" w:type="dxa"/>
          </w:tcPr>
          <w:p w14:paraId="7F77254D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18DEFEB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0.143</w:t>
            </w:r>
          </w:p>
        </w:tc>
        <w:tc>
          <w:tcPr>
            <w:tcW w:w="1080" w:type="dxa"/>
          </w:tcPr>
          <w:p w14:paraId="3DDDD917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0.0498</w:t>
            </w:r>
          </w:p>
        </w:tc>
        <w:tc>
          <w:tcPr>
            <w:tcW w:w="1080" w:type="dxa"/>
          </w:tcPr>
          <w:p w14:paraId="02DE2CD0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2.9</w:t>
            </w:r>
          </w:p>
        </w:tc>
        <w:tc>
          <w:tcPr>
            <w:tcW w:w="1080" w:type="dxa"/>
          </w:tcPr>
          <w:p w14:paraId="2069D8CB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</w:t>
            </w:r>
          </w:p>
        </w:tc>
        <w:tc>
          <w:tcPr>
            <w:tcW w:w="1080" w:type="dxa"/>
          </w:tcPr>
          <w:p w14:paraId="17AEA431" w14:textId="77777777" w:rsidR="008B4B6B" w:rsidRDefault="00000000">
            <w:pPr>
              <w:rPr>
                <w:rFonts w:hint="eastAsia"/>
              </w:rPr>
            </w:pPr>
            <w:r>
              <w:t>Candidate (canonical LoF, SA-enriched); pending replication</w:t>
            </w:r>
          </w:p>
        </w:tc>
      </w:tr>
      <w:tr w:rsidR="008B4B6B" w14:paraId="22F2E282" w14:textId="77777777" w:rsidTr="00E17AEF">
        <w:tc>
          <w:tcPr>
            <w:tcW w:w="1080" w:type="dxa"/>
          </w:tcPr>
          <w:p w14:paraId="4D1D650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LDHA</w:t>
            </w:r>
          </w:p>
        </w:tc>
        <w:tc>
          <w:tcPr>
            <w:tcW w:w="1080" w:type="dxa"/>
          </w:tcPr>
          <w:p w14:paraId="7BB8E73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11:18396968:GGTAA:G</w:t>
            </w:r>
          </w:p>
        </w:tc>
        <w:tc>
          <w:tcPr>
            <w:tcW w:w="1080" w:type="dxa"/>
          </w:tcPr>
          <w:p w14:paraId="7F8B6C5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LoF_HC</w:t>
            </w:r>
          </w:p>
        </w:tc>
        <w:tc>
          <w:tcPr>
            <w:tcW w:w="1080" w:type="dxa"/>
          </w:tcPr>
          <w:p w14:paraId="22C74DF2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0.133</w:t>
            </w:r>
          </w:p>
        </w:tc>
        <w:tc>
          <w:tcPr>
            <w:tcW w:w="1080" w:type="dxa"/>
          </w:tcPr>
          <w:p w14:paraId="530613C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0.0624</w:t>
            </w:r>
          </w:p>
        </w:tc>
        <w:tc>
          <w:tcPr>
            <w:tcW w:w="1080" w:type="dxa"/>
          </w:tcPr>
          <w:p w14:paraId="2B30C0F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2.1</w:t>
            </w:r>
          </w:p>
        </w:tc>
        <w:tc>
          <w:tcPr>
            <w:tcW w:w="1080" w:type="dxa"/>
          </w:tcPr>
          <w:p w14:paraId="08675BC9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</w:t>
            </w:r>
          </w:p>
        </w:tc>
        <w:tc>
          <w:tcPr>
            <w:tcW w:w="1080" w:type="dxa"/>
          </w:tcPr>
          <w:p w14:paraId="0038ED4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Likely benign (globally common)</w:t>
            </w:r>
          </w:p>
        </w:tc>
      </w:tr>
      <w:tr w:rsidR="008B4B6B" w14:paraId="7B433C87" w14:textId="77777777" w:rsidTr="00E17AEF">
        <w:tc>
          <w:tcPr>
            <w:tcW w:w="1080" w:type="dxa"/>
          </w:tcPr>
          <w:p w14:paraId="5AE84D6C" w14:textId="77777777" w:rsidR="008B4B6B" w:rsidRDefault="00000000">
            <w:pPr>
              <w:rPr>
                <w:rFonts w:hint="eastAsia"/>
              </w:rPr>
            </w:pPr>
            <w:r>
              <w:rPr>
                <w:sz w:val="16"/>
              </w:rPr>
              <w:t>MMUT</w:t>
            </w:r>
          </w:p>
        </w:tc>
        <w:tc>
          <w:tcPr>
            <w:tcW w:w="1080" w:type="dxa"/>
          </w:tcPr>
          <w:p w14:paraId="1CEF194E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6:49451512:T:C</w:t>
            </w:r>
          </w:p>
        </w:tc>
        <w:tc>
          <w:tcPr>
            <w:tcW w:w="1080" w:type="dxa"/>
          </w:tcPr>
          <w:p w14:paraId="1BAA7C7C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ClinVar_PLP</w:t>
            </w:r>
          </w:p>
        </w:tc>
        <w:tc>
          <w:tcPr>
            <w:tcW w:w="1080" w:type="dxa"/>
          </w:tcPr>
          <w:p w14:paraId="76766EE5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0.123</w:t>
            </w:r>
          </w:p>
        </w:tc>
        <w:tc>
          <w:tcPr>
            <w:tcW w:w="1080" w:type="dxa"/>
          </w:tcPr>
          <w:p w14:paraId="38893CD4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0.0483</w:t>
            </w:r>
          </w:p>
        </w:tc>
        <w:tc>
          <w:tcPr>
            <w:tcW w:w="1080" w:type="dxa"/>
          </w:tcPr>
          <w:p w14:paraId="03EF71C1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2.5</w:t>
            </w:r>
          </w:p>
        </w:tc>
        <w:tc>
          <w:tcPr>
            <w:tcW w:w="1080" w:type="dxa"/>
          </w:tcPr>
          <w:p w14:paraId="13EB9956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3</w:t>
            </w:r>
          </w:p>
        </w:tc>
        <w:tc>
          <w:tcPr>
            <w:tcW w:w="1080" w:type="dxa"/>
          </w:tcPr>
          <w:p w14:paraId="50662FC3" w14:textId="77777777" w:rsidR="008B4B6B" w:rsidRDefault="00000000">
            <w:pPr>
              <w:rPr>
                <w:rFonts w:hint="eastAsia"/>
              </w:rPr>
            </w:pPr>
            <w:r>
              <w:rPr>
                <w:color w:val="1A1A1A"/>
                <w:sz w:val="16"/>
              </w:rPr>
              <w:t>–</w:t>
            </w:r>
          </w:p>
        </w:tc>
      </w:tr>
    </w:tbl>
    <w:p w14:paraId="5D760E70" w14:textId="77777777" w:rsidR="00371AAB" w:rsidRDefault="00371AAB"/>
    <w:sectPr w:rsidR="00371A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ogle San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723190">
    <w:abstractNumId w:val="8"/>
  </w:num>
  <w:num w:numId="2" w16cid:durableId="1860583180">
    <w:abstractNumId w:val="6"/>
  </w:num>
  <w:num w:numId="3" w16cid:durableId="930432843">
    <w:abstractNumId w:val="5"/>
  </w:num>
  <w:num w:numId="4" w16cid:durableId="704985603">
    <w:abstractNumId w:val="4"/>
  </w:num>
  <w:num w:numId="5" w16cid:durableId="1329944025">
    <w:abstractNumId w:val="7"/>
  </w:num>
  <w:num w:numId="6" w16cid:durableId="562831438">
    <w:abstractNumId w:val="3"/>
  </w:num>
  <w:num w:numId="7" w16cid:durableId="1868988047">
    <w:abstractNumId w:val="2"/>
  </w:num>
  <w:num w:numId="8" w16cid:durableId="1856335347">
    <w:abstractNumId w:val="1"/>
  </w:num>
  <w:num w:numId="9" w16cid:durableId="108287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241"/>
    <w:rsid w:val="0015074B"/>
    <w:rsid w:val="0029639D"/>
    <w:rsid w:val="00326F90"/>
    <w:rsid w:val="00371AAB"/>
    <w:rsid w:val="003C6A3F"/>
    <w:rsid w:val="008B4B6B"/>
    <w:rsid w:val="00AA1D8D"/>
    <w:rsid w:val="00AF53D1"/>
    <w:rsid w:val="00B47730"/>
    <w:rsid w:val="00CB0664"/>
    <w:rsid w:val="00E17AEF"/>
    <w:rsid w:val="00E979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EFA44F"/>
  <w14:defaultImageDpi w14:val="300"/>
  <w15:docId w15:val="{B9B46259-A1A4-4979-8866-B491860F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Atanu Dutta</cp:lastModifiedBy>
  <cp:revision>3</cp:revision>
  <dcterms:created xsi:type="dcterms:W3CDTF">2026-10-07T08:43:00Z</dcterms:created>
  <dcterms:modified xsi:type="dcterms:W3CDTF">2026-10-13T11:17:00Z</dcterms:modified>
  <cp:category/>
</cp:coreProperties>
</file>