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0B17BF" w14:textId="529ED177" w:rsidR="00D533F7" w:rsidRPr="00B878AB" w:rsidRDefault="000F7F93">
      <w:pPr>
        <w:rPr>
          <w:rFonts w:ascii="Times New Roman" w:hAnsi="Times New Roman" w:cs="Times New Roman"/>
          <w:sz w:val="24"/>
          <w:szCs w:val="24"/>
        </w:rPr>
      </w:pPr>
      <w:bookmarkStart w:id="0" w:name="_Hlk50055474"/>
      <w:r w:rsidRPr="00B878AB">
        <w:rPr>
          <w:rFonts w:ascii="Times New Roman" w:hAnsi="Times New Roman" w:cs="Times New Roman"/>
          <w:sz w:val="24"/>
          <w:szCs w:val="24"/>
        </w:rPr>
        <w:t>Additional</w:t>
      </w:r>
      <w:r w:rsidR="00C80D29" w:rsidRPr="00B878AB">
        <w:rPr>
          <w:rFonts w:ascii="Times New Roman" w:hAnsi="Times New Roman" w:cs="Times New Roman"/>
          <w:sz w:val="24"/>
          <w:szCs w:val="24"/>
        </w:rPr>
        <w:t xml:space="preserve"> File 1</w:t>
      </w:r>
      <w:r w:rsidR="00B878AB">
        <w:rPr>
          <w:rFonts w:ascii="Times New Roman" w:hAnsi="Times New Roman" w:cs="Times New Roman"/>
          <w:sz w:val="24"/>
          <w:szCs w:val="24"/>
        </w:rPr>
        <w:t>. qPCR targeting species-specific 18S rRNA</w:t>
      </w:r>
      <w:bookmarkEnd w:id="0"/>
      <w:r w:rsidR="00B878AB" w:rsidRPr="00B878AB">
        <w:rPr>
          <w:rFonts w:ascii="Times New Roman" w:hAnsi="Times New Roman" w:cs="Times New Roman"/>
          <w:sz w:val="24"/>
          <w:szCs w:val="24"/>
        </w:rPr>
        <w:t xml:space="preserve"> </w:t>
      </w:r>
    </w:p>
    <w:p w14:paraId="55578A87" w14:textId="5DE2AB44" w:rsidR="00C80D29" w:rsidRDefault="00C80D29">
      <w:r>
        <w:rPr>
          <w:rFonts w:ascii="Times New Roman" w:hAnsi="Times New Roman"/>
          <w:sz w:val="24"/>
          <w:szCs w:val="24"/>
        </w:rPr>
        <w:t xml:space="preserve">DNA were available in </w:t>
      </w:r>
      <w:r w:rsidR="0061115E">
        <w:rPr>
          <w:rFonts w:ascii="Times New Roman" w:hAnsi="Times New Roman"/>
          <w:sz w:val="24"/>
          <w:szCs w:val="24"/>
        </w:rPr>
        <w:t>84</w:t>
      </w:r>
      <w:r>
        <w:rPr>
          <w:rFonts w:ascii="Times New Roman" w:hAnsi="Times New Roman"/>
          <w:sz w:val="24"/>
          <w:szCs w:val="24"/>
        </w:rPr>
        <w:t xml:space="preserve"> of 10</w:t>
      </w:r>
      <w:r w:rsidR="0061115E">
        <w:rPr>
          <w:rFonts w:ascii="Times New Roman" w:hAnsi="Times New Roman"/>
          <w:sz w:val="24"/>
          <w:szCs w:val="24"/>
        </w:rPr>
        <w:t>2</w:t>
      </w:r>
      <w:r>
        <w:rPr>
          <w:rFonts w:ascii="Times New Roman" w:hAnsi="Times New Roman"/>
          <w:sz w:val="24"/>
          <w:szCs w:val="24"/>
        </w:rPr>
        <w:t xml:space="preserve"> </w:t>
      </w:r>
      <w:r w:rsidRPr="00D65753">
        <w:rPr>
          <w:rFonts w:ascii="Times New Roman" w:hAnsi="Times New Roman"/>
          <w:i/>
          <w:sz w:val="24"/>
          <w:szCs w:val="24"/>
        </w:rPr>
        <w:t>P. falciparum</w:t>
      </w:r>
      <w:r>
        <w:rPr>
          <w:rFonts w:ascii="Times New Roman" w:hAnsi="Times New Roman"/>
          <w:sz w:val="24"/>
          <w:szCs w:val="24"/>
        </w:rPr>
        <w:t xml:space="preserve"> and </w:t>
      </w:r>
      <w:r w:rsidR="0061115E">
        <w:rPr>
          <w:rFonts w:ascii="Times New Roman" w:hAnsi="Times New Roman"/>
          <w:sz w:val="24"/>
          <w:szCs w:val="24"/>
        </w:rPr>
        <w:t>203</w:t>
      </w:r>
      <w:r>
        <w:rPr>
          <w:rFonts w:ascii="Times New Roman" w:hAnsi="Times New Roman"/>
          <w:sz w:val="24"/>
          <w:szCs w:val="24"/>
        </w:rPr>
        <w:t xml:space="preserve"> of </w:t>
      </w:r>
      <w:r w:rsidR="0061115E">
        <w:rPr>
          <w:rFonts w:ascii="Times New Roman" w:hAnsi="Times New Roman"/>
          <w:sz w:val="24"/>
          <w:szCs w:val="24"/>
        </w:rPr>
        <w:t>246</w:t>
      </w:r>
      <w:r>
        <w:rPr>
          <w:rFonts w:ascii="Times New Roman" w:hAnsi="Times New Roman"/>
          <w:sz w:val="24"/>
          <w:szCs w:val="24"/>
        </w:rPr>
        <w:t xml:space="preserve"> </w:t>
      </w:r>
      <w:r w:rsidRPr="00D65753">
        <w:rPr>
          <w:rFonts w:ascii="Times New Roman" w:hAnsi="Times New Roman"/>
          <w:i/>
          <w:sz w:val="24"/>
          <w:szCs w:val="24"/>
        </w:rPr>
        <w:t>P. vivax</w:t>
      </w:r>
      <w:r>
        <w:rPr>
          <w:rFonts w:ascii="Times New Roman" w:hAnsi="Times New Roman"/>
          <w:sz w:val="24"/>
          <w:szCs w:val="24"/>
        </w:rPr>
        <w:t xml:space="preserve"> </w:t>
      </w:r>
      <w:r w:rsidR="0061115E">
        <w:rPr>
          <w:rFonts w:ascii="Times New Roman" w:hAnsi="Times New Roman"/>
          <w:sz w:val="24"/>
          <w:szCs w:val="24"/>
        </w:rPr>
        <w:t xml:space="preserve">selected </w:t>
      </w:r>
      <w:r>
        <w:rPr>
          <w:rFonts w:ascii="Times New Roman" w:hAnsi="Times New Roman"/>
          <w:sz w:val="24"/>
          <w:szCs w:val="24"/>
        </w:rPr>
        <w:t xml:space="preserve">samples. These samples underwent SYBR Green-based qPCR targeting </w:t>
      </w:r>
      <w:proofErr w:type="spellStart"/>
      <w:r>
        <w:rPr>
          <w:rFonts w:ascii="Times New Roman" w:hAnsi="Times New Roman"/>
          <w:sz w:val="24"/>
          <w:szCs w:val="24"/>
        </w:rPr>
        <w:t>Pf</w:t>
      </w:r>
      <w:proofErr w:type="spellEnd"/>
      <w:r>
        <w:rPr>
          <w:rFonts w:ascii="Times New Roman" w:hAnsi="Times New Roman"/>
          <w:sz w:val="24"/>
          <w:szCs w:val="24"/>
        </w:rPr>
        <w:t xml:space="preserve">- and </w:t>
      </w:r>
      <w:proofErr w:type="spellStart"/>
      <w:r>
        <w:rPr>
          <w:rFonts w:ascii="Times New Roman" w:hAnsi="Times New Roman"/>
          <w:sz w:val="24"/>
          <w:szCs w:val="24"/>
        </w:rPr>
        <w:t>Pv</w:t>
      </w:r>
      <w:proofErr w:type="spellEnd"/>
      <w:r>
        <w:rPr>
          <w:rFonts w:ascii="Times New Roman" w:hAnsi="Times New Roman"/>
          <w:sz w:val="24"/>
          <w:szCs w:val="24"/>
        </w:rPr>
        <w:t xml:space="preserve">- specific 18S ribosomal unit gene, modified from </w:t>
      </w:r>
      <w:proofErr w:type="spellStart"/>
      <w:r>
        <w:rPr>
          <w:rFonts w:ascii="Times New Roman" w:hAnsi="Times New Roman"/>
          <w:sz w:val="24"/>
          <w:szCs w:val="24"/>
        </w:rPr>
        <w:t>Rosanas</w:t>
      </w:r>
      <w:proofErr w:type="spellEnd"/>
      <w:r>
        <w:rPr>
          <w:rFonts w:ascii="Times New Roman" w:hAnsi="Times New Roman"/>
          <w:sz w:val="24"/>
          <w:szCs w:val="24"/>
        </w:rPr>
        <w:t xml:space="preserve"> et al </w:t>
      </w:r>
      <w:r>
        <w:rPr>
          <w:rFonts w:ascii="Times New Roman" w:hAnsi="Times New Roman"/>
          <w:sz w:val="24"/>
          <w:szCs w:val="24"/>
        </w:rPr>
        <w:fldChar w:fldCharType="begin" w:fldLock="1"/>
      </w:r>
      <w:r>
        <w:rPr>
          <w:rFonts w:ascii="Times New Roman" w:hAnsi="Times New Roman"/>
          <w:sz w:val="24"/>
          <w:szCs w:val="24"/>
        </w:rPr>
        <w:instrText>ADDIN CSL_CITATION {"citationItems":[{"id":"ITEM-1","itemData":{"DOI":"10.1186/1475-2875-9-361","ISSN":"1475-2875","abstract":"BACKGROUND: Accurate diagnosis of Plasmodium infections is essential for malaria morbidity and mortality reduction in tropical areas. Despite great advantages of light microscopy (LM) for malaria diagnosis, its limited sensitivity is a critical shortfall for epidemiological studies. Robust molecular diagnostics tools are thus needed. METHODS: The present study describes the development of a duplex quantitative real time PCR (qPCR) assay, which specifically detects and quantifies the four human Plasmodium species. Performance of this method was compared to PCR-ligase detection reaction-fluorescent microsphere assay (PCR_LDR_FMA), nested PCR (nPCR) and LM, using field samples collected from 452 children one to five years of age from the Sepik area in Papua New Guinea. Agreement between diagnostic methods was calcualted using kappa statistics. RESULTS: The agreement of qPCR with other molecular diagnostic methods was substantial for the detection of P. falciparum, but was moderate for the detection of P. vivax, P. malariae and P. ovale. P. falciparum and P. vivax prevalence by qPCR was 40.9% and 65.7% respectively. This compares to 43.8% and 73.2% by nPCR and 47.1% and 67.5% by PCR_LDR_FMA. P. malariae and P. ovale prevalence was 4.7% and 7.3% by qPCR, 3.3% and 3.8% by nPCR, and 7.7% and 4.4% by PCR_LDR_FMA. Prevalence by LM was lower for all four species, being 25.4% for P. falciparum, 54.9% for P. vivax, 2.4% for P. malariae and 0.0% for P. ovale. The quantification by qPCR closely correlated with microscopic quantification for P. falciparum and P. vivax samples (R2 = 0.825 and R2 = 0.505, respectively). The low prevalence of P. malariae and P. ovale did not permit a solid comparative analysis of quantification for these species. CONCLUSIONS: The qPCR assay developed proved optimal for detection of all four Plasmodium species. Densities by LM were well reflected in quantification results by qPCR, whereby congruence was better for P. falciparum than for P. vivax. This likely is a consequence of the generally lower P. vivax densities. Easy performance of the qPCR assay, a less laborious workflow and reduced risk of contamination, together with reduced costs per sample through reduced reaction volume, opens the possibility to implement qPCR in endemic settings as a suitable diagnostic tool for large epidemiological studies.","author":[{"dropping-particle":"","family":"Rosanas-Urgell","given":"Anna","non-dropping-particle":"","parse-names":false,"suffix":""},{"dropping-particle":"","family":"Mueller","given":"Dania","non-dropping-particle":"","parse-names":false,"suffix":""},{"dropping-particle":"","family":"Betuela","given":"Inoni","non-dropping-particle":"","parse-names":false,"suffix":""},{"dropping-particle":"","family":"Barnadas","given":"Céline","non-dropping-particle":"","parse-names":false,"suffix":""},{"dropping-particle":"","family":"Iga","given":"Jonah","non-dropping-particle":"","parse-names":false,"suffix":""},{"dropping-particle":"","family":"Zimmerman","given":"Peter A","non-dropping-particle":"","parse-names":false,"suffix":""},{"dropping-particle":"","family":"Portillo","given":"Hernando A","non-dropping-particle":"del","parse-names":false,"suffix":""},{"dropping-particle":"","family":"Siba","given":"Peter","non-dropping-particle":"","parse-names":false,"suffix":""},{"dropping-particle":"","family":"Mueller","given":"Ivo","non-dropping-particle":"","parse-names":false,"suffix":""},{"dropping-particle":"","family":"Felger","given":"Ingrid","non-dropping-particle":"","parse-names":false,"suffix":""}],"container-title":"Malaria journal","id":"ITEM-1","issued":{"date-parts":[["2010","12","14"]]},"language":"eng","page":"361","publisher":"BioMed Central","title":"Comparison of diagnostic methods for the detection and quantification of the four sympatric Plasmodium species in field samples from Papua New Guinea","type":"article-journal","volume":"9"},"uris":["http://www.mendeley.com/documents/?uuid=c536ea8b-90fe-41e6-a290-eb79fc4c4f98"]}],"mendeley":{"formattedCitation":"(33)","plainTextFormattedCitation":"(33)","previouslyFormattedCitation":"(33)"},"properties":{"noteIndex":0},"schema":"https://github.com/citation-style-language/schema/raw/master/csl-citation.json"}</w:instrText>
      </w:r>
      <w:r>
        <w:rPr>
          <w:rFonts w:ascii="Times New Roman" w:hAnsi="Times New Roman"/>
          <w:sz w:val="24"/>
          <w:szCs w:val="24"/>
        </w:rPr>
        <w:fldChar w:fldCharType="separate"/>
      </w:r>
      <w:r w:rsidRPr="00913F9E">
        <w:rPr>
          <w:rFonts w:ascii="Times New Roman" w:hAnsi="Times New Roman"/>
          <w:noProof/>
          <w:sz w:val="24"/>
          <w:szCs w:val="24"/>
        </w:rPr>
        <w:t>(33)</w:t>
      </w:r>
      <w:r>
        <w:rPr>
          <w:rFonts w:ascii="Times New Roman" w:hAnsi="Times New Roman"/>
          <w:sz w:val="24"/>
          <w:szCs w:val="24"/>
        </w:rPr>
        <w:fldChar w:fldCharType="end"/>
      </w:r>
      <w:r>
        <w:rPr>
          <w:rFonts w:ascii="Times New Roman" w:hAnsi="Times New Roman"/>
          <w:sz w:val="24"/>
          <w:szCs w:val="24"/>
        </w:rPr>
        <w:t xml:space="preserve">. </w:t>
      </w:r>
      <w:r w:rsidRPr="002E680A">
        <w:rPr>
          <w:rFonts w:ascii="Times New Roman" w:hAnsi="Times New Roman"/>
          <w:sz w:val="24"/>
          <w:szCs w:val="24"/>
          <w:lang w:val="en-AU"/>
        </w:rPr>
        <w:t>Primer sequences for</w:t>
      </w:r>
      <w:r w:rsidRPr="002E680A">
        <w:rPr>
          <w:rFonts w:ascii="Times New Roman" w:hAnsi="Times New Roman"/>
          <w:sz w:val="24"/>
          <w:szCs w:val="24"/>
        </w:rPr>
        <w:t xml:space="preserve"> </w:t>
      </w:r>
      <w:r w:rsidRPr="008E31F4">
        <w:rPr>
          <w:rFonts w:ascii="Times New Roman" w:hAnsi="Times New Roman"/>
          <w:i/>
          <w:sz w:val="24"/>
          <w:szCs w:val="24"/>
        </w:rPr>
        <w:t>P. falciparum</w:t>
      </w:r>
      <w:r w:rsidRPr="002E680A">
        <w:rPr>
          <w:rFonts w:ascii="Times New Roman" w:hAnsi="Times New Roman"/>
          <w:sz w:val="24"/>
          <w:szCs w:val="24"/>
        </w:rPr>
        <w:t xml:space="preserve"> were: </w:t>
      </w:r>
      <w:r w:rsidRPr="002E680A">
        <w:rPr>
          <w:rFonts w:ascii="Times New Roman" w:hAnsi="Times New Roman" w:cs="Times New Roman"/>
          <w:sz w:val="24"/>
          <w:szCs w:val="28"/>
        </w:rPr>
        <w:t>5’-</w:t>
      </w:r>
      <w:r w:rsidRPr="008E31F4">
        <w:rPr>
          <w:rFonts w:ascii="Times New Roman" w:hAnsi="Times New Roman" w:cs="Times New Roman"/>
          <w:color w:val="000000"/>
          <w:sz w:val="24"/>
          <w:szCs w:val="28"/>
        </w:rPr>
        <w:t>TAT</w:t>
      </w:r>
      <w:r>
        <w:rPr>
          <w:rFonts w:ascii="Times New Roman" w:hAnsi="Times New Roman" w:cs="Times New Roman"/>
          <w:color w:val="000000"/>
          <w:sz w:val="24"/>
          <w:szCs w:val="28"/>
        </w:rPr>
        <w:t xml:space="preserve"> </w:t>
      </w:r>
      <w:r w:rsidRPr="008E31F4">
        <w:rPr>
          <w:rFonts w:ascii="Times New Roman" w:hAnsi="Times New Roman" w:cs="Times New Roman"/>
          <w:color w:val="000000"/>
          <w:sz w:val="24"/>
          <w:szCs w:val="28"/>
        </w:rPr>
        <w:t>TGC</w:t>
      </w:r>
      <w:r>
        <w:rPr>
          <w:rFonts w:ascii="Times New Roman" w:hAnsi="Times New Roman" w:cs="Times New Roman"/>
          <w:color w:val="000000"/>
          <w:sz w:val="24"/>
          <w:szCs w:val="28"/>
        </w:rPr>
        <w:t xml:space="preserve"> </w:t>
      </w:r>
      <w:r w:rsidRPr="008E31F4">
        <w:rPr>
          <w:rFonts w:ascii="Times New Roman" w:hAnsi="Times New Roman" w:cs="Times New Roman"/>
          <w:color w:val="000000"/>
          <w:sz w:val="24"/>
          <w:szCs w:val="28"/>
        </w:rPr>
        <w:t>TTT</w:t>
      </w:r>
      <w:r>
        <w:rPr>
          <w:rFonts w:ascii="Times New Roman" w:hAnsi="Times New Roman" w:cs="Times New Roman"/>
          <w:color w:val="000000"/>
          <w:sz w:val="24"/>
          <w:szCs w:val="28"/>
        </w:rPr>
        <w:t xml:space="preserve"> </w:t>
      </w:r>
      <w:r w:rsidRPr="008E31F4">
        <w:rPr>
          <w:rFonts w:ascii="Times New Roman" w:hAnsi="Times New Roman" w:cs="Times New Roman"/>
          <w:color w:val="000000"/>
          <w:sz w:val="24"/>
          <w:szCs w:val="28"/>
        </w:rPr>
        <w:t>TGA</w:t>
      </w:r>
      <w:r>
        <w:rPr>
          <w:rFonts w:ascii="Times New Roman" w:hAnsi="Times New Roman" w:cs="Times New Roman"/>
          <w:color w:val="000000"/>
          <w:sz w:val="24"/>
          <w:szCs w:val="28"/>
        </w:rPr>
        <w:t xml:space="preserve"> </w:t>
      </w:r>
      <w:r w:rsidRPr="008E31F4">
        <w:rPr>
          <w:rFonts w:ascii="Times New Roman" w:hAnsi="Times New Roman" w:cs="Times New Roman"/>
          <w:color w:val="000000"/>
          <w:sz w:val="24"/>
          <w:szCs w:val="28"/>
        </w:rPr>
        <w:t>GAG</w:t>
      </w:r>
      <w:r>
        <w:rPr>
          <w:rFonts w:ascii="Times New Roman" w:hAnsi="Times New Roman" w:cs="Times New Roman"/>
          <w:color w:val="000000"/>
          <w:sz w:val="24"/>
          <w:szCs w:val="28"/>
        </w:rPr>
        <w:t xml:space="preserve"> </w:t>
      </w:r>
      <w:r w:rsidRPr="008E31F4">
        <w:rPr>
          <w:rFonts w:ascii="Times New Roman" w:hAnsi="Times New Roman" w:cs="Times New Roman"/>
          <w:color w:val="000000"/>
          <w:sz w:val="24"/>
          <w:szCs w:val="28"/>
        </w:rPr>
        <w:t>GTT</w:t>
      </w:r>
      <w:r>
        <w:rPr>
          <w:rFonts w:ascii="Times New Roman" w:hAnsi="Times New Roman" w:cs="Times New Roman"/>
          <w:color w:val="000000"/>
          <w:sz w:val="24"/>
          <w:szCs w:val="28"/>
        </w:rPr>
        <w:t xml:space="preserve"> </w:t>
      </w:r>
      <w:r w:rsidRPr="008E31F4">
        <w:rPr>
          <w:rFonts w:ascii="Times New Roman" w:hAnsi="Times New Roman" w:cs="Times New Roman"/>
          <w:color w:val="000000"/>
          <w:sz w:val="24"/>
          <w:szCs w:val="28"/>
        </w:rPr>
        <w:t>TTG</w:t>
      </w:r>
      <w:r>
        <w:rPr>
          <w:rFonts w:ascii="Times New Roman" w:hAnsi="Times New Roman" w:cs="Times New Roman"/>
          <w:color w:val="000000"/>
          <w:sz w:val="24"/>
          <w:szCs w:val="28"/>
        </w:rPr>
        <w:t xml:space="preserve"> </w:t>
      </w:r>
      <w:r w:rsidRPr="008E31F4">
        <w:rPr>
          <w:rFonts w:ascii="Times New Roman" w:hAnsi="Times New Roman" w:cs="Times New Roman"/>
          <w:color w:val="000000"/>
          <w:sz w:val="24"/>
          <w:szCs w:val="28"/>
        </w:rPr>
        <w:t>TTA</w:t>
      </w:r>
      <w:r>
        <w:rPr>
          <w:rFonts w:ascii="Times New Roman" w:hAnsi="Times New Roman" w:cs="Times New Roman"/>
          <w:color w:val="000000"/>
          <w:sz w:val="24"/>
          <w:szCs w:val="28"/>
        </w:rPr>
        <w:t xml:space="preserve"> </w:t>
      </w:r>
      <w:r w:rsidRPr="008E31F4">
        <w:rPr>
          <w:rFonts w:ascii="Times New Roman" w:hAnsi="Times New Roman" w:cs="Times New Roman"/>
          <w:color w:val="000000"/>
          <w:sz w:val="24"/>
          <w:szCs w:val="28"/>
        </w:rPr>
        <w:t>CTT</w:t>
      </w:r>
      <w:r>
        <w:rPr>
          <w:rFonts w:ascii="Times New Roman" w:hAnsi="Times New Roman" w:cs="Times New Roman"/>
          <w:color w:val="000000"/>
          <w:sz w:val="24"/>
          <w:szCs w:val="28"/>
        </w:rPr>
        <w:t xml:space="preserve"> </w:t>
      </w:r>
      <w:r w:rsidRPr="008E31F4">
        <w:rPr>
          <w:rFonts w:ascii="Times New Roman" w:hAnsi="Times New Roman" w:cs="Times New Roman"/>
          <w:color w:val="000000"/>
          <w:sz w:val="24"/>
          <w:szCs w:val="28"/>
        </w:rPr>
        <w:t>TG</w:t>
      </w:r>
      <w:r w:rsidRPr="002E680A">
        <w:rPr>
          <w:rFonts w:ascii="Times New Roman" w:hAnsi="Times New Roman" w:cs="Times New Roman"/>
          <w:sz w:val="24"/>
          <w:szCs w:val="28"/>
        </w:rPr>
        <w:t>-3’ for forward, and 5’-</w:t>
      </w:r>
      <w:r w:rsidRPr="008E31F4">
        <w:rPr>
          <w:rFonts w:ascii="Times New Roman" w:hAnsi="Times New Roman" w:cs="Times New Roman"/>
          <w:color w:val="000000"/>
          <w:sz w:val="24"/>
          <w:szCs w:val="28"/>
        </w:rPr>
        <w:t xml:space="preserve"> ACC</w:t>
      </w:r>
      <w:r>
        <w:rPr>
          <w:rFonts w:ascii="Times New Roman" w:hAnsi="Times New Roman" w:cs="Times New Roman"/>
          <w:color w:val="000000"/>
          <w:sz w:val="24"/>
          <w:szCs w:val="28"/>
        </w:rPr>
        <w:t xml:space="preserve"> </w:t>
      </w:r>
      <w:r w:rsidRPr="008E31F4">
        <w:rPr>
          <w:rFonts w:ascii="Times New Roman" w:hAnsi="Times New Roman" w:cs="Times New Roman"/>
          <w:color w:val="000000"/>
          <w:sz w:val="24"/>
          <w:szCs w:val="28"/>
        </w:rPr>
        <w:t>TCT</w:t>
      </w:r>
      <w:r>
        <w:rPr>
          <w:rFonts w:ascii="Times New Roman" w:hAnsi="Times New Roman" w:cs="Times New Roman"/>
          <w:color w:val="000000"/>
          <w:sz w:val="24"/>
          <w:szCs w:val="28"/>
        </w:rPr>
        <w:t xml:space="preserve"> </w:t>
      </w:r>
      <w:r w:rsidRPr="008E31F4">
        <w:rPr>
          <w:rFonts w:ascii="Times New Roman" w:hAnsi="Times New Roman" w:cs="Times New Roman"/>
          <w:color w:val="000000"/>
          <w:sz w:val="24"/>
          <w:szCs w:val="28"/>
        </w:rPr>
        <w:t>GAC</w:t>
      </w:r>
      <w:r>
        <w:rPr>
          <w:rFonts w:ascii="Times New Roman" w:hAnsi="Times New Roman" w:cs="Times New Roman"/>
          <w:color w:val="000000"/>
          <w:sz w:val="24"/>
          <w:szCs w:val="28"/>
        </w:rPr>
        <w:t xml:space="preserve"> </w:t>
      </w:r>
      <w:r w:rsidRPr="008E31F4">
        <w:rPr>
          <w:rFonts w:ascii="Times New Roman" w:hAnsi="Times New Roman" w:cs="Times New Roman"/>
          <w:color w:val="000000"/>
          <w:sz w:val="24"/>
          <w:szCs w:val="28"/>
        </w:rPr>
        <w:t>ATC</w:t>
      </w:r>
      <w:r>
        <w:rPr>
          <w:rFonts w:ascii="Times New Roman" w:hAnsi="Times New Roman" w:cs="Times New Roman"/>
          <w:color w:val="000000"/>
          <w:sz w:val="24"/>
          <w:szCs w:val="28"/>
        </w:rPr>
        <w:t xml:space="preserve"> </w:t>
      </w:r>
      <w:r w:rsidRPr="008E31F4">
        <w:rPr>
          <w:rFonts w:ascii="Times New Roman" w:hAnsi="Times New Roman" w:cs="Times New Roman"/>
          <w:color w:val="000000"/>
          <w:sz w:val="24"/>
          <w:szCs w:val="28"/>
        </w:rPr>
        <w:t>TGA</w:t>
      </w:r>
      <w:r>
        <w:rPr>
          <w:rFonts w:ascii="Times New Roman" w:hAnsi="Times New Roman" w:cs="Times New Roman"/>
          <w:color w:val="000000"/>
          <w:sz w:val="24"/>
          <w:szCs w:val="28"/>
        </w:rPr>
        <w:t xml:space="preserve"> </w:t>
      </w:r>
      <w:r w:rsidRPr="008E31F4">
        <w:rPr>
          <w:rFonts w:ascii="Times New Roman" w:hAnsi="Times New Roman" w:cs="Times New Roman"/>
          <w:color w:val="000000"/>
          <w:sz w:val="24"/>
          <w:szCs w:val="28"/>
        </w:rPr>
        <w:t>ATA</w:t>
      </w:r>
      <w:r>
        <w:rPr>
          <w:rFonts w:ascii="Times New Roman" w:hAnsi="Times New Roman" w:cs="Times New Roman"/>
          <w:color w:val="000000"/>
          <w:sz w:val="24"/>
          <w:szCs w:val="28"/>
        </w:rPr>
        <w:t xml:space="preserve"> </w:t>
      </w:r>
      <w:r w:rsidRPr="008E31F4">
        <w:rPr>
          <w:rFonts w:ascii="Times New Roman" w:hAnsi="Times New Roman" w:cs="Times New Roman"/>
          <w:color w:val="000000"/>
          <w:sz w:val="24"/>
          <w:szCs w:val="28"/>
        </w:rPr>
        <w:t>CGA</w:t>
      </w:r>
      <w:r>
        <w:rPr>
          <w:rFonts w:ascii="Times New Roman" w:hAnsi="Times New Roman" w:cs="Times New Roman"/>
          <w:color w:val="000000"/>
          <w:sz w:val="24"/>
          <w:szCs w:val="28"/>
        </w:rPr>
        <w:t xml:space="preserve"> </w:t>
      </w:r>
      <w:r w:rsidRPr="008E31F4">
        <w:rPr>
          <w:rFonts w:ascii="Times New Roman" w:hAnsi="Times New Roman" w:cs="Times New Roman"/>
          <w:color w:val="000000"/>
          <w:sz w:val="24"/>
          <w:szCs w:val="28"/>
        </w:rPr>
        <w:t>ATG</w:t>
      </w:r>
      <w:r>
        <w:rPr>
          <w:rFonts w:ascii="Times New Roman" w:hAnsi="Times New Roman" w:cs="Times New Roman"/>
          <w:color w:val="000000"/>
          <w:sz w:val="24"/>
          <w:szCs w:val="28"/>
        </w:rPr>
        <w:t xml:space="preserve"> </w:t>
      </w:r>
      <w:r w:rsidRPr="008E31F4">
        <w:rPr>
          <w:rFonts w:ascii="Times New Roman" w:hAnsi="Times New Roman" w:cs="Times New Roman"/>
          <w:color w:val="000000"/>
          <w:sz w:val="24"/>
          <w:szCs w:val="28"/>
        </w:rPr>
        <w:t xml:space="preserve">C-3’ </w:t>
      </w:r>
      <w:r w:rsidRPr="002E680A">
        <w:rPr>
          <w:rFonts w:ascii="Times New Roman" w:hAnsi="Times New Roman" w:cs="Times New Roman"/>
          <w:sz w:val="24"/>
          <w:szCs w:val="28"/>
        </w:rPr>
        <w:t xml:space="preserve">for reverse primer </w:t>
      </w:r>
      <w:r w:rsidRPr="002E680A">
        <w:rPr>
          <w:rFonts w:ascii="Times New Roman" w:hAnsi="Times New Roman" w:cs="Times New Roman"/>
          <w:sz w:val="24"/>
          <w:szCs w:val="28"/>
        </w:rPr>
        <w:fldChar w:fldCharType="begin" w:fldLock="1"/>
      </w:r>
      <w:r>
        <w:rPr>
          <w:rFonts w:ascii="Times New Roman" w:hAnsi="Times New Roman" w:cs="Times New Roman"/>
          <w:sz w:val="24"/>
          <w:szCs w:val="28"/>
        </w:rPr>
        <w:instrText>ADDIN CSL_CITATION {"citationItems":[{"id":"ITEM-1","itemData":{"DOI":"10.1186/1475-2875-9-361","ISSN":"1475-2875","abstract":"BACKGROUND: Accurate diagnosis of Plasmodium infections is essential for malaria morbidity and mortality reduction in tropical areas. Despite great advantages of light microscopy (LM) for malaria diagnosis, its limited sensitivity is a critical shortfall for epidemiological studies. Robust molecular diagnostics tools are thus needed. METHODS: The present study describes the development of a duplex quantitative real time PCR (qPCR) assay, which specifically detects and quantifies the four human Plasmodium species. Performance of this method was compared to PCR-ligase detection reaction-fluorescent microsphere assay (PCR_LDR_FMA), nested PCR (nPCR) and LM, using field samples collected from 452 children one to five years of age from the Sepik area in Papua New Guinea. Agreement between diagnostic methods was calcualted using kappa statistics. RESULTS: The agreement of qPCR with other molecular diagnostic methods was substantial for the detection of P. falciparum, but was moderate for the detection of P. vivax, P. malariae and P. ovale. P. falciparum and P. vivax prevalence by qPCR was 40.9% and 65.7% respectively. This compares to 43.8% and 73.2% by nPCR and 47.1% and 67.5% by PCR_LDR_FMA. P. malariae and P. ovale prevalence was 4.7% and 7.3% by qPCR, 3.3% and 3.8% by nPCR, and 7.7% and 4.4% by PCR_LDR_FMA. Prevalence by LM was lower for all four species, being 25.4% for P. falciparum, 54.9% for P. vivax, 2.4% for P. malariae and 0.0% for P. ovale. The quantification by qPCR closely correlated with microscopic quantification for P. falciparum and P. vivax samples (R2 = 0.825 and R2 = 0.505, respectively). The low prevalence of P. malariae and P. ovale did not permit a solid comparative analysis of quantification for these species. CONCLUSIONS: The qPCR assay developed proved optimal for detection of all four Plasmodium species. Densities by LM were well reflected in quantification results by qPCR, whereby congruence was better for P. falciparum than for P. vivax. This likely is a consequence of the generally lower P. vivax densities. Easy performance of the qPCR assay, a less laborious workflow and reduced risk of contamination, together with reduced costs per sample through reduced reaction volume, opens the possibility to implement qPCR in endemic settings as a suitable diagnostic tool for large epidemiological studies.","author":[{"dropping-particle":"","family":"Rosanas-Urgell","given":"Anna","non-dropping-particle":"","parse-names":false,"suffix":""},{"dropping-particle":"","family":"Mueller","given":"Dania","non-dropping-particle":"","parse-names":false,"suffix":""},{"dropping-particle":"","family":"Betuela","given":"Inoni","non-dropping-particle":"","parse-names":false,"suffix":""},{"dropping-particle":"","family":"Barnadas","given":"Céline","non-dropping-particle":"","parse-names":false,"suffix":""},{"dropping-particle":"","family":"Iga","given":"Jonah","non-dropping-particle":"","parse-names":false,"suffix":""},{"dropping-particle":"","family":"Zimmerman","given":"Peter A","non-dropping-particle":"","parse-names":false,"suffix":""},{"dropping-particle":"","family":"Portillo","given":"Hernando A","non-dropping-particle":"del","parse-names":false,"suffix":""},{"dropping-particle":"","family":"Siba","given":"Peter","non-dropping-particle":"","parse-names":false,"suffix":""},{"dropping-particle":"","family":"Mueller","given":"Ivo","non-dropping-particle":"","parse-names":false,"suffix":""},{"dropping-particle":"","family":"Felger","given":"Ingrid","non-dropping-particle":"","parse-names":false,"suffix":""}],"container-title":"Malaria journal","id":"ITEM-1","issued":{"date-parts":[["2010","12","14"]]},"language":"eng","page":"361","publisher":"BioMed Central","title":"Comparison of diagnostic methods for the detection and quantification of the four sympatric Plasmodium species in field samples from Papua New Guinea","type":"article-journal","volume":"9"},"uris":["http://www.mendeley.com/documents/?uuid=c536ea8b-90fe-41e6-a290-eb79fc4c4f98"]}],"mendeley":{"formattedCitation":"(33)","plainTextFormattedCitation":"(33)","previouslyFormattedCitation":"(33)"},"properties":{"noteIndex":0},"schema":"https://github.com/citation-style-language/schema/raw/master/csl-citation.json"}</w:instrText>
      </w:r>
      <w:r w:rsidRPr="002E680A">
        <w:rPr>
          <w:rFonts w:ascii="Times New Roman" w:hAnsi="Times New Roman" w:cs="Times New Roman"/>
          <w:sz w:val="24"/>
          <w:szCs w:val="28"/>
        </w:rPr>
        <w:fldChar w:fldCharType="separate"/>
      </w:r>
      <w:r w:rsidRPr="00913F9E">
        <w:rPr>
          <w:rFonts w:ascii="Times New Roman" w:hAnsi="Times New Roman" w:cs="Times New Roman"/>
          <w:noProof/>
          <w:sz w:val="24"/>
          <w:szCs w:val="28"/>
        </w:rPr>
        <w:t>(33)</w:t>
      </w:r>
      <w:r w:rsidRPr="002E680A">
        <w:rPr>
          <w:rFonts w:ascii="Times New Roman" w:hAnsi="Times New Roman" w:cs="Times New Roman"/>
          <w:sz w:val="24"/>
          <w:szCs w:val="28"/>
        </w:rPr>
        <w:fldChar w:fldCharType="end"/>
      </w:r>
      <w:r w:rsidRPr="002E680A">
        <w:rPr>
          <w:rFonts w:ascii="Times New Roman" w:hAnsi="Times New Roman" w:cs="Times New Roman"/>
          <w:sz w:val="24"/>
          <w:szCs w:val="28"/>
        </w:rPr>
        <w:t>. As for</w:t>
      </w:r>
      <w:r w:rsidRPr="008E31F4">
        <w:rPr>
          <w:rFonts w:ascii="Times New Roman" w:hAnsi="Times New Roman" w:cs="Times New Roman"/>
          <w:i/>
          <w:sz w:val="24"/>
          <w:szCs w:val="28"/>
        </w:rPr>
        <w:t xml:space="preserve"> P. vivax</w:t>
      </w:r>
      <w:r w:rsidRPr="002E680A">
        <w:rPr>
          <w:rFonts w:ascii="Times New Roman" w:hAnsi="Times New Roman" w:cs="Times New Roman"/>
          <w:sz w:val="24"/>
          <w:szCs w:val="28"/>
        </w:rPr>
        <w:t>, the primer sequences were: 5’-</w:t>
      </w:r>
      <w:r w:rsidRPr="008E31F4">
        <w:rPr>
          <w:rFonts w:ascii="Times New Roman" w:hAnsi="Times New Roman" w:cs="Times New Roman"/>
          <w:color w:val="000000"/>
          <w:sz w:val="24"/>
          <w:szCs w:val="28"/>
        </w:rPr>
        <w:t xml:space="preserve"> GCT</w:t>
      </w:r>
      <w:r>
        <w:rPr>
          <w:rFonts w:ascii="Times New Roman" w:hAnsi="Times New Roman" w:cs="Times New Roman"/>
          <w:color w:val="000000"/>
          <w:sz w:val="24"/>
          <w:szCs w:val="28"/>
        </w:rPr>
        <w:t xml:space="preserve"> </w:t>
      </w:r>
      <w:r w:rsidRPr="008E31F4">
        <w:rPr>
          <w:rFonts w:ascii="Times New Roman" w:hAnsi="Times New Roman" w:cs="Times New Roman"/>
          <w:color w:val="000000"/>
          <w:sz w:val="24"/>
          <w:szCs w:val="28"/>
        </w:rPr>
        <w:t>TTG</w:t>
      </w:r>
      <w:r>
        <w:rPr>
          <w:rFonts w:ascii="Times New Roman" w:hAnsi="Times New Roman" w:cs="Times New Roman"/>
          <w:color w:val="000000"/>
          <w:sz w:val="24"/>
          <w:szCs w:val="28"/>
        </w:rPr>
        <w:t xml:space="preserve"> </w:t>
      </w:r>
      <w:r w:rsidRPr="008E31F4">
        <w:rPr>
          <w:rFonts w:ascii="Times New Roman" w:hAnsi="Times New Roman" w:cs="Times New Roman"/>
          <w:color w:val="000000"/>
          <w:sz w:val="24"/>
          <w:szCs w:val="28"/>
        </w:rPr>
        <w:t>TAA</w:t>
      </w:r>
      <w:r>
        <w:rPr>
          <w:rFonts w:ascii="Times New Roman" w:hAnsi="Times New Roman" w:cs="Times New Roman"/>
          <w:color w:val="000000"/>
          <w:sz w:val="24"/>
          <w:szCs w:val="28"/>
        </w:rPr>
        <w:t xml:space="preserve"> </w:t>
      </w:r>
      <w:r w:rsidRPr="008E31F4">
        <w:rPr>
          <w:rFonts w:ascii="Times New Roman" w:hAnsi="Times New Roman" w:cs="Times New Roman"/>
          <w:color w:val="000000"/>
          <w:sz w:val="24"/>
          <w:szCs w:val="28"/>
        </w:rPr>
        <w:t>TTG</w:t>
      </w:r>
      <w:r>
        <w:rPr>
          <w:rFonts w:ascii="Times New Roman" w:hAnsi="Times New Roman" w:cs="Times New Roman"/>
          <w:color w:val="000000"/>
          <w:sz w:val="24"/>
          <w:szCs w:val="28"/>
        </w:rPr>
        <w:t xml:space="preserve"> </w:t>
      </w:r>
      <w:r w:rsidRPr="008E31F4">
        <w:rPr>
          <w:rFonts w:ascii="Times New Roman" w:hAnsi="Times New Roman" w:cs="Times New Roman"/>
          <w:color w:val="000000"/>
          <w:sz w:val="24"/>
          <w:szCs w:val="28"/>
        </w:rPr>
        <w:t>GAA</w:t>
      </w:r>
      <w:r>
        <w:rPr>
          <w:rFonts w:ascii="Times New Roman" w:hAnsi="Times New Roman" w:cs="Times New Roman"/>
          <w:color w:val="000000"/>
          <w:sz w:val="24"/>
          <w:szCs w:val="28"/>
        </w:rPr>
        <w:t xml:space="preserve"> </w:t>
      </w:r>
      <w:r w:rsidRPr="008E31F4">
        <w:rPr>
          <w:rFonts w:ascii="Times New Roman" w:hAnsi="Times New Roman" w:cs="Times New Roman"/>
          <w:color w:val="000000"/>
          <w:sz w:val="24"/>
          <w:szCs w:val="28"/>
        </w:rPr>
        <w:t>TGA</w:t>
      </w:r>
      <w:r>
        <w:rPr>
          <w:rFonts w:ascii="Times New Roman" w:hAnsi="Times New Roman" w:cs="Times New Roman"/>
          <w:color w:val="000000"/>
          <w:sz w:val="24"/>
          <w:szCs w:val="28"/>
        </w:rPr>
        <w:t xml:space="preserve"> </w:t>
      </w:r>
      <w:r w:rsidRPr="008E31F4">
        <w:rPr>
          <w:rFonts w:ascii="Times New Roman" w:hAnsi="Times New Roman" w:cs="Times New Roman"/>
          <w:color w:val="000000"/>
          <w:sz w:val="24"/>
          <w:szCs w:val="28"/>
        </w:rPr>
        <w:t>TGG</w:t>
      </w:r>
      <w:r>
        <w:rPr>
          <w:rFonts w:ascii="Times New Roman" w:hAnsi="Times New Roman" w:cs="Times New Roman"/>
          <w:color w:val="000000"/>
          <w:sz w:val="24"/>
          <w:szCs w:val="28"/>
        </w:rPr>
        <w:t xml:space="preserve"> </w:t>
      </w:r>
      <w:r w:rsidRPr="008E31F4">
        <w:rPr>
          <w:rFonts w:ascii="Times New Roman" w:hAnsi="Times New Roman" w:cs="Times New Roman"/>
          <w:color w:val="000000"/>
          <w:sz w:val="24"/>
          <w:szCs w:val="28"/>
        </w:rPr>
        <w:t>GAA</w:t>
      </w:r>
      <w:r>
        <w:rPr>
          <w:rFonts w:ascii="Times New Roman" w:hAnsi="Times New Roman" w:cs="Times New Roman"/>
          <w:color w:val="000000"/>
          <w:sz w:val="24"/>
          <w:szCs w:val="28"/>
        </w:rPr>
        <w:t xml:space="preserve"> </w:t>
      </w:r>
      <w:r w:rsidRPr="008E31F4">
        <w:rPr>
          <w:rFonts w:ascii="Times New Roman" w:hAnsi="Times New Roman" w:cs="Times New Roman"/>
          <w:color w:val="000000"/>
          <w:sz w:val="24"/>
          <w:szCs w:val="28"/>
        </w:rPr>
        <w:t>T</w:t>
      </w:r>
      <w:r w:rsidRPr="002E680A">
        <w:rPr>
          <w:rFonts w:ascii="Times New Roman" w:hAnsi="Times New Roman" w:cs="Times New Roman"/>
          <w:sz w:val="24"/>
          <w:szCs w:val="28"/>
        </w:rPr>
        <w:t>-3’ for forward primer, and 5’-</w:t>
      </w:r>
      <w:r w:rsidRPr="008E31F4">
        <w:rPr>
          <w:rFonts w:ascii="Times New Roman" w:hAnsi="Times New Roman" w:cs="Times New Roman"/>
          <w:color w:val="000000"/>
          <w:sz w:val="24"/>
          <w:szCs w:val="28"/>
        </w:rPr>
        <w:t xml:space="preserve"> ATG</w:t>
      </w:r>
      <w:r>
        <w:rPr>
          <w:rFonts w:ascii="Times New Roman" w:hAnsi="Times New Roman" w:cs="Times New Roman"/>
          <w:color w:val="000000"/>
          <w:sz w:val="24"/>
          <w:szCs w:val="28"/>
        </w:rPr>
        <w:t xml:space="preserve"> </w:t>
      </w:r>
      <w:r w:rsidRPr="008E31F4">
        <w:rPr>
          <w:rFonts w:ascii="Times New Roman" w:hAnsi="Times New Roman" w:cs="Times New Roman"/>
          <w:color w:val="000000"/>
          <w:sz w:val="24"/>
          <w:szCs w:val="28"/>
        </w:rPr>
        <w:t>CGC</w:t>
      </w:r>
      <w:r>
        <w:rPr>
          <w:rFonts w:ascii="Times New Roman" w:hAnsi="Times New Roman" w:cs="Times New Roman"/>
          <w:color w:val="000000"/>
          <w:sz w:val="24"/>
          <w:szCs w:val="28"/>
        </w:rPr>
        <w:t xml:space="preserve"> </w:t>
      </w:r>
      <w:r w:rsidRPr="008E31F4">
        <w:rPr>
          <w:rFonts w:ascii="Times New Roman" w:hAnsi="Times New Roman" w:cs="Times New Roman"/>
          <w:color w:val="000000"/>
          <w:sz w:val="24"/>
          <w:szCs w:val="28"/>
        </w:rPr>
        <w:t>ACA</w:t>
      </w:r>
      <w:r>
        <w:rPr>
          <w:rFonts w:ascii="Times New Roman" w:hAnsi="Times New Roman" w:cs="Times New Roman"/>
          <w:color w:val="000000"/>
          <w:sz w:val="24"/>
          <w:szCs w:val="28"/>
        </w:rPr>
        <w:t xml:space="preserve"> </w:t>
      </w:r>
      <w:r w:rsidRPr="008E31F4">
        <w:rPr>
          <w:rFonts w:ascii="Times New Roman" w:hAnsi="Times New Roman" w:cs="Times New Roman"/>
          <w:color w:val="000000"/>
          <w:sz w:val="24"/>
          <w:szCs w:val="28"/>
        </w:rPr>
        <w:t>AAG</w:t>
      </w:r>
      <w:r>
        <w:rPr>
          <w:rFonts w:ascii="Times New Roman" w:hAnsi="Times New Roman" w:cs="Times New Roman"/>
          <w:color w:val="000000"/>
          <w:sz w:val="24"/>
          <w:szCs w:val="28"/>
        </w:rPr>
        <w:t xml:space="preserve"> </w:t>
      </w:r>
      <w:r w:rsidRPr="008E31F4">
        <w:rPr>
          <w:rFonts w:ascii="Times New Roman" w:hAnsi="Times New Roman" w:cs="Times New Roman"/>
          <w:color w:val="000000"/>
          <w:sz w:val="24"/>
          <w:szCs w:val="28"/>
        </w:rPr>
        <w:t>TCG</w:t>
      </w:r>
      <w:r>
        <w:rPr>
          <w:rFonts w:ascii="Times New Roman" w:hAnsi="Times New Roman" w:cs="Times New Roman"/>
          <w:color w:val="000000"/>
          <w:sz w:val="24"/>
          <w:szCs w:val="28"/>
        </w:rPr>
        <w:t xml:space="preserve"> </w:t>
      </w:r>
      <w:r w:rsidRPr="008E31F4">
        <w:rPr>
          <w:rFonts w:ascii="Times New Roman" w:hAnsi="Times New Roman" w:cs="Times New Roman"/>
          <w:color w:val="000000"/>
          <w:sz w:val="24"/>
          <w:szCs w:val="28"/>
        </w:rPr>
        <w:t>ATA</w:t>
      </w:r>
      <w:r>
        <w:rPr>
          <w:rFonts w:ascii="Times New Roman" w:hAnsi="Times New Roman" w:cs="Times New Roman"/>
          <w:color w:val="000000"/>
          <w:sz w:val="24"/>
          <w:szCs w:val="28"/>
        </w:rPr>
        <w:t xml:space="preserve"> </w:t>
      </w:r>
      <w:r w:rsidRPr="008E31F4">
        <w:rPr>
          <w:rFonts w:ascii="Times New Roman" w:hAnsi="Times New Roman" w:cs="Times New Roman"/>
          <w:color w:val="000000"/>
          <w:sz w:val="24"/>
          <w:szCs w:val="28"/>
        </w:rPr>
        <w:t>CGA</w:t>
      </w:r>
      <w:r>
        <w:rPr>
          <w:rFonts w:ascii="Times New Roman" w:hAnsi="Times New Roman" w:cs="Times New Roman"/>
          <w:color w:val="000000"/>
          <w:sz w:val="24"/>
          <w:szCs w:val="28"/>
        </w:rPr>
        <w:t xml:space="preserve"> </w:t>
      </w:r>
      <w:r w:rsidRPr="008E31F4">
        <w:rPr>
          <w:rFonts w:ascii="Times New Roman" w:hAnsi="Times New Roman" w:cs="Times New Roman"/>
          <w:color w:val="000000"/>
          <w:sz w:val="24"/>
          <w:szCs w:val="28"/>
        </w:rPr>
        <w:t>AG</w:t>
      </w:r>
      <w:r w:rsidRPr="002E680A">
        <w:rPr>
          <w:rFonts w:ascii="Times New Roman" w:hAnsi="Times New Roman" w:cs="Times New Roman"/>
          <w:sz w:val="24"/>
          <w:szCs w:val="28"/>
        </w:rPr>
        <w:t xml:space="preserve">-3’ for reverse primer </w:t>
      </w:r>
      <w:r w:rsidRPr="002E680A">
        <w:rPr>
          <w:rFonts w:ascii="Times New Roman" w:hAnsi="Times New Roman" w:cs="Times New Roman"/>
          <w:sz w:val="24"/>
          <w:szCs w:val="28"/>
        </w:rPr>
        <w:fldChar w:fldCharType="begin" w:fldLock="1"/>
      </w:r>
      <w:r>
        <w:rPr>
          <w:rFonts w:ascii="Times New Roman" w:hAnsi="Times New Roman" w:cs="Times New Roman"/>
          <w:sz w:val="24"/>
          <w:szCs w:val="28"/>
        </w:rPr>
        <w:instrText>ADDIN CSL_CITATION {"citationItems":[{"id":"ITEM-1","itemData":{"DOI":"10.1186/1475-2875-9-361","ISSN":"1475-2875","abstract":"BACKGROUND: Accurate diagnosis of Plasmodium infections is essential for malaria morbidity and mortality reduction in tropical areas. Despite great advantages of light microscopy (LM) for malaria diagnosis, its limited sensitivity is a critical shortfall for epidemiological studies. Robust molecular diagnostics tools are thus needed. METHODS: The present study describes the development of a duplex quantitative real time PCR (qPCR) assay, which specifically detects and quantifies the four human Plasmodium species. Performance of this method was compared to PCR-ligase detection reaction-fluorescent microsphere assay (PCR_LDR_FMA), nested PCR (nPCR) and LM, using field samples collected from 452 children one to five years of age from the Sepik area in Papua New Guinea. Agreement between diagnostic methods was calcualted using kappa statistics. RESULTS: The agreement of qPCR with other molecular diagnostic methods was substantial for the detection of P. falciparum, but was moderate for the detection of P. vivax, P. malariae and P. ovale. P. falciparum and P. vivax prevalence by qPCR was 40.9% and 65.7% respectively. This compares to 43.8% and 73.2% by nPCR and 47.1% and 67.5% by PCR_LDR_FMA. P. malariae and P. ovale prevalence was 4.7% and 7.3% by qPCR, 3.3% and 3.8% by nPCR, and 7.7% and 4.4% by PCR_LDR_FMA. Prevalence by LM was lower for all four species, being 25.4% for P. falciparum, 54.9% for P. vivax, 2.4% for P. malariae and 0.0% for P. ovale. The quantification by qPCR closely correlated with microscopic quantification for P. falciparum and P. vivax samples (R2 = 0.825 and R2 = 0.505, respectively). The low prevalence of P. malariae and P. ovale did not permit a solid comparative analysis of quantification for these species. CONCLUSIONS: The qPCR assay developed proved optimal for detection of all four Plasmodium species. Densities by LM were well reflected in quantification results by qPCR, whereby congruence was better for P. falciparum than for P. vivax. This likely is a consequence of the generally lower P. vivax densities. Easy performance of the qPCR assay, a less laborious workflow and reduced risk of contamination, together with reduced costs per sample through reduced reaction volume, opens the possibility to implement qPCR in endemic settings as a suitable diagnostic tool for large epidemiological studies.","author":[{"dropping-particle":"","family":"Rosanas-Urgell","given":"Anna","non-dropping-particle":"","parse-names":false,"suffix":""},{"dropping-particle":"","family":"Mueller","given":"Dania","non-dropping-particle":"","parse-names":false,"suffix":""},{"dropping-particle":"","family":"Betuela","given":"Inoni","non-dropping-particle":"","parse-names":false,"suffix":""},{"dropping-particle":"","family":"Barnadas","given":"Céline","non-dropping-particle":"","parse-names":false,"suffix":""},{"dropping-particle":"","family":"Iga","given":"Jonah","non-dropping-particle":"","parse-names":false,"suffix":""},{"dropping-particle":"","family":"Zimmerman","given":"Peter A","non-dropping-particle":"","parse-names":false,"suffix":""},{"dropping-particle":"","family":"Portillo","given":"Hernando A","non-dropping-particle":"del","parse-names":false,"suffix":""},{"dropping-particle":"","family":"Siba","given":"Peter","non-dropping-particle":"","parse-names":false,"suffix":""},{"dropping-particle":"","family":"Mueller","given":"Ivo","non-dropping-particle":"","parse-names":false,"suffix":""},{"dropping-particle":"","family":"Felger","given":"Ingrid","non-dropping-particle":"","parse-names":false,"suffix":""}],"container-title":"Malaria journal","id":"ITEM-1","issued":{"date-parts":[["2010","12","14"]]},"language":"eng","page":"361","publisher":"BioMed Central","title":"Comparison of diagnostic methods for the detection and quantification of the four sympatric Plasmodium species in field samples from Papua New Guinea","type":"article-journal","volume":"9"},"uris":["http://www.mendeley.com/documents/?uuid=c536ea8b-90fe-41e6-a290-eb79fc4c4f98"]}],"mendeley":{"formattedCitation":"(33)","plainTextFormattedCitation":"(33)","previouslyFormattedCitation":"(33)"},"properties":{"noteIndex":0},"schema":"https://github.com/citation-style-language/schema/raw/master/csl-citation.json"}</w:instrText>
      </w:r>
      <w:r w:rsidRPr="002E680A">
        <w:rPr>
          <w:rFonts w:ascii="Times New Roman" w:hAnsi="Times New Roman" w:cs="Times New Roman"/>
          <w:sz w:val="24"/>
          <w:szCs w:val="28"/>
        </w:rPr>
        <w:fldChar w:fldCharType="separate"/>
      </w:r>
      <w:r w:rsidRPr="00913F9E">
        <w:rPr>
          <w:rFonts w:ascii="Times New Roman" w:hAnsi="Times New Roman" w:cs="Times New Roman"/>
          <w:noProof/>
          <w:sz w:val="24"/>
          <w:szCs w:val="28"/>
        </w:rPr>
        <w:t>(33)</w:t>
      </w:r>
      <w:r w:rsidRPr="002E680A">
        <w:rPr>
          <w:rFonts w:ascii="Times New Roman" w:hAnsi="Times New Roman" w:cs="Times New Roman"/>
          <w:sz w:val="24"/>
          <w:szCs w:val="28"/>
        </w:rPr>
        <w:fldChar w:fldCharType="end"/>
      </w:r>
      <w:r w:rsidRPr="002E680A">
        <w:rPr>
          <w:rFonts w:ascii="Times New Roman" w:hAnsi="Times New Roman" w:cs="Times New Roman"/>
          <w:sz w:val="24"/>
          <w:szCs w:val="28"/>
        </w:rPr>
        <w:t xml:space="preserve">. </w:t>
      </w:r>
      <w:r w:rsidRPr="002E680A">
        <w:rPr>
          <w:rFonts w:ascii="Times New Roman" w:hAnsi="Times New Roman"/>
          <w:sz w:val="24"/>
          <w:szCs w:val="24"/>
        </w:rPr>
        <w:t>R</w:t>
      </w:r>
      <w:proofErr w:type="spellStart"/>
      <w:r w:rsidRPr="002E680A">
        <w:rPr>
          <w:rFonts w:ascii="Times New Roman" w:hAnsi="Times New Roman"/>
          <w:sz w:val="24"/>
          <w:szCs w:val="24"/>
          <w:lang w:val="en-AU"/>
        </w:rPr>
        <w:t>eaction</w:t>
      </w:r>
      <w:proofErr w:type="spellEnd"/>
      <w:r w:rsidRPr="002E680A">
        <w:rPr>
          <w:rFonts w:ascii="Times New Roman" w:hAnsi="Times New Roman"/>
          <w:sz w:val="24"/>
          <w:szCs w:val="24"/>
          <w:lang w:val="en-AU"/>
        </w:rPr>
        <w:t xml:space="preserve"> was p</w:t>
      </w:r>
      <w:r>
        <w:rPr>
          <w:rFonts w:ascii="Times New Roman" w:hAnsi="Times New Roman"/>
          <w:sz w:val="24"/>
          <w:szCs w:val="24"/>
          <w:lang w:val="en-AU"/>
        </w:rPr>
        <w:t xml:space="preserve">erformed </w:t>
      </w:r>
      <w:r>
        <w:rPr>
          <w:rFonts w:ascii="Times New Roman" w:hAnsi="Times New Roman"/>
          <w:sz w:val="24"/>
          <w:szCs w:val="24"/>
          <w:lang w:val="id-ID"/>
        </w:rPr>
        <w:t>on 7500 Fast Real-Time PCR system (Applied Biosystem)</w:t>
      </w:r>
      <w:r>
        <w:rPr>
          <w:rFonts w:ascii="Times New Roman" w:hAnsi="Times New Roman"/>
          <w:sz w:val="24"/>
          <w:szCs w:val="24"/>
          <w:lang w:val="en-AU"/>
        </w:rPr>
        <w:t xml:space="preserve"> with 12 </w:t>
      </w:r>
      <w:proofErr w:type="spellStart"/>
      <w:r>
        <w:rPr>
          <w:rFonts w:ascii="Times New Roman" w:hAnsi="Times New Roman"/>
          <w:sz w:val="24"/>
          <w:szCs w:val="24"/>
          <w:lang w:val="en-AU"/>
        </w:rPr>
        <w:t>uL</w:t>
      </w:r>
      <w:proofErr w:type="spellEnd"/>
      <w:r>
        <w:rPr>
          <w:rFonts w:ascii="Times New Roman" w:hAnsi="Times New Roman"/>
          <w:sz w:val="24"/>
          <w:szCs w:val="24"/>
          <w:lang w:val="en-AU"/>
        </w:rPr>
        <w:t xml:space="preserve"> mix containing 1x </w:t>
      </w:r>
      <w:proofErr w:type="spellStart"/>
      <w:r>
        <w:rPr>
          <w:rFonts w:ascii="Times New Roman" w:hAnsi="Times New Roman"/>
          <w:sz w:val="24"/>
          <w:szCs w:val="24"/>
          <w:lang w:val="en-AU"/>
        </w:rPr>
        <w:t>SensiFast</w:t>
      </w:r>
      <w:proofErr w:type="spellEnd"/>
      <w:r>
        <w:rPr>
          <w:rFonts w:ascii="Times New Roman" w:hAnsi="Times New Roman"/>
          <w:sz w:val="24"/>
          <w:szCs w:val="24"/>
          <w:lang w:val="en-AU"/>
        </w:rPr>
        <w:t xml:space="preserve"> (</w:t>
      </w:r>
      <w:proofErr w:type="spellStart"/>
      <w:r>
        <w:rPr>
          <w:rFonts w:ascii="Times New Roman" w:hAnsi="Times New Roman"/>
          <w:sz w:val="24"/>
          <w:szCs w:val="24"/>
          <w:lang w:val="en-AU"/>
        </w:rPr>
        <w:t>Bioline</w:t>
      </w:r>
      <w:proofErr w:type="spellEnd"/>
      <w:r>
        <w:rPr>
          <w:rFonts w:ascii="Times New Roman" w:hAnsi="Times New Roman"/>
          <w:sz w:val="24"/>
          <w:szCs w:val="24"/>
          <w:lang w:val="en-AU"/>
        </w:rPr>
        <w:t xml:space="preserve"> UK) with 0.1 </w:t>
      </w:r>
      <w:proofErr w:type="spellStart"/>
      <w:r>
        <w:rPr>
          <w:rFonts w:ascii="Times New Roman" w:hAnsi="Times New Roman"/>
          <w:sz w:val="24"/>
          <w:szCs w:val="24"/>
          <w:lang w:val="en-AU"/>
        </w:rPr>
        <w:t>uM</w:t>
      </w:r>
      <w:proofErr w:type="spellEnd"/>
      <w:r>
        <w:rPr>
          <w:rFonts w:ascii="Times New Roman" w:hAnsi="Times New Roman"/>
          <w:sz w:val="24"/>
          <w:szCs w:val="24"/>
          <w:lang w:val="en-AU"/>
        </w:rPr>
        <w:t xml:space="preserve"> of each primer and 20 ng of DNA template for</w:t>
      </w:r>
      <w:r w:rsidRPr="008E31F4">
        <w:rPr>
          <w:rFonts w:ascii="Times New Roman" w:hAnsi="Times New Roman"/>
          <w:i/>
          <w:sz w:val="24"/>
          <w:szCs w:val="24"/>
          <w:lang w:val="en-AU"/>
        </w:rPr>
        <w:t xml:space="preserve"> P. falciparum</w:t>
      </w:r>
      <w:r>
        <w:rPr>
          <w:rFonts w:ascii="Times New Roman" w:hAnsi="Times New Roman"/>
          <w:sz w:val="24"/>
          <w:szCs w:val="24"/>
          <w:lang w:val="en-AU"/>
        </w:rPr>
        <w:t xml:space="preserve">. For </w:t>
      </w:r>
      <w:r w:rsidRPr="008E31F4">
        <w:rPr>
          <w:rFonts w:ascii="Times New Roman" w:hAnsi="Times New Roman"/>
          <w:i/>
          <w:sz w:val="24"/>
          <w:szCs w:val="24"/>
          <w:lang w:val="en-AU"/>
        </w:rPr>
        <w:t>P. vivax</w:t>
      </w:r>
      <w:r>
        <w:rPr>
          <w:rFonts w:ascii="Times New Roman" w:hAnsi="Times New Roman"/>
          <w:sz w:val="24"/>
          <w:szCs w:val="24"/>
          <w:lang w:val="en-AU"/>
        </w:rPr>
        <w:t xml:space="preserve">, in a similar reaction volume and PCR buffer, 0.4 </w:t>
      </w:r>
      <w:proofErr w:type="spellStart"/>
      <w:r>
        <w:rPr>
          <w:rFonts w:ascii="Times New Roman" w:hAnsi="Times New Roman"/>
          <w:sz w:val="24"/>
          <w:szCs w:val="24"/>
          <w:lang w:val="en-AU"/>
        </w:rPr>
        <w:t>uM</w:t>
      </w:r>
      <w:proofErr w:type="spellEnd"/>
      <w:r>
        <w:rPr>
          <w:rFonts w:ascii="Times New Roman" w:hAnsi="Times New Roman"/>
          <w:sz w:val="24"/>
          <w:szCs w:val="24"/>
          <w:lang w:val="en-AU"/>
        </w:rPr>
        <w:t xml:space="preserve"> of each primer and 40 ng of DNA template was used. Serial dilution of plasmids harbouring target sequences </w:t>
      </w:r>
      <w:r>
        <w:rPr>
          <w:rFonts w:ascii="Times New Roman" w:hAnsi="Times New Roman"/>
          <w:sz w:val="24"/>
          <w:szCs w:val="24"/>
          <w:lang w:val="id-ID"/>
        </w:rPr>
        <w:t>with concentration of 10</w:t>
      </w:r>
      <w:r>
        <w:rPr>
          <w:rFonts w:ascii="Times New Roman" w:hAnsi="Times New Roman"/>
          <w:sz w:val="24"/>
          <w:szCs w:val="24"/>
          <w:vertAlign w:val="superscript"/>
          <w:lang w:val="id-ID"/>
        </w:rPr>
        <w:t>5</w:t>
      </w:r>
      <w:r>
        <w:rPr>
          <w:rFonts w:ascii="Times New Roman" w:hAnsi="Times New Roman"/>
          <w:sz w:val="24"/>
          <w:szCs w:val="24"/>
          <w:lang w:val="id-ID"/>
        </w:rPr>
        <w:t>, 10</w:t>
      </w:r>
      <w:r w:rsidRPr="008D4C9E">
        <w:rPr>
          <w:rFonts w:ascii="Times New Roman" w:hAnsi="Times New Roman"/>
          <w:sz w:val="24"/>
          <w:szCs w:val="24"/>
          <w:vertAlign w:val="superscript"/>
          <w:lang w:val="id-ID"/>
        </w:rPr>
        <w:t>4</w:t>
      </w:r>
      <w:r>
        <w:rPr>
          <w:rFonts w:ascii="Times New Roman" w:hAnsi="Times New Roman"/>
          <w:sz w:val="24"/>
          <w:szCs w:val="24"/>
          <w:lang w:val="id-ID"/>
        </w:rPr>
        <w:t>, 10</w:t>
      </w:r>
      <w:r w:rsidRPr="00674DBD">
        <w:rPr>
          <w:rFonts w:ascii="Times New Roman" w:hAnsi="Times New Roman"/>
          <w:sz w:val="24"/>
          <w:szCs w:val="24"/>
          <w:vertAlign w:val="superscript"/>
          <w:lang w:val="id-ID"/>
        </w:rPr>
        <w:t>3</w:t>
      </w:r>
      <w:r>
        <w:rPr>
          <w:rFonts w:ascii="Times New Roman" w:hAnsi="Times New Roman"/>
          <w:sz w:val="24"/>
          <w:szCs w:val="24"/>
          <w:lang w:val="id-ID"/>
        </w:rPr>
        <w:t>, 10</w:t>
      </w:r>
      <w:r w:rsidRPr="008D4C9E">
        <w:rPr>
          <w:rFonts w:ascii="Times New Roman" w:hAnsi="Times New Roman"/>
          <w:sz w:val="24"/>
          <w:szCs w:val="24"/>
          <w:vertAlign w:val="superscript"/>
          <w:lang w:val="id-ID"/>
        </w:rPr>
        <w:t>2</w:t>
      </w:r>
      <w:r>
        <w:rPr>
          <w:rFonts w:ascii="Times New Roman" w:hAnsi="Times New Roman"/>
          <w:sz w:val="24"/>
          <w:szCs w:val="24"/>
          <w:lang w:val="id-ID"/>
        </w:rPr>
        <w:t xml:space="preserve">, 10, 5, and 1 </w:t>
      </w:r>
      <w:proofErr w:type="gramStart"/>
      <w:r>
        <w:rPr>
          <w:rFonts w:ascii="Times New Roman" w:hAnsi="Times New Roman"/>
          <w:sz w:val="24"/>
          <w:szCs w:val="24"/>
          <w:lang w:val="id-ID"/>
        </w:rPr>
        <w:t>copies</w:t>
      </w:r>
      <w:proofErr w:type="gramEnd"/>
      <w:r>
        <w:rPr>
          <w:rFonts w:ascii="Times New Roman" w:hAnsi="Times New Roman"/>
          <w:sz w:val="24"/>
          <w:szCs w:val="24"/>
          <w:lang w:val="id-ID"/>
        </w:rPr>
        <w:t xml:space="preserve"> per reaction</w:t>
      </w:r>
      <w:r>
        <w:rPr>
          <w:rFonts w:ascii="Times New Roman" w:hAnsi="Times New Roman"/>
          <w:sz w:val="24"/>
          <w:szCs w:val="24"/>
          <w:lang w:val="en-AU"/>
        </w:rPr>
        <w:t xml:space="preserve"> were run in duplicates as positive control as well as generating standard curve in each experiment. The </w:t>
      </w:r>
      <w:r>
        <w:rPr>
          <w:rFonts w:ascii="Times New Roman" w:hAnsi="Times New Roman"/>
          <w:sz w:val="24"/>
          <w:szCs w:val="24"/>
          <w:lang w:val="id-ID"/>
        </w:rPr>
        <w:t>condition</w:t>
      </w:r>
      <w:r>
        <w:rPr>
          <w:rFonts w:ascii="Times New Roman" w:hAnsi="Times New Roman"/>
          <w:sz w:val="24"/>
          <w:szCs w:val="24"/>
          <w:lang w:val="en-AU"/>
        </w:rPr>
        <w:t>s were</w:t>
      </w:r>
      <w:r>
        <w:rPr>
          <w:rFonts w:ascii="Times New Roman" w:hAnsi="Times New Roman"/>
          <w:sz w:val="24"/>
          <w:szCs w:val="24"/>
          <w:lang w:val="id-ID"/>
        </w:rPr>
        <w:t xml:space="preserve"> 95</w:t>
      </w:r>
      <w:r w:rsidRPr="007A063B">
        <w:rPr>
          <w:rFonts w:ascii="Times New Roman" w:hAnsi="Times New Roman"/>
          <w:sz w:val="24"/>
          <w:szCs w:val="24"/>
          <w:vertAlign w:val="superscript"/>
          <w:lang w:val="id-ID"/>
        </w:rPr>
        <w:t>o</w:t>
      </w:r>
      <w:r>
        <w:rPr>
          <w:rFonts w:ascii="Times New Roman" w:hAnsi="Times New Roman"/>
          <w:sz w:val="24"/>
          <w:szCs w:val="24"/>
          <w:lang w:val="id-ID"/>
        </w:rPr>
        <w:t xml:space="preserve">C </w:t>
      </w:r>
      <w:r>
        <w:rPr>
          <w:rFonts w:ascii="Times New Roman" w:hAnsi="Times New Roman"/>
          <w:sz w:val="24"/>
          <w:szCs w:val="24"/>
          <w:lang w:val="en-AU"/>
        </w:rPr>
        <w:t xml:space="preserve">for 10 minutes, followed by 45 cycles of </w:t>
      </w:r>
      <w:r>
        <w:rPr>
          <w:rFonts w:ascii="Times New Roman" w:hAnsi="Times New Roman"/>
          <w:sz w:val="24"/>
          <w:szCs w:val="24"/>
          <w:lang w:val="id-ID"/>
        </w:rPr>
        <w:t>denaturation at 95</w:t>
      </w:r>
      <w:r w:rsidRPr="00AE75B5">
        <w:rPr>
          <w:rFonts w:ascii="Times New Roman" w:hAnsi="Times New Roman"/>
          <w:sz w:val="24"/>
          <w:szCs w:val="24"/>
          <w:vertAlign w:val="superscript"/>
          <w:lang w:val="id-ID"/>
        </w:rPr>
        <w:t>o</w:t>
      </w:r>
      <w:r>
        <w:rPr>
          <w:rFonts w:ascii="Times New Roman" w:hAnsi="Times New Roman"/>
          <w:sz w:val="24"/>
          <w:szCs w:val="24"/>
          <w:lang w:val="id-ID"/>
        </w:rPr>
        <w:t>C for 10 seconds, annealing at 64</w:t>
      </w:r>
      <w:r w:rsidRPr="00AE75B5">
        <w:rPr>
          <w:rFonts w:ascii="Times New Roman" w:hAnsi="Times New Roman"/>
          <w:sz w:val="24"/>
          <w:szCs w:val="24"/>
          <w:vertAlign w:val="superscript"/>
          <w:lang w:val="id-ID"/>
        </w:rPr>
        <w:t>o</w:t>
      </w:r>
      <w:r>
        <w:rPr>
          <w:rFonts w:ascii="Times New Roman" w:hAnsi="Times New Roman"/>
          <w:sz w:val="24"/>
          <w:szCs w:val="24"/>
          <w:lang w:val="id-ID"/>
        </w:rPr>
        <w:t xml:space="preserve">C </w:t>
      </w:r>
      <w:r>
        <w:rPr>
          <w:rFonts w:ascii="Times New Roman" w:hAnsi="Times New Roman"/>
          <w:sz w:val="24"/>
          <w:szCs w:val="24"/>
          <w:lang w:val="en-AU"/>
        </w:rPr>
        <w:t>(</w:t>
      </w:r>
      <w:proofErr w:type="spellStart"/>
      <w:r>
        <w:rPr>
          <w:rFonts w:ascii="Times New Roman" w:hAnsi="Times New Roman"/>
          <w:sz w:val="24"/>
          <w:szCs w:val="24"/>
          <w:lang w:val="en-AU"/>
        </w:rPr>
        <w:t>Pf</w:t>
      </w:r>
      <w:proofErr w:type="spellEnd"/>
      <w:r>
        <w:rPr>
          <w:rFonts w:ascii="Times New Roman" w:hAnsi="Times New Roman"/>
          <w:sz w:val="24"/>
          <w:szCs w:val="24"/>
          <w:lang w:val="en-AU"/>
        </w:rPr>
        <w:t>) or 58</w:t>
      </w:r>
      <w:r w:rsidRPr="00AE75B5">
        <w:rPr>
          <w:rFonts w:ascii="Times New Roman" w:hAnsi="Times New Roman"/>
          <w:sz w:val="24"/>
          <w:szCs w:val="24"/>
          <w:vertAlign w:val="superscript"/>
          <w:lang w:val="id-ID"/>
        </w:rPr>
        <w:t>o</w:t>
      </w:r>
      <w:r>
        <w:rPr>
          <w:rFonts w:ascii="Times New Roman" w:hAnsi="Times New Roman"/>
          <w:sz w:val="24"/>
          <w:szCs w:val="24"/>
          <w:lang w:val="id-ID"/>
        </w:rPr>
        <w:t>C</w:t>
      </w:r>
      <w:r>
        <w:rPr>
          <w:rFonts w:ascii="Times New Roman" w:hAnsi="Times New Roman"/>
          <w:sz w:val="24"/>
          <w:szCs w:val="24"/>
          <w:lang w:val="en-AU"/>
        </w:rPr>
        <w:t xml:space="preserve"> (</w:t>
      </w:r>
      <w:proofErr w:type="spellStart"/>
      <w:r>
        <w:rPr>
          <w:rFonts w:ascii="Times New Roman" w:hAnsi="Times New Roman"/>
          <w:sz w:val="24"/>
          <w:szCs w:val="24"/>
          <w:lang w:val="en-AU"/>
        </w:rPr>
        <w:t>Pv</w:t>
      </w:r>
      <w:proofErr w:type="spellEnd"/>
      <w:r>
        <w:rPr>
          <w:rFonts w:ascii="Times New Roman" w:hAnsi="Times New Roman"/>
          <w:sz w:val="24"/>
          <w:szCs w:val="24"/>
          <w:lang w:val="en-AU"/>
        </w:rPr>
        <w:t>)</w:t>
      </w:r>
      <w:r>
        <w:rPr>
          <w:rFonts w:ascii="Times New Roman" w:hAnsi="Times New Roman"/>
          <w:sz w:val="24"/>
          <w:szCs w:val="24"/>
          <w:lang w:val="id-ID"/>
        </w:rPr>
        <w:t xml:space="preserve"> for 30 seconds</w:t>
      </w:r>
      <w:r>
        <w:rPr>
          <w:rFonts w:ascii="Times New Roman" w:hAnsi="Times New Roman"/>
          <w:sz w:val="24"/>
          <w:szCs w:val="24"/>
        </w:rPr>
        <w:t>, and melting analysis by the software of 7500 Fast Real-Time PCR (Applied Biosystem)</w:t>
      </w:r>
      <w:r>
        <w:rPr>
          <w:rFonts w:ascii="Times New Roman" w:hAnsi="Times New Roman"/>
          <w:sz w:val="24"/>
          <w:szCs w:val="24"/>
          <w:lang w:val="id-ID"/>
        </w:rPr>
        <w:t xml:space="preserve">. </w:t>
      </w:r>
      <w:r>
        <w:rPr>
          <w:rFonts w:ascii="Times New Roman" w:hAnsi="Times New Roman" w:cs="Times New Roman"/>
          <w:sz w:val="24"/>
          <w:szCs w:val="24"/>
          <w:lang w:val="id-ID"/>
        </w:rPr>
        <w:t>T</w:t>
      </w:r>
      <w:r w:rsidRPr="004652A0">
        <w:rPr>
          <w:rFonts w:ascii="Times New Roman" w:hAnsi="Times New Roman" w:cs="Times New Roman"/>
          <w:sz w:val="24"/>
          <w:szCs w:val="24"/>
          <w:vertAlign w:val="subscript"/>
          <w:lang w:val="id-ID"/>
        </w:rPr>
        <w:t>M</w:t>
      </w:r>
      <w:r>
        <w:rPr>
          <w:rFonts w:ascii="Times New Roman" w:hAnsi="Times New Roman" w:cs="Times New Roman"/>
          <w:sz w:val="24"/>
          <w:szCs w:val="24"/>
          <w:lang w:val="id-ID"/>
        </w:rPr>
        <w:t xml:space="preserve"> value </w:t>
      </w:r>
      <w:r>
        <w:rPr>
          <w:rFonts w:ascii="Times New Roman" w:hAnsi="Times New Roman" w:cs="Times New Roman"/>
          <w:sz w:val="24"/>
          <w:szCs w:val="24"/>
        </w:rPr>
        <w:t xml:space="preserve">for </w:t>
      </w:r>
      <w:r w:rsidRPr="009C1074">
        <w:rPr>
          <w:rFonts w:ascii="Times New Roman" w:hAnsi="Times New Roman" w:cs="Times New Roman"/>
          <w:i/>
          <w:sz w:val="24"/>
          <w:szCs w:val="24"/>
        </w:rPr>
        <w:t xml:space="preserve">P. falciparum </w:t>
      </w:r>
      <w:r>
        <w:rPr>
          <w:rFonts w:ascii="Times New Roman" w:hAnsi="Times New Roman" w:cs="Times New Roman"/>
          <w:sz w:val="24"/>
          <w:szCs w:val="24"/>
        </w:rPr>
        <w:t>was 77</w:t>
      </w:r>
      <w:r w:rsidRPr="008E31F4">
        <w:rPr>
          <w:rFonts w:ascii="Times New Roman" w:hAnsi="Times New Roman" w:cs="Times New Roman"/>
          <w:sz w:val="24"/>
          <w:szCs w:val="24"/>
          <w:vertAlign w:val="superscript"/>
        </w:rPr>
        <w:t>o</w:t>
      </w:r>
      <w:r>
        <w:rPr>
          <w:rFonts w:ascii="Times New Roman" w:hAnsi="Times New Roman" w:cs="Times New Roman"/>
          <w:sz w:val="24"/>
          <w:szCs w:val="24"/>
        </w:rPr>
        <w:t>C (</w:t>
      </w:r>
      <w:r w:rsidRPr="007E031E">
        <w:rPr>
          <w:rFonts w:ascii="Times New Roman" w:hAnsi="Times New Roman" w:cs="Times New Roman"/>
          <w:sz w:val="24"/>
          <w:szCs w:val="24"/>
          <w:u w:val="single"/>
        </w:rPr>
        <w:t>+</w:t>
      </w:r>
      <w:r>
        <w:rPr>
          <w:rFonts w:ascii="Times New Roman" w:hAnsi="Times New Roman" w:cs="Times New Roman"/>
          <w:sz w:val="24"/>
          <w:szCs w:val="24"/>
        </w:rPr>
        <w:t>1</w:t>
      </w:r>
      <w:r w:rsidRPr="006B414C">
        <w:rPr>
          <w:rFonts w:ascii="Times New Roman" w:hAnsi="Times New Roman" w:cs="Times New Roman"/>
          <w:sz w:val="24"/>
          <w:szCs w:val="24"/>
          <w:vertAlign w:val="superscript"/>
        </w:rPr>
        <w:t>o</w:t>
      </w:r>
      <w:r>
        <w:rPr>
          <w:rFonts w:ascii="Times New Roman" w:hAnsi="Times New Roman" w:cs="Times New Roman"/>
          <w:sz w:val="24"/>
          <w:szCs w:val="24"/>
        </w:rPr>
        <w:t xml:space="preserve">C), whereas </w:t>
      </w:r>
      <w:r>
        <w:rPr>
          <w:rFonts w:ascii="Times New Roman" w:hAnsi="Times New Roman" w:cs="Times New Roman"/>
          <w:sz w:val="24"/>
          <w:szCs w:val="24"/>
          <w:lang w:val="id-ID"/>
        </w:rPr>
        <w:t xml:space="preserve">Tm value </w:t>
      </w:r>
      <w:r>
        <w:rPr>
          <w:rFonts w:ascii="Times New Roman" w:hAnsi="Times New Roman" w:cs="Times New Roman"/>
          <w:sz w:val="24"/>
          <w:szCs w:val="24"/>
        </w:rPr>
        <w:t xml:space="preserve">for </w:t>
      </w:r>
      <w:r w:rsidRPr="002048AE">
        <w:rPr>
          <w:rFonts w:ascii="Times New Roman" w:hAnsi="Times New Roman" w:cs="Times New Roman"/>
          <w:i/>
          <w:sz w:val="24"/>
          <w:szCs w:val="24"/>
          <w:lang w:val="id-ID"/>
        </w:rPr>
        <w:t>P. vivax</w:t>
      </w:r>
      <w:r>
        <w:rPr>
          <w:rFonts w:ascii="Times New Roman" w:hAnsi="Times New Roman" w:cs="Times New Roman"/>
          <w:sz w:val="24"/>
          <w:szCs w:val="24"/>
          <w:lang w:val="id-ID"/>
        </w:rPr>
        <w:t xml:space="preserve"> was 81</w:t>
      </w:r>
      <w:r w:rsidRPr="008E31F4">
        <w:rPr>
          <w:rFonts w:ascii="Times New Roman" w:hAnsi="Times New Roman" w:cs="Times New Roman"/>
          <w:sz w:val="24"/>
          <w:szCs w:val="24"/>
          <w:vertAlign w:val="superscript"/>
          <w:lang w:val="id-ID"/>
        </w:rPr>
        <w:t>o</w:t>
      </w:r>
      <w:r>
        <w:rPr>
          <w:rFonts w:ascii="Times New Roman" w:hAnsi="Times New Roman" w:cs="Times New Roman"/>
          <w:sz w:val="24"/>
          <w:szCs w:val="24"/>
        </w:rPr>
        <w:t>C (</w:t>
      </w:r>
      <w:r w:rsidRPr="007E031E">
        <w:rPr>
          <w:rFonts w:ascii="Times New Roman" w:hAnsi="Times New Roman" w:cs="Times New Roman"/>
          <w:sz w:val="24"/>
          <w:szCs w:val="24"/>
          <w:u w:val="single"/>
        </w:rPr>
        <w:t>+</w:t>
      </w:r>
      <w:r>
        <w:rPr>
          <w:rFonts w:ascii="Times New Roman" w:hAnsi="Times New Roman" w:cs="Times New Roman"/>
          <w:sz w:val="24"/>
          <w:szCs w:val="24"/>
        </w:rPr>
        <w:t>1</w:t>
      </w:r>
      <w:r w:rsidRPr="008E31F4">
        <w:rPr>
          <w:rFonts w:ascii="Times New Roman" w:hAnsi="Times New Roman" w:cs="Times New Roman"/>
          <w:sz w:val="24"/>
          <w:szCs w:val="24"/>
          <w:vertAlign w:val="superscript"/>
        </w:rPr>
        <w:t>o</w:t>
      </w:r>
      <w:r>
        <w:rPr>
          <w:rFonts w:ascii="Times New Roman" w:hAnsi="Times New Roman" w:cs="Times New Roman"/>
          <w:sz w:val="24"/>
          <w:szCs w:val="24"/>
        </w:rPr>
        <w:t>C).</w:t>
      </w:r>
      <w:r>
        <w:rPr>
          <w:rFonts w:ascii="Times New Roman" w:hAnsi="Times New Roman" w:cs="Times New Roman"/>
          <w:sz w:val="24"/>
          <w:szCs w:val="24"/>
          <w:lang w:val="id-ID"/>
        </w:rPr>
        <w:t xml:space="preserve"> </w:t>
      </w:r>
      <w:r>
        <w:rPr>
          <w:rFonts w:ascii="Times New Roman" w:hAnsi="Times New Roman"/>
          <w:sz w:val="24"/>
          <w:szCs w:val="24"/>
        </w:rPr>
        <w:t>Quantity of the parasite was reported as number of DNA copies/</w:t>
      </w:r>
      <w:r>
        <w:rPr>
          <w:rFonts w:ascii="Times New Roman" w:hAnsi="Times New Roman" w:cs="Times New Roman"/>
          <w:sz w:val="24"/>
          <w:szCs w:val="24"/>
        </w:rPr>
        <w:t>µ</w:t>
      </w:r>
      <w:r>
        <w:rPr>
          <w:rFonts w:ascii="Times New Roman" w:hAnsi="Times New Roman"/>
          <w:sz w:val="24"/>
          <w:szCs w:val="24"/>
        </w:rPr>
        <w:t>L.</w:t>
      </w:r>
      <w:r w:rsidR="008A7147">
        <w:rPr>
          <w:rFonts w:ascii="Times New Roman" w:hAnsi="Times New Roman"/>
          <w:sz w:val="24"/>
          <w:szCs w:val="24"/>
        </w:rPr>
        <w:t xml:space="preserve"> DNA were successfully amplified in 62 of 84 </w:t>
      </w:r>
      <w:r w:rsidR="008A7147" w:rsidRPr="008A7147">
        <w:rPr>
          <w:rFonts w:ascii="Times New Roman" w:hAnsi="Times New Roman"/>
          <w:i/>
          <w:iCs/>
          <w:sz w:val="24"/>
          <w:szCs w:val="24"/>
        </w:rPr>
        <w:t>P. falciparum</w:t>
      </w:r>
      <w:r w:rsidR="008A7147">
        <w:rPr>
          <w:rFonts w:ascii="Times New Roman" w:hAnsi="Times New Roman"/>
          <w:sz w:val="24"/>
          <w:szCs w:val="24"/>
        </w:rPr>
        <w:t xml:space="preserve"> and 189 of 203 </w:t>
      </w:r>
      <w:r w:rsidR="008A7147" w:rsidRPr="008A7147">
        <w:rPr>
          <w:rFonts w:ascii="Times New Roman" w:hAnsi="Times New Roman"/>
          <w:i/>
          <w:iCs/>
          <w:sz w:val="24"/>
          <w:szCs w:val="24"/>
        </w:rPr>
        <w:t>P. vivax</w:t>
      </w:r>
      <w:r w:rsidR="008A7147">
        <w:rPr>
          <w:rFonts w:ascii="Times New Roman" w:hAnsi="Times New Roman"/>
          <w:sz w:val="24"/>
          <w:szCs w:val="24"/>
        </w:rPr>
        <w:t>.</w:t>
      </w:r>
    </w:p>
    <w:sectPr w:rsidR="00C80D2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0D29"/>
    <w:rsid w:val="000F7F93"/>
    <w:rsid w:val="00414C04"/>
    <w:rsid w:val="0061115E"/>
    <w:rsid w:val="008A7147"/>
    <w:rsid w:val="00B878AB"/>
    <w:rsid w:val="00C80D29"/>
    <w:rsid w:val="00D533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EC7C57"/>
  <w15:chartTrackingRefBased/>
  <w15:docId w15:val="{57EB0320-C1D4-4713-82E2-078B33B889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1</Pages>
  <Words>2208</Words>
  <Characters>12590</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Ayleen Kosasih</dc:creator>
  <cp:keywords/>
  <dc:description/>
  <cp:lastModifiedBy>Ayleen Kosasih</cp:lastModifiedBy>
  <cp:revision>4</cp:revision>
  <dcterms:created xsi:type="dcterms:W3CDTF">2020-07-03T08:39:00Z</dcterms:created>
  <dcterms:modified xsi:type="dcterms:W3CDTF">2020-09-03T13:01:00Z</dcterms:modified>
</cp:coreProperties>
</file>