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0A4C7" w14:textId="77777777" w:rsidR="00DE766B" w:rsidRPr="00701F02" w:rsidRDefault="00DE766B" w:rsidP="00DE766B">
      <w:pPr>
        <w:spacing w:before="240" w:after="200"/>
        <w:rPr>
          <w:b/>
          <w:sz w:val="26"/>
        </w:rPr>
      </w:pPr>
      <w:r>
        <w:rPr>
          <w:b/>
          <w:sz w:val="26"/>
        </w:rPr>
        <w:t>Extended data</w:t>
      </w:r>
      <w:r w:rsidRPr="00701F02">
        <w:rPr>
          <w:b/>
          <w:sz w:val="26"/>
        </w:rPr>
        <w:t xml:space="preserve"> figures</w:t>
      </w:r>
    </w:p>
    <w:p w14:paraId="1B8E4BC0" w14:textId="77777777" w:rsidR="00DE766B" w:rsidRPr="00701F02" w:rsidRDefault="00DE766B" w:rsidP="00DE766B">
      <w:r w:rsidRPr="00701F02">
        <w:rPr>
          <w:noProof/>
        </w:rPr>
        <w:drawing>
          <wp:inline distT="0" distB="0" distL="0" distR="0" wp14:anchorId="48C09510" wp14:editId="1F236F0A">
            <wp:extent cx="3076575" cy="1257300"/>
            <wp:effectExtent l="0" t="0" r="0" b="0"/>
            <wp:docPr id="36503950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CB5FA" w14:textId="77777777" w:rsidR="00DE766B" w:rsidRPr="00701F02" w:rsidRDefault="00DE766B" w:rsidP="00DE766B">
      <w:pPr>
        <w:spacing w:after="0" w:line="240" w:lineRule="auto"/>
        <w:rPr>
          <w:bCs/>
          <w:sz w:val="18"/>
          <w:szCs w:val="18"/>
        </w:rPr>
      </w:pPr>
      <w:r w:rsidRPr="00701F02">
        <w:rPr>
          <w:b/>
          <w:bCs/>
          <w:sz w:val="18"/>
          <w:szCs w:val="18"/>
        </w:rPr>
        <w:t xml:space="preserve">Extended Data Figure 1. a </w:t>
      </w:r>
      <w:r w:rsidRPr="00701F02">
        <w:rPr>
          <w:bCs/>
          <w:sz w:val="18"/>
          <w:szCs w:val="18"/>
        </w:rPr>
        <w:t xml:space="preserve">Dependency of the ICC correlation between two replicates on potential lag shows that the two replicates are synchronous within 2-hour window. </w:t>
      </w:r>
      <w:r w:rsidRPr="00701F02">
        <w:rPr>
          <w:b/>
          <w:sz w:val="18"/>
          <w:szCs w:val="18"/>
        </w:rPr>
        <w:t>b</w:t>
      </w:r>
      <w:r w:rsidRPr="00701F02">
        <w:rPr>
          <w:bCs/>
          <w:sz w:val="18"/>
          <w:szCs w:val="18"/>
        </w:rPr>
        <w:t xml:space="preserve"> Euclidean distances between timepoint 0 and other timepoints in the PCA space estimate the IDC length to 31 hours.</w:t>
      </w:r>
    </w:p>
    <w:p w14:paraId="45DE1E9F" w14:textId="77777777" w:rsidR="00DE766B" w:rsidRPr="00701F02" w:rsidRDefault="00DE766B" w:rsidP="00DE766B"/>
    <w:p w14:paraId="75499BB1" w14:textId="77777777" w:rsidR="00DE766B" w:rsidRPr="00701F02" w:rsidRDefault="00DE766B" w:rsidP="00DE766B">
      <w:r w:rsidRPr="00701F02">
        <w:rPr>
          <w:noProof/>
        </w:rPr>
        <w:drawing>
          <wp:inline distT="0" distB="0" distL="0" distR="0" wp14:anchorId="2D679F83" wp14:editId="7B5F2600">
            <wp:extent cx="5731510" cy="4723765"/>
            <wp:effectExtent l="0" t="0" r="0" b="0"/>
            <wp:docPr id="130747389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2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6BEA7" w14:textId="77777777" w:rsidR="00DE766B" w:rsidRPr="00701F02" w:rsidRDefault="00DE766B" w:rsidP="00DE766B">
      <w:pPr>
        <w:spacing w:after="0" w:line="240" w:lineRule="auto"/>
        <w:rPr>
          <w:bCs/>
          <w:sz w:val="18"/>
          <w:szCs w:val="18"/>
        </w:rPr>
      </w:pPr>
      <w:r w:rsidRPr="00701F02">
        <w:rPr>
          <w:b/>
          <w:bCs/>
          <w:sz w:val="18"/>
          <w:szCs w:val="18"/>
        </w:rPr>
        <w:t xml:space="preserve">Extended Data Figure 2. a </w:t>
      </w:r>
      <w:r w:rsidRPr="00701F02">
        <w:rPr>
          <w:bCs/>
          <w:sz w:val="18"/>
          <w:szCs w:val="18"/>
        </w:rPr>
        <w:t xml:space="preserve">Gene expression peaks show a linear correlation between </w:t>
      </w:r>
      <w:r w:rsidRPr="00701F02">
        <w:rPr>
          <w:bCs/>
          <w:i/>
          <w:iCs/>
          <w:sz w:val="18"/>
          <w:szCs w:val="18"/>
        </w:rPr>
        <w:t>P. knowlesi</w:t>
      </w:r>
      <w:r w:rsidRPr="00701F02">
        <w:rPr>
          <w:bCs/>
          <w:sz w:val="18"/>
          <w:szCs w:val="18"/>
        </w:rPr>
        <w:t xml:space="preserve"> and </w:t>
      </w:r>
      <w:r w:rsidRPr="00701F02">
        <w:rPr>
          <w:bCs/>
          <w:i/>
          <w:iCs/>
          <w:sz w:val="18"/>
          <w:szCs w:val="18"/>
        </w:rPr>
        <w:t>P. falciparum</w:t>
      </w:r>
      <w:r w:rsidRPr="00701F02">
        <w:rPr>
          <w:bCs/>
          <w:sz w:val="18"/>
          <w:szCs w:val="18"/>
        </w:rPr>
        <w:t xml:space="preserve"> after the adjustment of </w:t>
      </w:r>
      <w:r w:rsidRPr="00701F02">
        <w:rPr>
          <w:bCs/>
          <w:i/>
          <w:iCs/>
          <w:sz w:val="18"/>
          <w:szCs w:val="18"/>
        </w:rPr>
        <w:t>P. falciparum</w:t>
      </w:r>
      <w:r w:rsidRPr="00701F02">
        <w:rPr>
          <w:bCs/>
          <w:sz w:val="18"/>
          <w:szCs w:val="18"/>
        </w:rPr>
        <w:t xml:space="preserve"> expression by two-segment function. </w:t>
      </w:r>
      <w:r w:rsidRPr="00701F02">
        <w:rPr>
          <w:b/>
          <w:sz w:val="18"/>
          <w:szCs w:val="18"/>
        </w:rPr>
        <w:t>b</w:t>
      </w:r>
      <w:r w:rsidRPr="00701F02">
        <w:rPr>
          <w:bCs/>
          <w:sz w:val="18"/>
          <w:szCs w:val="18"/>
        </w:rPr>
        <w:t xml:space="preserve"> Absolute phase differences between genes of </w:t>
      </w:r>
      <w:r w:rsidRPr="00701F02">
        <w:rPr>
          <w:bCs/>
          <w:i/>
          <w:iCs/>
          <w:sz w:val="18"/>
          <w:szCs w:val="18"/>
        </w:rPr>
        <w:t>P. knowlesi</w:t>
      </w:r>
      <w:r w:rsidRPr="00701F02">
        <w:rPr>
          <w:bCs/>
          <w:sz w:val="18"/>
          <w:szCs w:val="18"/>
        </w:rPr>
        <w:t xml:space="preserve"> and </w:t>
      </w:r>
      <w:r w:rsidRPr="00701F02">
        <w:rPr>
          <w:bCs/>
          <w:i/>
          <w:iCs/>
          <w:sz w:val="18"/>
          <w:szCs w:val="18"/>
        </w:rPr>
        <w:t>P. falciparum</w:t>
      </w:r>
      <w:r w:rsidRPr="00701F02">
        <w:rPr>
          <w:bCs/>
          <w:sz w:val="18"/>
          <w:szCs w:val="18"/>
        </w:rPr>
        <w:t xml:space="preserve"> before and after adjustment. </w:t>
      </w:r>
      <w:r w:rsidRPr="00701F02">
        <w:rPr>
          <w:b/>
          <w:sz w:val="18"/>
          <w:szCs w:val="18"/>
        </w:rPr>
        <w:t>c</w:t>
      </w:r>
      <w:r w:rsidRPr="00701F02">
        <w:rPr>
          <w:bCs/>
          <w:sz w:val="18"/>
          <w:szCs w:val="18"/>
        </w:rPr>
        <w:t xml:space="preserve"> Phase differences between genes of </w:t>
      </w:r>
      <w:r w:rsidRPr="00701F02">
        <w:rPr>
          <w:bCs/>
          <w:i/>
          <w:iCs/>
          <w:sz w:val="18"/>
          <w:szCs w:val="18"/>
        </w:rPr>
        <w:t>P. knowlesi</w:t>
      </w:r>
      <w:r w:rsidRPr="00701F02">
        <w:rPr>
          <w:bCs/>
          <w:sz w:val="18"/>
          <w:szCs w:val="18"/>
        </w:rPr>
        <w:t xml:space="preserve"> and </w:t>
      </w:r>
      <w:r w:rsidRPr="00701F02">
        <w:rPr>
          <w:bCs/>
          <w:i/>
          <w:iCs/>
          <w:sz w:val="18"/>
          <w:szCs w:val="18"/>
        </w:rPr>
        <w:t>P. vivax</w:t>
      </w:r>
      <w:r w:rsidRPr="00701F02">
        <w:rPr>
          <w:bCs/>
          <w:sz w:val="18"/>
          <w:szCs w:val="18"/>
        </w:rPr>
        <w:t xml:space="preserve">. </w:t>
      </w:r>
      <w:r w:rsidRPr="00701F02">
        <w:rPr>
          <w:b/>
          <w:sz w:val="18"/>
          <w:szCs w:val="18"/>
        </w:rPr>
        <w:t>d</w:t>
      </w:r>
      <w:r w:rsidRPr="00701F02">
        <w:rPr>
          <w:bCs/>
          <w:sz w:val="18"/>
          <w:szCs w:val="18"/>
        </w:rPr>
        <w:t xml:space="preserve"> </w:t>
      </w:r>
      <w:r w:rsidRPr="00701F02">
        <w:rPr>
          <w:bCs/>
          <w:sz w:val="18"/>
          <w:szCs w:val="18"/>
        </w:rPr>
        <w:lastRenderedPageBreak/>
        <w:t xml:space="preserve">One-sided GSEA across different gene expression time shifts between </w:t>
      </w:r>
      <w:r w:rsidRPr="00701F02">
        <w:rPr>
          <w:bCs/>
          <w:i/>
          <w:iCs/>
          <w:sz w:val="18"/>
          <w:szCs w:val="18"/>
        </w:rPr>
        <w:t>P. knowlesi</w:t>
      </w:r>
      <w:r w:rsidRPr="00701F02">
        <w:rPr>
          <w:bCs/>
          <w:sz w:val="18"/>
          <w:szCs w:val="18"/>
        </w:rPr>
        <w:t xml:space="preserve"> and </w:t>
      </w:r>
      <w:r w:rsidRPr="00701F02">
        <w:rPr>
          <w:bCs/>
          <w:i/>
          <w:iCs/>
          <w:sz w:val="18"/>
          <w:szCs w:val="18"/>
        </w:rPr>
        <w:t>P. falciparum</w:t>
      </w:r>
      <w:r w:rsidRPr="00701F02">
        <w:rPr>
          <w:bCs/>
          <w:sz w:val="18"/>
          <w:szCs w:val="18"/>
        </w:rPr>
        <w:t xml:space="preserve">. </w:t>
      </w:r>
      <w:r w:rsidRPr="00701F02">
        <w:rPr>
          <w:b/>
          <w:sz w:val="18"/>
          <w:szCs w:val="18"/>
        </w:rPr>
        <w:t>e</w:t>
      </w:r>
      <w:r w:rsidRPr="00701F02">
        <w:rPr>
          <w:bCs/>
          <w:sz w:val="18"/>
          <w:szCs w:val="18"/>
        </w:rPr>
        <w:t xml:space="preserve"> One-sided GSEA across different gene expression time shifts between </w:t>
      </w:r>
      <w:r w:rsidRPr="00701F02">
        <w:rPr>
          <w:bCs/>
          <w:i/>
          <w:iCs/>
          <w:sz w:val="18"/>
          <w:szCs w:val="18"/>
        </w:rPr>
        <w:t>P. knowlesi</w:t>
      </w:r>
      <w:r w:rsidRPr="00701F02">
        <w:rPr>
          <w:bCs/>
          <w:sz w:val="18"/>
          <w:szCs w:val="18"/>
        </w:rPr>
        <w:t xml:space="preserve"> and </w:t>
      </w:r>
      <w:r w:rsidRPr="00701F02">
        <w:rPr>
          <w:bCs/>
          <w:i/>
          <w:iCs/>
          <w:sz w:val="18"/>
          <w:szCs w:val="18"/>
        </w:rPr>
        <w:t>P. vivax</w:t>
      </w:r>
      <w:r w:rsidRPr="00701F02">
        <w:rPr>
          <w:bCs/>
          <w:sz w:val="18"/>
          <w:szCs w:val="18"/>
        </w:rPr>
        <w:t xml:space="preserve">. </w:t>
      </w:r>
      <w:r w:rsidRPr="00701F02">
        <w:rPr>
          <w:b/>
          <w:sz w:val="18"/>
          <w:szCs w:val="18"/>
        </w:rPr>
        <w:t>f-g</w:t>
      </w:r>
      <w:r w:rsidRPr="00701F02">
        <w:rPr>
          <w:bCs/>
          <w:sz w:val="18"/>
          <w:szCs w:val="18"/>
        </w:rPr>
        <w:t xml:space="preserve"> Correlation between expression peak times of </w:t>
      </w:r>
      <w:r w:rsidRPr="00701F02">
        <w:rPr>
          <w:bCs/>
          <w:i/>
          <w:iCs/>
          <w:sz w:val="18"/>
          <w:szCs w:val="18"/>
        </w:rPr>
        <w:t xml:space="preserve">P. knowlesi </w:t>
      </w:r>
      <w:r w:rsidRPr="00701F02">
        <w:rPr>
          <w:bCs/>
          <w:sz w:val="18"/>
          <w:szCs w:val="18"/>
        </w:rPr>
        <w:t>grown in macaque or human RBCs and</w:t>
      </w:r>
      <w:r w:rsidRPr="00701F02">
        <w:rPr>
          <w:bCs/>
          <w:i/>
          <w:iCs/>
          <w:sz w:val="18"/>
          <w:szCs w:val="18"/>
        </w:rPr>
        <w:t xml:space="preserve"> P. falciparum</w:t>
      </w:r>
      <w:r w:rsidRPr="00701F02">
        <w:rPr>
          <w:bCs/>
          <w:sz w:val="18"/>
          <w:szCs w:val="18"/>
        </w:rPr>
        <w:t xml:space="preserve"> (</w:t>
      </w:r>
      <w:r w:rsidRPr="00701F02">
        <w:rPr>
          <w:b/>
          <w:sz w:val="18"/>
          <w:szCs w:val="18"/>
        </w:rPr>
        <w:t>f</w:t>
      </w:r>
      <w:r w:rsidRPr="00701F02">
        <w:rPr>
          <w:bCs/>
          <w:sz w:val="18"/>
          <w:szCs w:val="18"/>
        </w:rPr>
        <w:t xml:space="preserve">) or </w:t>
      </w:r>
      <w:r w:rsidRPr="00701F02">
        <w:rPr>
          <w:bCs/>
          <w:i/>
          <w:iCs/>
          <w:sz w:val="18"/>
          <w:szCs w:val="18"/>
        </w:rPr>
        <w:t>P. vivax</w:t>
      </w:r>
      <w:r w:rsidRPr="00701F02">
        <w:rPr>
          <w:bCs/>
          <w:sz w:val="18"/>
          <w:szCs w:val="18"/>
        </w:rPr>
        <w:t xml:space="preserve"> (</w:t>
      </w:r>
      <w:r w:rsidRPr="00701F02">
        <w:rPr>
          <w:b/>
          <w:sz w:val="18"/>
          <w:szCs w:val="18"/>
        </w:rPr>
        <w:t>g</w:t>
      </w:r>
      <w:r w:rsidRPr="00701F02">
        <w:rPr>
          <w:bCs/>
          <w:sz w:val="18"/>
          <w:szCs w:val="18"/>
        </w:rPr>
        <w:t>).</w:t>
      </w:r>
    </w:p>
    <w:p w14:paraId="662CCF21" w14:textId="77777777" w:rsidR="00DE766B" w:rsidRPr="00701F02" w:rsidRDefault="00DE766B" w:rsidP="00DE766B">
      <w:pPr>
        <w:spacing w:line="259" w:lineRule="auto"/>
        <w:jc w:val="left"/>
        <w:rPr>
          <w:bCs/>
          <w:sz w:val="18"/>
          <w:szCs w:val="18"/>
        </w:rPr>
      </w:pPr>
      <w:r w:rsidRPr="00701F02">
        <w:br w:type="page"/>
      </w:r>
    </w:p>
    <w:p w14:paraId="6013033F" w14:textId="77777777" w:rsidR="00DE766B" w:rsidRPr="00701F02" w:rsidRDefault="00DE766B" w:rsidP="00DE766B">
      <w:pPr>
        <w:spacing w:after="0" w:line="240" w:lineRule="auto"/>
        <w:rPr>
          <w:bCs/>
          <w:sz w:val="18"/>
          <w:szCs w:val="18"/>
        </w:rPr>
      </w:pPr>
      <w:r w:rsidRPr="00701F02">
        <w:rPr>
          <w:bCs/>
          <w:noProof/>
          <w:sz w:val="18"/>
          <w:szCs w:val="18"/>
        </w:rPr>
        <w:lastRenderedPageBreak/>
        <w:drawing>
          <wp:inline distT="0" distB="0" distL="0" distR="0" wp14:anchorId="0C41BDCC" wp14:editId="511AEEE2">
            <wp:extent cx="5731510" cy="3757295"/>
            <wp:effectExtent l="0" t="0" r="2540" b="0"/>
            <wp:docPr id="43441367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5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0750E" w14:textId="77777777" w:rsidR="00DE766B" w:rsidRPr="00701F02" w:rsidRDefault="00DE766B" w:rsidP="00DE766B">
      <w:pPr>
        <w:spacing w:after="0" w:line="240" w:lineRule="auto"/>
        <w:rPr>
          <w:bCs/>
          <w:sz w:val="18"/>
          <w:szCs w:val="18"/>
        </w:rPr>
      </w:pPr>
      <w:r w:rsidRPr="00701F02">
        <w:rPr>
          <w:b/>
          <w:bCs/>
          <w:sz w:val="18"/>
          <w:szCs w:val="18"/>
        </w:rPr>
        <w:t xml:space="preserve">Extended Data Figure 3. a </w:t>
      </w:r>
      <w:r w:rsidRPr="00701F02">
        <w:rPr>
          <w:bCs/>
          <w:sz w:val="18"/>
          <w:szCs w:val="18"/>
        </w:rPr>
        <w:t xml:space="preserve">Heatmap of scaled gene expression TPM values of </w:t>
      </w:r>
      <w:r w:rsidRPr="00701F02">
        <w:rPr>
          <w:bCs/>
          <w:i/>
          <w:iCs/>
          <w:sz w:val="18"/>
          <w:szCs w:val="18"/>
        </w:rPr>
        <w:t>P. knowlesi</w:t>
      </w:r>
      <w:r w:rsidRPr="00701F02">
        <w:rPr>
          <w:bCs/>
          <w:sz w:val="18"/>
          <w:szCs w:val="18"/>
        </w:rPr>
        <w:t xml:space="preserve"> cultured in human or macaque blood, replicate 2. </w:t>
      </w:r>
      <w:r w:rsidRPr="00701F02">
        <w:rPr>
          <w:b/>
          <w:sz w:val="18"/>
          <w:szCs w:val="18"/>
        </w:rPr>
        <w:t>b</w:t>
      </w:r>
      <w:r w:rsidRPr="00701F02">
        <w:rPr>
          <w:bCs/>
          <w:sz w:val="18"/>
          <w:szCs w:val="18"/>
        </w:rPr>
        <w:t xml:space="preserve"> PCA plots with human (square points) and macaque triangle points) overlayed on top of the consensus IDC (round points). </w:t>
      </w:r>
      <w:r w:rsidRPr="00701F02">
        <w:rPr>
          <w:b/>
          <w:sz w:val="18"/>
          <w:szCs w:val="18"/>
        </w:rPr>
        <w:t>c</w:t>
      </w:r>
      <w:r w:rsidRPr="00701F02">
        <w:rPr>
          <w:bCs/>
          <w:sz w:val="18"/>
          <w:szCs w:val="18"/>
        </w:rPr>
        <w:t xml:space="preserve"> Correlation between log2 TPM values of </w:t>
      </w:r>
      <w:r w:rsidRPr="00701F02">
        <w:rPr>
          <w:bCs/>
          <w:i/>
          <w:iCs/>
          <w:sz w:val="18"/>
          <w:szCs w:val="18"/>
        </w:rPr>
        <w:t>P. knowlesi</w:t>
      </w:r>
      <w:r w:rsidRPr="00701F02">
        <w:rPr>
          <w:bCs/>
          <w:sz w:val="18"/>
          <w:szCs w:val="18"/>
        </w:rPr>
        <w:t xml:space="preserve"> genes grown in human and macaque RBCs. </w:t>
      </w:r>
      <w:r w:rsidRPr="00701F02">
        <w:rPr>
          <w:b/>
          <w:sz w:val="18"/>
          <w:szCs w:val="18"/>
        </w:rPr>
        <w:t>d</w:t>
      </w:r>
      <w:r w:rsidRPr="00701F02">
        <w:rPr>
          <w:bCs/>
          <w:sz w:val="18"/>
          <w:szCs w:val="18"/>
        </w:rPr>
        <w:t xml:space="preserve"> Expression profile of TRAPP complex subunit 4 in hRBCs and mRBCs. </w:t>
      </w:r>
      <w:r w:rsidRPr="00701F02">
        <w:rPr>
          <w:b/>
          <w:sz w:val="18"/>
          <w:szCs w:val="18"/>
        </w:rPr>
        <w:t>e</w:t>
      </w:r>
      <w:r w:rsidRPr="00701F02">
        <w:rPr>
          <w:bCs/>
          <w:sz w:val="18"/>
          <w:szCs w:val="18"/>
        </w:rPr>
        <w:t xml:space="preserve"> Differential expression analysis at 4 timepoints. rRNAs are blue. </w:t>
      </w:r>
      <w:r w:rsidRPr="00701F02">
        <w:rPr>
          <w:b/>
          <w:sz w:val="18"/>
          <w:szCs w:val="18"/>
        </w:rPr>
        <w:t>f</w:t>
      </w:r>
      <w:r w:rsidRPr="00701F02">
        <w:rPr>
          <w:bCs/>
          <w:sz w:val="18"/>
          <w:szCs w:val="18"/>
        </w:rPr>
        <w:t xml:space="preserve"> Difference in CPM (counts per million) values between hRBCs and mRBCs, comparing the distribution of rRNA and other RNA. 18S rRNA is highlighted by the red point.</w:t>
      </w:r>
    </w:p>
    <w:p w14:paraId="79478CDF" w14:textId="77777777" w:rsidR="00DE766B" w:rsidRPr="00701F02" w:rsidRDefault="00DE766B" w:rsidP="00DE766B"/>
    <w:p w14:paraId="48F451B4" w14:textId="77777777" w:rsidR="00DE766B" w:rsidRPr="00701F02" w:rsidRDefault="00DE766B" w:rsidP="00DE766B">
      <w:pPr>
        <w:spacing w:after="0" w:line="240" w:lineRule="auto"/>
        <w:rPr>
          <w:bCs/>
          <w:sz w:val="18"/>
          <w:szCs w:val="18"/>
        </w:rPr>
      </w:pPr>
      <w:r w:rsidRPr="00701F02">
        <w:rPr>
          <w:bCs/>
          <w:noProof/>
          <w:sz w:val="18"/>
          <w:szCs w:val="18"/>
        </w:rPr>
        <w:drawing>
          <wp:inline distT="0" distB="0" distL="0" distR="0" wp14:anchorId="114B41A6" wp14:editId="0F224637">
            <wp:extent cx="4132440" cy="2698115"/>
            <wp:effectExtent l="0" t="0" r="0" b="6985"/>
            <wp:docPr id="11385026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502614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440" cy="269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F489F" w14:textId="77777777" w:rsidR="00DE766B" w:rsidRPr="00701F02" w:rsidRDefault="00DE766B" w:rsidP="00DE766B">
      <w:pPr>
        <w:spacing w:after="0" w:line="240" w:lineRule="auto"/>
        <w:rPr>
          <w:bCs/>
          <w:sz w:val="18"/>
          <w:szCs w:val="18"/>
        </w:rPr>
      </w:pPr>
      <w:r w:rsidRPr="00701F02">
        <w:rPr>
          <w:b/>
          <w:bCs/>
          <w:sz w:val="18"/>
          <w:szCs w:val="18"/>
        </w:rPr>
        <w:t xml:space="preserve">Extended Data Figure 4. a </w:t>
      </w:r>
      <w:r w:rsidRPr="00701F02">
        <w:rPr>
          <w:sz w:val="18"/>
          <w:szCs w:val="18"/>
        </w:rPr>
        <w:t xml:space="preserve">Protein and RNA expression amplitudes </w:t>
      </w:r>
      <w:r w:rsidRPr="00701F02">
        <w:rPr>
          <w:bCs/>
          <w:sz w:val="18"/>
          <w:szCs w:val="18"/>
        </w:rPr>
        <w:t xml:space="preserve">of glutathione synthetase (GSS). </w:t>
      </w:r>
      <w:r w:rsidRPr="00701F02">
        <w:rPr>
          <w:b/>
          <w:sz w:val="18"/>
          <w:szCs w:val="18"/>
        </w:rPr>
        <w:t xml:space="preserve">b-c </w:t>
      </w:r>
      <w:r w:rsidRPr="00701F02">
        <w:rPr>
          <w:bCs/>
          <w:sz w:val="18"/>
          <w:szCs w:val="18"/>
        </w:rPr>
        <w:t>Gene expression profiles of glucose-6-phosphate dehydrogenase-6-phosphogluconolactonase (</w:t>
      </w:r>
      <w:r w:rsidRPr="00701F02">
        <w:rPr>
          <w:b/>
          <w:sz w:val="18"/>
          <w:szCs w:val="18"/>
        </w:rPr>
        <w:t>b</w:t>
      </w:r>
      <w:r w:rsidRPr="00701F02">
        <w:rPr>
          <w:bCs/>
          <w:sz w:val="18"/>
          <w:szCs w:val="18"/>
        </w:rPr>
        <w:t>) and 6-phosphogluconate dehydrogenase (</w:t>
      </w:r>
      <w:r w:rsidRPr="00701F02">
        <w:rPr>
          <w:b/>
          <w:sz w:val="18"/>
          <w:szCs w:val="18"/>
        </w:rPr>
        <w:t>c</w:t>
      </w:r>
      <w:r w:rsidRPr="00701F02">
        <w:rPr>
          <w:bCs/>
          <w:sz w:val="18"/>
          <w:szCs w:val="18"/>
        </w:rPr>
        <w:t xml:space="preserve">). </w:t>
      </w:r>
      <w:r w:rsidRPr="00701F02">
        <w:rPr>
          <w:b/>
          <w:sz w:val="18"/>
          <w:szCs w:val="18"/>
        </w:rPr>
        <w:t>d</w:t>
      </w:r>
      <w:r w:rsidRPr="00701F02">
        <w:rPr>
          <w:bCs/>
          <w:sz w:val="18"/>
          <w:szCs w:val="18"/>
        </w:rPr>
        <w:t xml:space="preserve"> Differential expression analysis of proteins across the entire IDC. </w:t>
      </w:r>
      <w:r w:rsidRPr="00701F02">
        <w:rPr>
          <w:b/>
          <w:sz w:val="18"/>
          <w:szCs w:val="18"/>
        </w:rPr>
        <w:t>e</w:t>
      </w:r>
      <w:r w:rsidRPr="00701F02">
        <w:rPr>
          <w:bCs/>
          <w:sz w:val="18"/>
          <w:szCs w:val="18"/>
        </w:rPr>
        <w:t xml:space="preserve"> Terms enriched by GSEA based on logFC values from the differential expression analysis.</w:t>
      </w:r>
    </w:p>
    <w:p w14:paraId="79C1DA9E" w14:textId="77777777" w:rsidR="00DE766B" w:rsidRPr="00701F02" w:rsidRDefault="00DE766B" w:rsidP="00DE766B">
      <w:pPr>
        <w:spacing w:line="259" w:lineRule="auto"/>
        <w:jc w:val="left"/>
        <w:rPr>
          <w:bCs/>
          <w:sz w:val="18"/>
          <w:szCs w:val="18"/>
        </w:rPr>
      </w:pPr>
      <w:r w:rsidRPr="00701F02">
        <w:lastRenderedPageBreak/>
        <w:br w:type="page"/>
      </w:r>
    </w:p>
    <w:p w14:paraId="1CECDDF4" w14:textId="77777777" w:rsidR="00DE766B" w:rsidRPr="00701F02" w:rsidRDefault="00DE766B" w:rsidP="00DE766B">
      <w:pPr>
        <w:spacing w:after="0" w:line="240" w:lineRule="auto"/>
        <w:rPr>
          <w:bCs/>
          <w:sz w:val="18"/>
          <w:szCs w:val="18"/>
        </w:rPr>
      </w:pPr>
      <w:r w:rsidRPr="00701F02">
        <w:rPr>
          <w:bCs/>
          <w:noProof/>
          <w:sz w:val="18"/>
          <w:szCs w:val="18"/>
        </w:rPr>
        <w:lastRenderedPageBreak/>
        <w:drawing>
          <wp:inline distT="0" distB="0" distL="0" distR="0" wp14:anchorId="30EC5558" wp14:editId="7592CEA2">
            <wp:extent cx="5731510" cy="4723830"/>
            <wp:effectExtent l="0" t="0" r="2540" b="0"/>
            <wp:docPr id="40986639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66392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2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BAB8A" w14:textId="77777777" w:rsidR="00DE766B" w:rsidRPr="00701F02" w:rsidRDefault="00DE766B" w:rsidP="00DE766B">
      <w:pPr>
        <w:spacing w:after="0" w:line="240" w:lineRule="auto"/>
        <w:rPr>
          <w:sz w:val="18"/>
          <w:szCs w:val="18"/>
        </w:rPr>
      </w:pPr>
      <w:r w:rsidRPr="00701F02">
        <w:rPr>
          <w:b/>
          <w:bCs/>
          <w:sz w:val="18"/>
          <w:szCs w:val="18"/>
        </w:rPr>
        <w:t xml:space="preserve">Extended Data Figure 5. a </w:t>
      </w:r>
      <w:r w:rsidRPr="00701F02">
        <w:rPr>
          <w:sz w:val="18"/>
          <w:szCs w:val="18"/>
        </w:rPr>
        <w:t xml:space="preserve">Number of </w:t>
      </w:r>
      <w:r w:rsidRPr="00701F02">
        <w:rPr>
          <w:i/>
          <w:iCs/>
          <w:sz w:val="18"/>
          <w:szCs w:val="18"/>
        </w:rPr>
        <w:t>P. knowlesi</w:t>
      </w:r>
      <w:r w:rsidRPr="00701F02">
        <w:rPr>
          <w:sz w:val="18"/>
          <w:szCs w:val="18"/>
        </w:rPr>
        <w:t xml:space="preserve"> proteins detected at different timepoints in macaque and human RBCs. </w:t>
      </w:r>
      <w:r w:rsidRPr="00701F02">
        <w:rPr>
          <w:b/>
          <w:bCs/>
          <w:sz w:val="18"/>
          <w:szCs w:val="18"/>
        </w:rPr>
        <w:t>b</w:t>
      </w:r>
      <w:r w:rsidRPr="00701F02">
        <w:rPr>
          <w:sz w:val="18"/>
          <w:szCs w:val="18"/>
        </w:rPr>
        <w:t xml:space="preserve"> Correlation of melting temperatures (Tm) in hRBCs and mRBCs at different timepoints. </w:t>
      </w:r>
      <w:r w:rsidRPr="00701F02">
        <w:rPr>
          <w:b/>
          <w:bCs/>
          <w:sz w:val="18"/>
          <w:szCs w:val="18"/>
        </w:rPr>
        <w:t>c</w:t>
      </w:r>
      <w:r w:rsidRPr="00701F02">
        <w:rPr>
          <w:sz w:val="18"/>
          <w:szCs w:val="18"/>
        </w:rPr>
        <w:t xml:space="preserve"> Amplitudes of melting temperatures of </w:t>
      </w:r>
      <w:r w:rsidRPr="00701F02">
        <w:rPr>
          <w:i/>
          <w:iCs/>
          <w:sz w:val="18"/>
          <w:szCs w:val="18"/>
        </w:rPr>
        <w:t>P. knowlesi</w:t>
      </w:r>
      <w:r w:rsidRPr="00701F02">
        <w:rPr>
          <w:sz w:val="18"/>
          <w:szCs w:val="18"/>
        </w:rPr>
        <w:t xml:space="preserve"> cultured in human or monkey RBCs. </w:t>
      </w:r>
      <w:r w:rsidRPr="00701F02">
        <w:rPr>
          <w:b/>
          <w:bCs/>
          <w:sz w:val="18"/>
          <w:szCs w:val="18"/>
        </w:rPr>
        <w:t>d</w:t>
      </w:r>
      <w:r w:rsidRPr="00701F02">
        <w:rPr>
          <w:sz w:val="18"/>
          <w:szCs w:val="18"/>
        </w:rPr>
        <w:t xml:space="preserve"> Correlation of stability profiles between pairs of proteins in hRBCs and mRBCs. </w:t>
      </w:r>
      <w:r w:rsidRPr="00701F02">
        <w:rPr>
          <w:b/>
          <w:bCs/>
          <w:sz w:val="18"/>
          <w:szCs w:val="18"/>
        </w:rPr>
        <w:t>e</w:t>
      </w:r>
      <w:r w:rsidRPr="00701F02">
        <w:rPr>
          <w:sz w:val="18"/>
          <w:szCs w:val="18"/>
        </w:rPr>
        <w:t xml:space="preserve"> Distribution of abundance peak times at different stability peak times suggest that there is no correlation between the two. </w:t>
      </w:r>
      <w:r w:rsidRPr="00701F02">
        <w:rPr>
          <w:b/>
          <w:bCs/>
          <w:sz w:val="18"/>
          <w:szCs w:val="18"/>
        </w:rPr>
        <w:t>f</w:t>
      </w:r>
      <w:r w:rsidRPr="00701F02">
        <w:rPr>
          <w:sz w:val="18"/>
          <w:szCs w:val="18"/>
        </w:rPr>
        <w:t xml:space="preserve"> Sequence alignment between human and macaque hemoglobins shows enrichment of glutamine residues in macaque hemoglobin. </w:t>
      </w:r>
      <w:r w:rsidRPr="00701F02">
        <w:rPr>
          <w:b/>
          <w:bCs/>
          <w:sz w:val="18"/>
          <w:szCs w:val="18"/>
        </w:rPr>
        <w:t>g</w:t>
      </w:r>
      <w:r w:rsidRPr="00701F02">
        <w:rPr>
          <w:sz w:val="18"/>
          <w:szCs w:val="18"/>
        </w:rPr>
        <w:t xml:space="preserve"> Prediction of moonlighting proteins in human and macaque-cultured </w:t>
      </w:r>
      <w:r w:rsidRPr="00701F02">
        <w:rPr>
          <w:i/>
          <w:iCs/>
          <w:sz w:val="18"/>
          <w:szCs w:val="18"/>
        </w:rPr>
        <w:t>P. knowlesi</w:t>
      </w:r>
      <w:r w:rsidRPr="00701F02">
        <w:rPr>
          <w:sz w:val="18"/>
          <w:szCs w:val="18"/>
        </w:rPr>
        <w:t>.</w:t>
      </w:r>
    </w:p>
    <w:p w14:paraId="52EA9C4F" w14:textId="77777777" w:rsidR="009542D6" w:rsidRDefault="009542D6"/>
    <w:sectPr w:rsidR="00954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66B"/>
    <w:rsid w:val="00264C10"/>
    <w:rsid w:val="00470242"/>
    <w:rsid w:val="00726E03"/>
    <w:rsid w:val="00934BC8"/>
    <w:rsid w:val="009519A3"/>
    <w:rsid w:val="009542D6"/>
    <w:rsid w:val="00C8679A"/>
    <w:rsid w:val="00DE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BBB8E"/>
  <w15:chartTrackingRefBased/>
  <w15:docId w15:val="{487CFFA4-015E-4E9A-9C51-A7499E6E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66B"/>
    <w:pPr>
      <w:spacing w:line="360" w:lineRule="auto"/>
      <w:jc w:val="both"/>
    </w:pPr>
    <w:rPr>
      <w:rFonts w:eastAsiaTheme="minorHAnsi"/>
      <w:sz w:val="22"/>
      <w:szCs w:val="22"/>
      <w:lang w:val="en-SG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766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66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66B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66B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66B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66B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66B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66B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66B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6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6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6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6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6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6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6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6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6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66B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</w:rPr>
  </w:style>
  <w:style w:type="character" w:customStyle="1" w:styleId="TitleChar">
    <w:name w:val="Title Char"/>
    <w:basedOn w:val="DefaultParagraphFont"/>
    <w:link w:val="Title"/>
    <w:uiPriority w:val="10"/>
    <w:rsid w:val="00DE7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66B"/>
    <w:pPr>
      <w:numPr>
        <w:ilvl w:val="1"/>
      </w:numPr>
      <w:spacing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DE7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66B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sz w:val="24"/>
      <w:szCs w:val="24"/>
      <w:lang w:val="en-US" w:eastAsia="zh-CN"/>
    </w:rPr>
  </w:style>
  <w:style w:type="character" w:customStyle="1" w:styleId="QuoteChar">
    <w:name w:val="Quote Char"/>
    <w:basedOn w:val="DefaultParagraphFont"/>
    <w:link w:val="Quote"/>
    <w:uiPriority w:val="29"/>
    <w:rsid w:val="00DE76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66B"/>
    <w:pPr>
      <w:spacing w:line="278" w:lineRule="auto"/>
      <w:ind w:left="720"/>
      <w:contextualSpacing/>
      <w:jc w:val="left"/>
    </w:pPr>
    <w:rPr>
      <w:rFonts w:eastAsiaTheme="minorEastAsia"/>
      <w:sz w:val="24"/>
      <w:szCs w:val="24"/>
      <w:lang w:val="en-US" w:eastAsia="zh-CN"/>
    </w:rPr>
  </w:style>
  <w:style w:type="character" w:styleId="IntenseEmphasis">
    <w:name w:val="Intense Emphasis"/>
    <w:basedOn w:val="DefaultParagraphFont"/>
    <w:uiPriority w:val="21"/>
    <w:qFormat/>
    <w:rsid w:val="00DE76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6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sz w:val="24"/>
      <w:szCs w:val="24"/>
      <w:lang w:val="en-US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6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6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2026-11-05T07:06:00Z</dcterms:created>
  <dcterms:modified xsi:type="dcterms:W3CDTF">2026-11-05T07:07:00Z</dcterms:modified>
</cp:coreProperties>
</file>