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E6F53" w14:textId="1F2AE740" w:rsidR="00ED101C" w:rsidRPr="00ED101C" w:rsidRDefault="00ED101C" w:rsidP="00ED101C">
      <w:pPr>
        <w:ind w:firstLine="0"/>
        <w:jc w:val="left"/>
        <w:rPr>
          <w:rFonts w:cs="Times New Roman"/>
          <w:b/>
          <w:color w:val="000000" w:themeColor="text1"/>
          <w:szCs w:val="24"/>
          <w:lang w:val="en-GB"/>
        </w:rPr>
      </w:pPr>
      <w:r w:rsidRPr="00ED101C">
        <w:rPr>
          <w:rFonts w:cs="Times New Roman"/>
          <w:b/>
          <w:color w:val="000000" w:themeColor="text1"/>
          <w:szCs w:val="24"/>
          <w:lang w:val="en-GB"/>
        </w:rPr>
        <w:t>Table</w:t>
      </w:r>
      <w:r w:rsidRPr="00ED101C">
        <w:rPr>
          <w:rFonts w:cs="Times New Roman"/>
          <w:b/>
          <w:color w:val="000000" w:themeColor="text1"/>
          <w:szCs w:val="24"/>
          <w:lang w:val="en-GB"/>
        </w:rPr>
        <w:t xml:space="preserve"> </w:t>
      </w:r>
      <w:r w:rsidR="008660B7">
        <w:rPr>
          <w:rFonts w:cs="Times New Roman"/>
          <w:b/>
          <w:color w:val="000000" w:themeColor="text1"/>
          <w:szCs w:val="24"/>
          <w:lang w:val="en-GB"/>
        </w:rPr>
        <w:t>S</w:t>
      </w:r>
      <w:r w:rsidRPr="00ED101C">
        <w:rPr>
          <w:rFonts w:cs="Times New Roman"/>
          <w:b/>
          <w:color w:val="000000" w:themeColor="text1"/>
          <w:szCs w:val="24"/>
          <w:lang w:val="en-GB"/>
        </w:rPr>
        <w:t>1</w:t>
      </w:r>
      <w:r w:rsidRPr="00ED101C">
        <w:rPr>
          <w:rFonts w:cs="Times New Roman"/>
          <w:b/>
          <w:color w:val="000000" w:themeColor="text1"/>
          <w:szCs w:val="24"/>
          <w:lang w:val="en-GB"/>
        </w:rPr>
        <w:t xml:space="preserve">. </w:t>
      </w:r>
      <w:r w:rsidRPr="00ED101C">
        <w:rPr>
          <w:rFonts w:cs="Times New Roman"/>
          <w:bCs/>
          <w:color w:val="000000" w:themeColor="text1"/>
          <w:szCs w:val="24"/>
          <w:lang w:val="en-GB"/>
        </w:rPr>
        <w:t xml:space="preserve">Diagnostic performance of pleural and plasma pro-cathepsin D in </w:t>
      </w:r>
      <w:r w:rsidR="008660B7">
        <w:rPr>
          <w:rFonts w:cs="Times New Roman"/>
          <w:bCs/>
          <w:color w:val="000000" w:themeColor="text1"/>
          <w:szCs w:val="24"/>
          <w:lang w:val="en-GB"/>
        </w:rPr>
        <w:t>discriminating</w:t>
      </w:r>
      <w:r w:rsidRPr="00ED101C">
        <w:rPr>
          <w:rFonts w:cs="Times New Roman"/>
          <w:bCs/>
          <w:color w:val="000000" w:themeColor="text1"/>
          <w:szCs w:val="24"/>
          <w:lang w:val="en-GB"/>
        </w:rPr>
        <w:t xml:space="preserve"> malignant pleural effusion</w:t>
      </w:r>
      <w:r w:rsidRPr="00ED101C">
        <w:rPr>
          <w:rFonts w:cs="Times New Roman"/>
          <w:bCs/>
          <w:color w:val="000000" w:themeColor="text1"/>
          <w:szCs w:val="24"/>
          <w:lang w:val="en-GB"/>
        </w:rPr>
        <w:t xml:space="preserve"> with negative cytology</w:t>
      </w:r>
      <w:r w:rsidR="008660B7">
        <w:rPr>
          <w:rFonts w:cs="Times New Roman"/>
          <w:bCs/>
          <w:color w:val="000000" w:themeColor="text1"/>
          <w:szCs w:val="24"/>
          <w:lang w:val="en-GB"/>
        </w:rPr>
        <w:t xml:space="preserve"> from benign pleural effusion</w:t>
      </w:r>
      <w:r w:rsidRPr="00ED101C">
        <w:rPr>
          <w:rFonts w:cs="Times New Roman"/>
          <w:bCs/>
          <w:color w:val="000000" w:themeColor="text1"/>
          <w:szCs w:val="24"/>
          <w:lang w:val="en-GB"/>
        </w:rPr>
        <w:t>.</w:t>
      </w:r>
    </w:p>
    <w:tbl>
      <w:tblPr>
        <w:tblW w:w="13697" w:type="dxa"/>
        <w:tblInd w:w="-62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89"/>
        <w:gridCol w:w="2118"/>
        <w:gridCol w:w="2118"/>
        <w:gridCol w:w="1718"/>
        <w:gridCol w:w="1718"/>
        <w:gridCol w:w="1718"/>
        <w:gridCol w:w="1718"/>
      </w:tblGrid>
      <w:tr w:rsidR="00ED101C" w:rsidRPr="00ED101C" w14:paraId="4289BA7D" w14:textId="77777777" w:rsidTr="00C94D5E">
        <w:trPr>
          <w:trHeight w:val="372"/>
        </w:trPr>
        <w:tc>
          <w:tcPr>
            <w:tcW w:w="13697" w:type="dxa"/>
            <w:gridSpan w:val="7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95BA" w14:textId="77777777" w:rsidR="00ED101C" w:rsidRPr="00ED101C" w:rsidRDefault="00ED101C" w:rsidP="00C94D5E">
            <w:pPr>
              <w:spacing w:after="0" w:line="276" w:lineRule="auto"/>
              <w:ind w:firstLine="0"/>
              <w:jc w:val="left"/>
              <w:rPr>
                <w:rFonts w:eastAsia="맑은 고딕" w:cs="Times New Roman"/>
                <w:color w:val="000000" w:themeColor="text1"/>
                <w:kern w:val="0"/>
                <w:szCs w:val="24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1"/>
                <w:szCs w:val="21"/>
                <w:lang w:val="en-GB"/>
              </w:rPr>
              <w:t xml:space="preserve">Pleural fluid pro-cathepsin D, </w:t>
            </w:r>
            <w:proofErr w:type="spellStart"/>
            <w:r w:rsidRPr="00ED101C">
              <w:rPr>
                <w:rFonts w:eastAsia="맑은 고딕" w:cs="Times New Roman"/>
                <w:color w:val="000000" w:themeColor="text1"/>
                <w:kern w:val="0"/>
                <w:sz w:val="21"/>
                <w:szCs w:val="21"/>
                <w:lang w:val="en-GB"/>
              </w:rPr>
              <w:t>pg</w:t>
            </w:r>
            <w:proofErr w:type="spellEnd"/>
            <w:r w:rsidRPr="00ED101C">
              <w:rPr>
                <w:rFonts w:eastAsia="맑은 고딕" w:cs="Times New Roman"/>
                <w:color w:val="000000" w:themeColor="text1"/>
                <w:kern w:val="0"/>
                <w:sz w:val="21"/>
                <w:szCs w:val="21"/>
                <w:lang w:val="en-GB"/>
              </w:rPr>
              <w:t>/mL</w:t>
            </w:r>
          </w:p>
        </w:tc>
      </w:tr>
      <w:tr w:rsidR="00ED101C" w:rsidRPr="00ED101C" w14:paraId="31F05296" w14:textId="77777777" w:rsidTr="00C94D5E">
        <w:trPr>
          <w:trHeight w:val="372"/>
        </w:trPr>
        <w:tc>
          <w:tcPr>
            <w:tcW w:w="258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C436E9" w14:textId="77777777" w:rsidR="00ED101C" w:rsidRPr="00ED101C" w:rsidRDefault="00ED101C" w:rsidP="00C94D5E">
            <w:pPr>
              <w:spacing w:after="0" w:line="276" w:lineRule="auto"/>
              <w:ind w:firstLine="0"/>
              <w:jc w:val="left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 xml:space="preserve">　</w:t>
            </w:r>
          </w:p>
        </w:tc>
        <w:tc>
          <w:tcPr>
            <w:tcW w:w="21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7B58E4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 xml:space="preserve">Sensitivity % </w:t>
            </w:r>
          </w:p>
        </w:tc>
        <w:tc>
          <w:tcPr>
            <w:tcW w:w="21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0E1146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Specificity %</w:t>
            </w:r>
          </w:p>
        </w:tc>
        <w:tc>
          <w:tcPr>
            <w:tcW w:w="17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B97A3B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 xml:space="preserve">PPV % </w:t>
            </w:r>
          </w:p>
        </w:tc>
        <w:tc>
          <w:tcPr>
            <w:tcW w:w="17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92EE11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NPV %</w:t>
            </w:r>
          </w:p>
        </w:tc>
        <w:tc>
          <w:tcPr>
            <w:tcW w:w="17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C3EAB4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LR+</w:t>
            </w:r>
          </w:p>
        </w:tc>
        <w:tc>
          <w:tcPr>
            <w:tcW w:w="17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0FBDC6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LR–</w:t>
            </w:r>
          </w:p>
        </w:tc>
      </w:tr>
      <w:tr w:rsidR="00ED101C" w:rsidRPr="00ED101C" w14:paraId="1BCAB294" w14:textId="77777777" w:rsidTr="00C94D5E">
        <w:trPr>
          <w:trHeight w:val="348"/>
        </w:trPr>
        <w:tc>
          <w:tcPr>
            <w:tcW w:w="258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1B08" w14:textId="77777777" w:rsidR="00ED101C" w:rsidRPr="00ED101C" w:rsidRDefault="00ED101C" w:rsidP="00C94D5E">
            <w:pPr>
              <w:spacing w:after="0" w:line="276" w:lineRule="auto"/>
              <w:ind w:firstLineChars="100" w:firstLine="200"/>
              <w:jc w:val="left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≥0.605</w:t>
            </w:r>
          </w:p>
        </w:tc>
        <w:tc>
          <w:tcPr>
            <w:tcW w:w="21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2FA3F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85.7 (56.2–97.5)</w:t>
            </w:r>
          </w:p>
        </w:tc>
        <w:tc>
          <w:tcPr>
            <w:tcW w:w="21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6EB93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53.3 (40.1–66.1)</w:t>
            </w:r>
          </w:p>
        </w:tc>
        <w:tc>
          <w:tcPr>
            <w:tcW w:w="1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83215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30.0 (17.1–46.7)</w:t>
            </w:r>
          </w:p>
        </w:tc>
        <w:tc>
          <w:tcPr>
            <w:tcW w:w="1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614A3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94.1 (78.9–98.9)</w:t>
            </w:r>
          </w:p>
        </w:tc>
        <w:tc>
          <w:tcPr>
            <w:tcW w:w="1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29638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1.84 (1.30–2.59)</w:t>
            </w:r>
          </w:p>
        </w:tc>
        <w:tc>
          <w:tcPr>
            <w:tcW w:w="1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9B67D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0.27 (0.07–0.99)</w:t>
            </w:r>
          </w:p>
        </w:tc>
      </w:tr>
      <w:tr w:rsidR="00ED101C" w:rsidRPr="00ED101C" w14:paraId="25BF6B7F" w14:textId="77777777" w:rsidTr="00C94D5E">
        <w:trPr>
          <w:trHeight w:val="348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19116" w14:textId="77777777" w:rsidR="00ED101C" w:rsidRPr="00ED101C" w:rsidRDefault="00ED101C" w:rsidP="00C94D5E">
            <w:pPr>
              <w:spacing w:after="0" w:line="276" w:lineRule="auto"/>
              <w:ind w:firstLineChars="100" w:firstLine="200"/>
              <w:jc w:val="left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≥0.615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7D11B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78.6 (48.8–94.3)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DEA06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58.3 (44.9–70.1)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7D3A1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30.6 (16.9–48.3)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E8D18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92.1 (77.5–97.9)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7C81B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1.89 (1.26– 2.82)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48D58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0.37 (0.13–1.03)</w:t>
            </w:r>
          </w:p>
        </w:tc>
      </w:tr>
      <w:tr w:rsidR="00ED101C" w:rsidRPr="00ED101C" w14:paraId="20750E32" w14:textId="77777777" w:rsidTr="00C94D5E">
        <w:trPr>
          <w:trHeight w:val="348"/>
        </w:trPr>
        <w:tc>
          <w:tcPr>
            <w:tcW w:w="25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AACC" w14:textId="77777777" w:rsidR="00ED101C" w:rsidRPr="00ED101C" w:rsidRDefault="00ED101C" w:rsidP="00C94D5E">
            <w:pPr>
              <w:spacing w:after="0" w:line="276" w:lineRule="auto"/>
              <w:ind w:firstLineChars="100" w:firstLine="200"/>
              <w:jc w:val="left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≥0.660</w:t>
            </w:r>
          </w:p>
        </w:tc>
        <w:tc>
          <w:tcPr>
            <w:tcW w:w="2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242EC5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64.3 (35.6–86.0)</w:t>
            </w:r>
          </w:p>
        </w:tc>
        <w:tc>
          <w:tcPr>
            <w:tcW w:w="2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233387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75.0 (61.9–84.9)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7C948B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37.5 (19.6–59.2)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5B4B72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90.0 (77.4–96.3)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6A4208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2.57 (1.43–4.62)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742325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0.48 (0.23–0.97)</w:t>
            </w:r>
          </w:p>
        </w:tc>
      </w:tr>
      <w:tr w:rsidR="00ED101C" w:rsidRPr="00ED101C" w14:paraId="4DAB25F6" w14:textId="77777777" w:rsidTr="00C94D5E">
        <w:trPr>
          <w:trHeight w:val="348"/>
        </w:trPr>
        <w:tc>
          <w:tcPr>
            <w:tcW w:w="13697" w:type="dxa"/>
            <w:gridSpan w:val="7"/>
            <w:tcBorders>
              <w:top w:val="nil"/>
              <w:left w:val="nil"/>
              <w:right w:val="nil"/>
            </w:tcBorders>
          </w:tcPr>
          <w:p w14:paraId="45AE6024" w14:textId="77777777" w:rsidR="00ED101C" w:rsidRPr="00ED101C" w:rsidRDefault="00ED101C" w:rsidP="00C94D5E">
            <w:pPr>
              <w:spacing w:after="0" w:line="276" w:lineRule="auto"/>
              <w:ind w:firstLine="0"/>
              <w:jc w:val="left"/>
              <w:rPr>
                <w:rFonts w:eastAsia="Times New Roman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 xml:space="preserve">Suggested optimal cut-off, </w:t>
            </w:r>
            <w:proofErr w:type="spellStart"/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pg</w:t>
            </w:r>
            <w:proofErr w:type="spellEnd"/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/mL</w:t>
            </w:r>
          </w:p>
        </w:tc>
      </w:tr>
      <w:tr w:rsidR="00ED101C" w:rsidRPr="00ED101C" w14:paraId="4F8EDF36" w14:textId="77777777" w:rsidTr="00C94D5E">
        <w:trPr>
          <w:trHeight w:val="360"/>
        </w:trPr>
        <w:tc>
          <w:tcPr>
            <w:tcW w:w="25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C22E3" w14:textId="77777777" w:rsidR="00ED101C" w:rsidRPr="00ED101C" w:rsidRDefault="00ED101C" w:rsidP="00C94D5E">
            <w:pPr>
              <w:spacing w:after="0" w:line="276" w:lineRule="auto"/>
              <w:ind w:firstLineChars="100" w:firstLine="200"/>
              <w:jc w:val="left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0.651</w:t>
            </w:r>
          </w:p>
        </w:tc>
        <w:tc>
          <w:tcPr>
            <w:tcW w:w="21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3341B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71.4 (42.0–90.4)</w:t>
            </w:r>
          </w:p>
        </w:tc>
        <w:tc>
          <w:tcPr>
            <w:tcW w:w="21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2E140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73.3 (60.1–83.5)</w:t>
            </w:r>
          </w:p>
        </w:tc>
        <w:tc>
          <w:tcPr>
            <w:tcW w:w="17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82E3E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38.5 (20.9–59.3)</w:t>
            </w:r>
          </w:p>
        </w:tc>
        <w:tc>
          <w:tcPr>
            <w:tcW w:w="17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2B9C5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91.7 (79.1–97.3)</w:t>
            </w:r>
          </w:p>
        </w:tc>
        <w:tc>
          <w:tcPr>
            <w:tcW w:w="17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D8BB7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2.68 (1.57–4.57)</w:t>
            </w:r>
          </w:p>
        </w:tc>
        <w:tc>
          <w:tcPr>
            <w:tcW w:w="17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5BA75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0.39 (0.17–0.90)</w:t>
            </w:r>
          </w:p>
        </w:tc>
      </w:tr>
      <w:tr w:rsidR="00ED101C" w:rsidRPr="00ED101C" w14:paraId="638EB8CC" w14:textId="77777777" w:rsidTr="00C94D5E">
        <w:trPr>
          <w:trHeight w:val="348"/>
        </w:trPr>
        <w:tc>
          <w:tcPr>
            <w:tcW w:w="13697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160A1D" w14:textId="77777777" w:rsidR="00ED101C" w:rsidRPr="00ED101C" w:rsidRDefault="00ED101C" w:rsidP="00C94D5E">
            <w:pPr>
              <w:spacing w:after="0" w:line="276" w:lineRule="auto"/>
              <w:ind w:firstLine="0"/>
              <w:jc w:val="left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 xml:space="preserve">Plasma pro-cathepsin D, </w:t>
            </w:r>
            <w:proofErr w:type="spellStart"/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pg</w:t>
            </w:r>
            <w:proofErr w:type="spellEnd"/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/mL</w:t>
            </w:r>
          </w:p>
        </w:tc>
      </w:tr>
      <w:tr w:rsidR="00ED101C" w:rsidRPr="00ED101C" w14:paraId="464B4D92" w14:textId="77777777" w:rsidTr="00C94D5E">
        <w:trPr>
          <w:trHeight w:val="348"/>
        </w:trPr>
        <w:tc>
          <w:tcPr>
            <w:tcW w:w="258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46823" w14:textId="77777777" w:rsidR="00ED101C" w:rsidRPr="00ED101C" w:rsidRDefault="00ED101C" w:rsidP="00C94D5E">
            <w:pPr>
              <w:spacing w:after="0" w:line="276" w:lineRule="auto"/>
              <w:ind w:firstLine="0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</w:p>
        </w:tc>
        <w:tc>
          <w:tcPr>
            <w:tcW w:w="21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BF47C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 xml:space="preserve">Sensitivity % </w:t>
            </w:r>
          </w:p>
        </w:tc>
        <w:tc>
          <w:tcPr>
            <w:tcW w:w="21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F16EF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Specificity %</w:t>
            </w:r>
          </w:p>
        </w:tc>
        <w:tc>
          <w:tcPr>
            <w:tcW w:w="1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F9928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 xml:space="preserve">PPV % </w:t>
            </w:r>
          </w:p>
        </w:tc>
        <w:tc>
          <w:tcPr>
            <w:tcW w:w="1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34E34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NPV %</w:t>
            </w:r>
          </w:p>
        </w:tc>
        <w:tc>
          <w:tcPr>
            <w:tcW w:w="1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BDCFB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LR+</w:t>
            </w:r>
          </w:p>
        </w:tc>
        <w:tc>
          <w:tcPr>
            <w:tcW w:w="1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97CF3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LR–</w:t>
            </w:r>
          </w:p>
        </w:tc>
      </w:tr>
      <w:tr w:rsidR="00ED101C" w:rsidRPr="00ED101C" w14:paraId="6F18F22A" w14:textId="77777777" w:rsidTr="00C94D5E">
        <w:trPr>
          <w:trHeight w:val="348"/>
        </w:trPr>
        <w:tc>
          <w:tcPr>
            <w:tcW w:w="258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BA4F7" w14:textId="77777777" w:rsidR="00ED101C" w:rsidRPr="00ED101C" w:rsidRDefault="00ED101C" w:rsidP="00C94D5E">
            <w:pPr>
              <w:spacing w:after="0" w:line="276" w:lineRule="auto"/>
              <w:ind w:firstLineChars="100" w:firstLine="200"/>
              <w:jc w:val="left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≥0.442</w:t>
            </w:r>
          </w:p>
        </w:tc>
        <w:tc>
          <w:tcPr>
            <w:tcW w:w="21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48A25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71.4 (42.0–90.4)</w:t>
            </w:r>
          </w:p>
        </w:tc>
        <w:tc>
          <w:tcPr>
            <w:tcW w:w="21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4954C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43.3 (30.8–56.7)</w:t>
            </w:r>
          </w:p>
        </w:tc>
        <w:tc>
          <w:tcPr>
            <w:tcW w:w="1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02EA5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22.7 (11.9–38.2)</w:t>
            </w:r>
          </w:p>
        </w:tc>
        <w:tc>
          <w:tcPr>
            <w:tcW w:w="1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A45F6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86.7 (68.4–95.6)</w:t>
            </w:r>
          </w:p>
        </w:tc>
        <w:tc>
          <w:tcPr>
            <w:tcW w:w="1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AB5EC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1.26 (0.85–1.88)</w:t>
            </w:r>
          </w:p>
        </w:tc>
        <w:tc>
          <w:tcPr>
            <w:tcW w:w="1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20A7B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0.66 (0.28–1.58)</w:t>
            </w:r>
          </w:p>
        </w:tc>
      </w:tr>
      <w:tr w:rsidR="00ED101C" w:rsidRPr="00ED101C" w14:paraId="577290D0" w14:textId="77777777" w:rsidTr="00C94D5E">
        <w:trPr>
          <w:trHeight w:val="348"/>
        </w:trPr>
        <w:tc>
          <w:tcPr>
            <w:tcW w:w="25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1B29" w14:textId="77777777" w:rsidR="00ED101C" w:rsidRPr="00ED101C" w:rsidRDefault="00ED101C" w:rsidP="00C94D5E">
            <w:pPr>
              <w:spacing w:after="0" w:line="276" w:lineRule="auto"/>
              <w:ind w:firstLineChars="100" w:firstLine="200"/>
              <w:jc w:val="left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≥0.487</w:t>
            </w:r>
          </w:p>
        </w:tc>
        <w:tc>
          <w:tcPr>
            <w:tcW w:w="2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91CEEE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50.0 (24.0–75.9)</w:t>
            </w:r>
          </w:p>
        </w:tc>
        <w:tc>
          <w:tcPr>
            <w:tcW w:w="2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BC74E6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65.0 (51.5–76.6)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DD7FE3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25.0 (11.4–45.2)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7FE342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84.8 (70.5–93.2)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3E32DE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1.43 (0.76–2.67)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324AF6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0.76 (0.45–1.32)</w:t>
            </w:r>
          </w:p>
        </w:tc>
      </w:tr>
      <w:tr w:rsidR="00ED101C" w:rsidRPr="00ED101C" w14:paraId="00B7212F" w14:textId="77777777" w:rsidTr="00C94D5E">
        <w:trPr>
          <w:trHeight w:val="318"/>
        </w:trPr>
        <w:tc>
          <w:tcPr>
            <w:tcW w:w="25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6669" w14:textId="77777777" w:rsidR="00ED101C" w:rsidRPr="00ED101C" w:rsidRDefault="00ED101C" w:rsidP="00C94D5E">
            <w:pPr>
              <w:spacing w:after="0" w:line="276" w:lineRule="auto"/>
              <w:ind w:firstLineChars="100" w:firstLine="200"/>
              <w:jc w:val="left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≥0.517</w:t>
            </w:r>
          </w:p>
        </w:tc>
        <w:tc>
          <w:tcPr>
            <w:tcW w:w="2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A7A4BC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42.9 (18.8–70.4)</w:t>
            </w:r>
          </w:p>
        </w:tc>
        <w:tc>
          <w:tcPr>
            <w:tcW w:w="2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678AEC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73.3 (60.1–83.5)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497CA3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27.3 (11.6–50.4)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3F718C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84.6 (71.5–92.7)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F3FD45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1.61 (0.77–3.36)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48321C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0.78 (0.49–1.24)</w:t>
            </w:r>
          </w:p>
        </w:tc>
      </w:tr>
      <w:tr w:rsidR="00ED101C" w:rsidRPr="00ED101C" w14:paraId="43542EA0" w14:textId="77777777" w:rsidTr="00C94D5E">
        <w:trPr>
          <w:trHeight w:val="318"/>
        </w:trPr>
        <w:tc>
          <w:tcPr>
            <w:tcW w:w="13697" w:type="dxa"/>
            <w:gridSpan w:val="7"/>
            <w:tcBorders>
              <w:top w:val="nil"/>
              <w:left w:val="nil"/>
              <w:right w:val="nil"/>
            </w:tcBorders>
          </w:tcPr>
          <w:p w14:paraId="0C80C6B8" w14:textId="77777777" w:rsidR="00ED101C" w:rsidRPr="00ED101C" w:rsidRDefault="00ED101C" w:rsidP="00C94D5E">
            <w:pPr>
              <w:spacing w:after="0" w:line="276" w:lineRule="auto"/>
              <w:ind w:firstLine="0"/>
              <w:jc w:val="left"/>
              <w:rPr>
                <w:rFonts w:eastAsia="Times New Roman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 xml:space="preserve">Suggested optimal cut-off, </w:t>
            </w:r>
            <w:proofErr w:type="spellStart"/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pg</w:t>
            </w:r>
            <w:proofErr w:type="spellEnd"/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/mL</w:t>
            </w:r>
          </w:p>
        </w:tc>
      </w:tr>
      <w:tr w:rsidR="00ED101C" w:rsidRPr="00ED101C" w14:paraId="396E72FB" w14:textId="77777777" w:rsidTr="00C94D5E">
        <w:trPr>
          <w:trHeight w:val="360"/>
        </w:trPr>
        <w:tc>
          <w:tcPr>
            <w:tcW w:w="258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D94CB" w14:textId="77777777" w:rsidR="00ED101C" w:rsidRPr="00ED101C" w:rsidRDefault="00ED101C" w:rsidP="00C94D5E">
            <w:pPr>
              <w:spacing w:after="0" w:line="276" w:lineRule="auto"/>
              <w:ind w:firstLineChars="100" w:firstLine="200"/>
              <w:jc w:val="left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0.469</w:t>
            </w:r>
          </w:p>
        </w:tc>
        <w:tc>
          <w:tcPr>
            <w:tcW w:w="211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591F7AD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64.3 (35.6–86.0)</w:t>
            </w:r>
          </w:p>
        </w:tc>
        <w:tc>
          <w:tcPr>
            <w:tcW w:w="211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BD79014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58.3 (44.9–70.7)</w:t>
            </w:r>
          </w:p>
        </w:tc>
        <w:tc>
          <w:tcPr>
            <w:tcW w:w="171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7BEF5C7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26.5 (13.5–44.7)</w:t>
            </w:r>
          </w:p>
        </w:tc>
        <w:tc>
          <w:tcPr>
            <w:tcW w:w="171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3E7BB12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87.5 (72.4–95.3)</w:t>
            </w:r>
          </w:p>
        </w:tc>
        <w:tc>
          <w:tcPr>
            <w:tcW w:w="171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C006AF9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1.54 (0.94–2.52)</w:t>
            </w:r>
          </w:p>
        </w:tc>
        <w:tc>
          <w:tcPr>
            <w:tcW w:w="171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714863C" w14:textId="77777777" w:rsidR="00ED101C" w:rsidRPr="00ED101C" w:rsidRDefault="00ED101C" w:rsidP="00C94D5E">
            <w:pPr>
              <w:spacing w:after="0" w:line="276" w:lineRule="auto"/>
              <w:ind w:firstLine="0"/>
              <w:jc w:val="center"/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</w:pPr>
            <w:r w:rsidRPr="00ED101C">
              <w:rPr>
                <w:rFonts w:eastAsia="맑은 고딕" w:cs="Times New Roman"/>
                <w:color w:val="000000" w:themeColor="text1"/>
                <w:kern w:val="0"/>
                <w:sz w:val="20"/>
                <w:lang w:val="en-GB"/>
              </w:rPr>
              <w:t>0.61 (0.30–1.27)</w:t>
            </w:r>
          </w:p>
        </w:tc>
      </w:tr>
    </w:tbl>
    <w:p w14:paraId="5D3DD016" w14:textId="77777777" w:rsidR="00ED101C" w:rsidRPr="00ED101C" w:rsidRDefault="00ED101C" w:rsidP="00ED101C">
      <w:pPr>
        <w:widowControl w:val="0"/>
        <w:autoSpaceDE w:val="0"/>
        <w:autoSpaceDN w:val="0"/>
        <w:adjustRightInd w:val="0"/>
        <w:spacing w:after="0"/>
        <w:ind w:firstLine="0"/>
        <w:jc w:val="left"/>
        <w:rPr>
          <w:rFonts w:eastAsiaTheme="minorEastAsia" w:cs="Times New Roman"/>
          <w:color w:val="000000" w:themeColor="text1"/>
          <w:kern w:val="0"/>
          <w:szCs w:val="24"/>
          <w:lang w:val="en-GB"/>
        </w:rPr>
      </w:pPr>
      <w:r w:rsidRPr="00ED101C">
        <w:rPr>
          <w:rFonts w:eastAsiaTheme="minorEastAsia" w:cs="Times New Roman"/>
          <w:color w:val="000000" w:themeColor="text1"/>
          <w:kern w:val="0"/>
          <w:szCs w:val="24"/>
          <w:lang w:val="en-GB"/>
        </w:rPr>
        <w:t>Data are presented as percentages (95% confidence interval).</w:t>
      </w:r>
    </w:p>
    <w:p w14:paraId="2764D215" w14:textId="77777777" w:rsidR="00ED101C" w:rsidRPr="00ED101C" w:rsidRDefault="00ED101C" w:rsidP="00ED101C">
      <w:pPr>
        <w:widowControl w:val="0"/>
        <w:autoSpaceDE w:val="0"/>
        <w:autoSpaceDN w:val="0"/>
        <w:adjustRightInd w:val="0"/>
        <w:spacing w:after="0"/>
        <w:ind w:firstLine="0"/>
        <w:jc w:val="left"/>
        <w:rPr>
          <w:rFonts w:cs="Times New Roman"/>
          <w:bCs/>
          <w:color w:val="000000" w:themeColor="text1"/>
          <w:sz w:val="40"/>
          <w:szCs w:val="40"/>
          <w:lang w:val="en-GB"/>
        </w:rPr>
      </w:pPr>
      <w:r w:rsidRPr="00ED101C">
        <w:rPr>
          <w:rFonts w:eastAsiaTheme="minorEastAsia" w:cs="Times New Roman"/>
          <w:color w:val="000000" w:themeColor="text1"/>
          <w:kern w:val="0"/>
          <w:szCs w:val="24"/>
          <w:lang w:val="en-GB"/>
        </w:rPr>
        <w:t>CI, confidence interval; PPV, positive predictive value; NPV, negative predictive value; LR+, positive likelihood ratio; LR−, negative likelihood ratio.</w:t>
      </w:r>
    </w:p>
    <w:p w14:paraId="01662BF6" w14:textId="77777777" w:rsidR="000502A0" w:rsidRPr="00ED101C" w:rsidRDefault="000502A0">
      <w:pPr>
        <w:rPr>
          <w:lang w:val="en-GB"/>
        </w:rPr>
      </w:pPr>
    </w:p>
    <w:sectPr w:rsidR="000502A0" w:rsidRPr="00ED101C" w:rsidSect="00022623">
      <w:pgSz w:w="16838" w:h="11906" w:orient="landscape"/>
      <w:pgMar w:top="1440" w:right="1701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신명조">
    <w:altName w:val="바탕"/>
    <w:charset w:val="81"/>
    <w:family w:val="roman"/>
    <w:pitch w:val="variable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01C"/>
    <w:rsid w:val="000502A0"/>
    <w:rsid w:val="00225B2C"/>
    <w:rsid w:val="008660B7"/>
    <w:rsid w:val="00ED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7B72F"/>
  <w15:chartTrackingRefBased/>
  <w15:docId w15:val="{D1787F3C-F858-47E5-B2EE-A6085853A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ED101C"/>
    <w:pPr>
      <w:spacing w:after="200" w:line="240" w:lineRule="auto"/>
      <w:ind w:firstLine="799"/>
    </w:pPr>
    <w:rPr>
      <w:rFonts w:ascii="Times New Roman" w:eastAsia="신명조" w:hAnsi="Times New Roman" w:cs="바탕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D101C"/>
    <w:pPr>
      <w:widowControl w:val="0"/>
      <w:wordWrap w:val="0"/>
      <w:autoSpaceDE w:val="0"/>
      <w:autoSpaceDN w:val="0"/>
      <w:spacing w:after="0"/>
      <w:ind w:firstLine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ED101C"/>
    <w:rPr>
      <w:rFonts w:asciiTheme="majorHAnsi" w:eastAsiaTheme="majorEastAsia" w:hAnsiTheme="majorHAnsi" w:cstheme="majorBidi"/>
      <w:sz w:val="18"/>
      <w:szCs w:val="18"/>
    </w:rPr>
  </w:style>
  <w:style w:type="character" w:styleId="a4">
    <w:name w:val="line number"/>
    <w:basedOn w:val="a0"/>
    <w:uiPriority w:val="99"/>
    <w:semiHidden/>
    <w:unhideWhenUsed/>
    <w:rsid w:val="00ED10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Choi Hayoung</dc:creator>
  <cp:keywords/>
  <dc:description/>
  <cp:lastModifiedBy>Choi Hayoung</cp:lastModifiedBy>
  <cp:revision>1</cp:revision>
  <dcterms:created xsi:type="dcterms:W3CDTF">2020-08-04T05:28:00Z</dcterms:created>
  <dcterms:modified xsi:type="dcterms:W3CDTF">2020-08-04T05:48:00Z</dcterms:modified>
</cp:coreProperties>
</file>