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64C9D" w14:textId="3C9814DD" w:rsidR="00065013" w:rsidRPr="0015183E" w:rsidRDefault="000A4F23" w:rsidP="003711F9">
      <w:pPr>
        <w:pStyle w:val="BCAuthorAddress"/>
        <w:rPr>
          <w:rFonts w:ascii="Times New Roman" w:hAnsi="Times New Roman"/>
          <w:color w:val="000000" w:themeColor="text1"/>
          <w:sz w:val="22"/>
          <w:szCs w:val="22"/>
          <w:lang w:val="en-GB" w:eastAsia="ko-KR"/>
        </w:rPr>
      </w:pPr>
      <w:r w:rsidRPr="0015183E">
        <w:rPr>
          <w:rFonts w:ascii="Times New Roman" w:hAnsi="Times New Roman"/>
          <w:color w:val="000000" w:themeColor="text1"/>
          <w:sz w:val="22"/>
          <w:szCs w:val="22"/>
          <w:lang w:val="en-GB" w:eastAsia="ko-KR"/>
        </w:rPr>
        <w:t>Supplementary</w:t>
      </w:r>
      <w:r w:rsidR="00065013" w:rsidRPr="0015183E">
        <w:rPr>
          <w:rFonts w:ascii="Times New Roman" w:hAnsi="Times New Roman"/>
          <w:color w:val="000000" w:themeColor="text1"/>
          <w:sz w:val="22"/>
          <w:szCs w:val="22"/>
          <w:lang w:val="en-GB" w:eastAsia="ko-KR"/>
        </w:rPr>
        <w:t xml:space="preserve"> Information for </w:t>
      </w:r>
    </w:p>
    <w:p w14:paraId="1BD3CCE0" w14:textId="7EEDF9D2" w:rsidR="001A0F17" w:rsidRPr="0015183E" w:rsidRDefault="008F1CB1" w:rsidP="003711F9">
      <w:pPr>
        <w:pStyle w:val="10"/>
        <w:spacing w:line="480" w:lineRule="auto"/>
        <w:jc w:val="center"/>
        <w:rPr>
          <w:rFonts w:ascii="Times New Roman" w:hAnsi="Times New Roman"/>
          <w:b/>
          <w:color w:val="000000" w:themeColor="text1"/>
          <w:szCs w:val="24"/>
          <w:lang w:eastAsia="ko-KR"/>
        </w:rPr>
      </w:pPr>
      <w:r w:rsidRPr="0015183E">
        <w:rPr>
          <w:rFonts w:ascii="Times New Roman" w:hAnsi="Times New Roman"/>
          <w:b/>
          <w:bCs/>
          <w:color w:val="000000" w:themeColor="text1"/>
          <w:szCs w:val="24"/>
          <w:lang w:val="en-GB" w:eastAsia="ko-KR"/>
        </w:rPr>
        <w:t xml:space="preserve">Monolithic Vertically Stacked Carbon Nanotube Transistor </w:t>
      </w:r>
      <w:r w:rsidR="00F15992" w:rsidRPr="0015183E">
        <w:rPr>
          <w:rFonts w:ascii="Times New Roman" w:hAnsi="Times New Roman"/>
          <w:b/>
          <w:bCs/>
          <w:color w:val="000000" w:themeColor="text1"/>
          <w:szCs w:val="24"/>
          <w:lang w:val="en-GB" w:eastAsia="ko-KR"/>
        </w:rPr>
        <w:t>with Emergent Negative Transconductance for Ternary Logic</w:t>
      </w:r>
    </w:p>
    <w:p w14:paraId="3C9DF6F9" w14:textId="0998BED4" w:rsidR="00915578" w:rsidRPr="0015183E" w:rsidRDefault="008F1CB1" w:rsidP="003711F9">
      <w:pPr>
        <w:pStyle w:val="BCAuthorAddress"/>
        <w:rPr>
          <w:rFonts w:ascii="Times New Roman" w:hAnsi="Times New Roman"/>
          <w:iCs/>
          <w:color w:val="000000" w:themeColor="text1"/>
          <w:sz w:val="22"/>
          <w:szCs w:val="18"/>
        </w:rPr>
      </w:pPr>
      <w:proofErr w:type="spellStart"/>
      <w:r w:rsidRPr="0015183E">
        <w:rPr>
          <w:rFonts w:ascii="Times New Roman" w:hAnsi="Times New Roman"/>
          <w:iCs/>
          <w:color w:val="000000" w:themeColor="text1"/>
          <w:sz w:val="22"/>
          <w:szCs w:val="18"/>
        </w:rPr>
        <w:t>Seonghyeon</w:t>
      </w:r>
      <w:proofErr w:type="spellEnd"/>
      <w:r w:rsidRPr="0015183E">
        <w:rPr>
          <w:rFonts w:ascii="Times New Roman" w:hAnsi="Times New Roman"/>
          <w:iCs/>
          <w:color w:val="000000" w:themeColor="text1"/>
          <w:sz w:val="22"/>
          <w:szCs w:val="18"/>
        </w:rPr>
        <w:t xml:space="preserve"> Jeong</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proofErr w:type="spellStart"/>
      <w:r w:rsidRPr="0015183E">
        <w:rPr>
          <w:rFonts w:ascii="Times New Roman" w:hAnsi="Times New Roman"/>
          <w:iCs/>
          <w:color w:val="000000" w:themeColor="text1"/>
          <w:sz w:val="22"/>
          <w:szCs w:val="18"/>
        </w:rPr>
        <w:t>Jeong</w:t>
      </w:r>
      <w:proofErr w:type="spellEnd"/>
      <w:r w:rsidRPr="0015183E">
        <w:rPr>
          <w:rFonts w:ascii="Times New Roman" w:hAnsi="Times New Roman"/>
          <w:iCs/>
          <w:color w:val="000000" w:themeColor="text1"/>
          <w:sz w:val="22"/>
          <w:szCs w:val="18"/>
        </w:rPr>
        <w:t xml:space="preserve"> Yeon Im</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proofErr w:type="spellStart"/>
      <w:r w:rsidRPr="0015183E">
        <w:rPr>
          <w:rFonts w:ascii="Times New Roman" w:hAnsi="Times New Roman"/>
          <w:iCs/>
          <w:color w:val="000000" w:themeColor="text1"/>
          <w:sz w:val="22"/>
          <w:szCs w:val="18"/>
        </w:rPr>
        <w:t>Hanbin</w:t>
      </w:r>
      <w:proofErr w:type="spellEnd"/>
      <w:r w:rsidRPr="0015183E">
        <w:rPr>
          <w:rFonts w:ascii="Times New Roman" w:hAnsi="Times New Roman"/>
          <w:iCs/>
          <w:color w:val="000000" w:themeColor="text1"/>
          <w:sz w:val="22"/>
          <w:szCs w:val="18"/>
        </w:rPr>
        <w:t xml:space="preserve"> Lee</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Ji Won Park</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proofErr w:type="spellStart"/>
      <w:r w:rsidRPr="0015183E">
        <w:rPr>
          <w:rFonts w:ascii="Times New Roman" w:hAnsi="Times New Roman"/>
          <w:iCs/>
          <w:color w:val="000000" w:themeColor="text1"/>
          <w:sz w:val="22"/>
          <w:szCs w:val="18"/>
        </w:rPr>
        <w:t>Youngmin</w:t>
      </w:r>
      <w:proofErr w:type="spellEnd"/>
      <w:r w:rsidRPr="0015183E">
        <w:rPr>
          <w:rFonts w:ascii="Times New Roman" w:hAnsi="Times New Roman"/>
          <w:iCs/>
          <w:color w:val="000000" w:themeColor="text1"/>
          <w:sz w:val="22"/>
          <w:szCs w:val="18"/>
        </w:rPr>
        <w:t xml:space="preserve"> Kim</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Minji Choi</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proofErr w:type="spellStart"/>
      <w:r w:rsidRPr="0015183E">
        <w:rPr>
          <w:rFonts w:ascii="Times New Roman" w:hAnsi="Times New Roman"/>
          <w:iCs/>
          <w:color w:val="000000" w:themeColor="text1"/>
          <w:sz w:val="22"/>
          <w:szCs w:val="18"/>
        </w:rPr>
        <w:t>Dae</w:t>
      </w:r>
      <w:proofErr w:type="spellEnd"/>
      <w:r w:rsidRPr="0015183E">
        <w:rPr>
          <w:rFonts w:ascii="Times New Roman" w:hAnsi="Times New Roman"/>
          <w:iCs/>
          <w:color w:val="000000" w:themeColor="text1"/>
          <w:sz w:val="22"/>
          <w:szCs w:val="18"/>
        </w:rPr>
        <w:t xml:space="preserve"> Hwan Kim</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r w:rsidR="008F2196" w:rsidRPr="0015183E">
        <w:rPr>
          <w:rFonts w:ascii="Times New Roman" w:hAnsi="Times New Roman"/>
          <w:iCs/>
          <w:color w:val="000000" w:themeColor="text1"/>
          <w:sz w:val="22"/>
          <w:szCs w:val="18"/>
        </w:rPr>
        <w:t>Yoon Jung Lee</w:t>
      </w:r>
      <w:r w:rsidR="008F2196"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 xml:space="preserve">, </w:t>
      </w:r>
      <w:proofErr w:type="spellStart"/>
      <w:r w:rsidR="008F2196" w:rsidRPr="0015183E">
        <w:rPr>
          <w:rFonts w:ascii="Times New Roman" w:hAnsi="Times New Roman"/>
          <w:iCs/>
          <w:color w:val="000000" w:themeColor="text1"/>
          <w:sz w:val="22"/>
          <w:szCs w:val="18"/>
        </w:rPr>
        <w:t>Junjong</w:t>
      </w:r>
      <w:proofErr w:type="spellEnd"/>
      <w:r w:rsidR="008F2196" w:rsidRPr="0015183E">
        <w:rPr>
          <w:rFonts w:ascii="Times New Roman" w:hAnsi="Times New Roman"/>
          <w:iCs/>
          <w:color w:val="000000" w:themeColor="text1"/>
          <w:sz w:val="22"/>
          <w:szCs w:val="18"/>
        </w:rPr>
        <w:t xml:space="preserve"> Lee</w:t>
      </w:r>
      <w:r w:rsidR="008F2196" w:rsidRPr="0015183E">
        <w:rPr>
          <w:rFonts w:ascii="Times New Roman" w:hAnsi="Times New Roman"/>
          <w:iCs/>
          <w:color w:val="000000" w:themeColor="text1"/>
          <w:sz w:val="22"/>
          <w:szCs w:val="18"/>
          <w:vertAlign w:val="superscript"/>
        </w:rPr>
        <w:t>1</w:t>
      </w:r>
      <w:r w:rsidR="00730D3D" w:rsidRPr="0015183E">
        <w:rPr>
          <w:rFonts w:ascii="Times New Roman" w:eastAsia="맑은 고딕" w:hAnsi="Times New Roman" w:hint="eastAsia"/>
          <w:iCs/>
          <w:color w:val="000000" w:themeColor="text1"/>
          <w:sz w:val="22"/>
          <w:szCs w:val="22"/>
          <w:lang w:eastAsia="ko-KR"/>
        </w:rPr>
        <w:t xml:space="preserve">, </w:t>
      </w:r>
      <w:r w:rsidR="005D195B" w:rsidRPr="0015183E">
        <w:rPr>
          <w:rFonts w:ascii="Times New Roman" w:eastAsia="맑은 고딕" w:hAnsi="Times New Roman"/>
          <w:iCs/>
          <w:color w:val="000000" w:themeColor="text1"/>
          <w:sz w:val="22"/>
          <w:szCs w:val="22"/>
        </w:rPr>
        <w:t>Min-Ho Kang</w:t>
      </w:r>
      <w:r w:rsidR="005D195B" w:rsidRPr="0015183E">
        <w:rPr>
          <w:rFonts w:ascii="Times New Roman" w:eastAsia="맑은 고딕" w:hAnsi="Times New Roman"/>
          <w:iCs/>
          <w:color w:val="000000" w:themeColor="text1"/>
          <w:sz w:val="22"/>
          <w:szCs w:val="22"/>
          <w:vertAlign w:val="superscript"/>
          <w:lang w:eastAsia="ko-KR"/>
        </w:rPr>
        <w:t>2</w:t>
      </w:r>
      <w:r w:rsidR="005D195B" w:rsidRPr="0015183E">
        <w:rPr>
          <w:rFonts w:ascii="Times New Roman" w:eastAsia="맑은 고딕" w:hAnsi="Times New Roman"/>
          <w:iCs/>
          <w:color w:val="000000" w:themeColor="text1"/>
          <w:sz w:val="22"/>
          <w:szCs w:val="22"/>
        </w:rPr>
        <w:t>*</w:t>
      </w:r>
      <w:r w:rsidR="005D195B" w:rsidRPr="0015183E">
        <w:rPr>
          <w:rFonts w:ascii="Times New Roman" w:eastAsia="맑은 고딕" w:hAnsi="Times New Roman" w:hint="eastAsia"/>
          <w:iCs/>
          <w:color w:val="000000" w:themeColor="text1"/>
          <w:sz w:val="22"/>
          <w:szCs w:val="22"/>
          <w:lang w:eastAsia="ko-KR"/>
        </w:rPr>
        <w:t xml:space="preserve"> and</w:t>
      </w:r>
      <w:r w:rsidR="008F2196" w:rsidRPr="0015183E">
        <w:rPr>
          <w:rFonts w:ascii="Times New Roman" w:hAnsi="Times New Roman"/>
          <w:iCs/>
          <w:color w:val="000000" w:themeColor="text1"/>
          <w:sz w:val="22"/>
          <w:szCs w:val="18"/>
        </w:rPr>
        <w:t xml:space="preserve"> </w:t>
      </w:r>
      <w:r w:rsidRPr="0015183E">
        <w:rPr>
          <w:rFonts w:ascii="Times New Roman" w:hAnsi="Times New Roman"/>
          <w:iCs/>
          <w:color w:val="000000" w:themeColor="text1"/>
          <w:sz w:val="22"/>
          <w:szCs w:val="18"/>
        </w:rPr>
        <w:t>Sung-Jin Choi</w:t>
      </w:r>
      <w:r w:rsidRPr="0015183E">
        <w:rPr>
          <w:rFonts w:ascii="Times New Roman" w:hAnsi="Times New Roman"/>
          <w:iCs/>
          <w:color w:val="000000" w:themeColor="text1"/>
          <w:sz w:val="22"/>
          <w:szCs w:val="18"/>
          <w:vertAlign w:val="superscript"/>
        </w:rPr>
        <w:t>1</w:t>
      </w:r>
      <w:r w:rsidRPr="0015183E">
        <w:rPr>
          <w:rFonts w:ascii="Times New Roman" w:hAnsi="Times New Roman"/>
          <w:iCs/>
          <w:color w:val="000000" w:themeColor="text1"/>
          <w:sz w:val="22"/>
          <w:szCs w:val="18"/>
        </w:rPr>
        <w:t>*</w:t>
      </w:r>
    </w:p>
    <w:p w14:paraId="381E7970" w14:textId="77777777" w:rsidR="005D195B" w:rsidRPr="0015183E" w:rsidRDefault="0035614C" w:rsidP="003711F9">
      <w:pPr>
        <w:pStyle w:val="10"/>
        <w:spacing w:line="480" w:lineRule="auto"/>
        <w:jc w:val="center"/>
        <w:rPr>
          <w:rFonts w:ascii="Times New Roman" w:hAnsi="Times New Roman"/>
          <w:color w:val="000000" w:themeColor="text1"/>
          <w:sz w:val="22"/>
          <w:szCs w:val="22"/>
        </w:rPr>
      </w:pP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School of Electrical Engineering, </w:t>
      </w:r>
      <w:proofErr w:type="spellStart"/>
      <w:r w:rsidRPr="0015183E">
        <w:rPr>
          <w:rFonts w:ascii="Times New Roman" w:hAnsi="Times New Roman"/>
          <w:color w:val="000000" w:themeColor="text1"/>
          <w:sz w:val="22"/>
          <w:szCs w:val="22"/>
        </w:rPr>
        <w:t>Kookmin</w:t>
      </w:r>
      <w:proofErr w:type="spellEnd"/>
      <w:r w:rsidRPr="0015183E">
        <w:rPr>
          <w:rFonts w:ascii="Times New Roman" w:hAnsi="Times New Roman"/>
          <w:color w:val="000000" w:themeColor="text1"/>
          <w:sz w:val="22"/>
          <w:szCs w:val="22"/>
        </w:rPr>
        <w:t xml:space="preserve"> University, Seoul 02707, Korea</w:t>
      </w:r>
      <w:r w:rsidR="005D195B" w:rsidRPr="0015183E">
        <w:rPr>
          <w:rFonts w:ascii="Times New Roman" w:hAnsi="Times New Roman"/>
          <w:color w:val="000000" w:themeColor="text1"/>
          <w:sz w:val="22"/>
          <w:szCs w:val="22"/>
        </w:rPr>
        <w:br/>
      </w:r>
      <w:r w:rsidR="005D195B" w:rsidRPr="0015183E">
        <w:rPr>
          <w:rFonts w:ascii="Times New Roman" w:hAnsi="Times New Roman"/>
          <w:color w:val="000000" w:themeColor="text1"/>
          <w:sz w:val="22"/>
          <w:szCs w:val="22"/>
          <w:vertAlign w:val="superscript"/>
        </w:rPr>
        <w:t>2</w:t>
      </w:r>
      <w:r w:rsidR="005D195B" w:rsidRPr="0015183E">
        <w:rPr>
          <w:rFonts w:ascii="Times New Roman" w:hAnsi="Times New Roman"/>
          <w:color w:val="000000" w:themeColor="text1"/>
          <w:sz w:val="22"/>
          <w:szCs w:val="22"/>
        </w:rPr>
        <w:t xml:space="preserve">Department of </w:t>
      </w:r>
      <w:proofErr w:type="spellStart"/>
      <w:r w:rsidR="005D195B" w:rsidRPr="0015183E">
        <w:rPr>
          <w:rFonts w:ascii="Times New Roman" w:hAnsi="Times New Roman"/>
          <w:color w:val="000000" w:themeColor="text1"/>
          <w:sz w:val="22"/>
          <w:szCs w:val="22"/>
        </w:rPr>
        <w:t>Nanoprocess</w:t>
      </w:r>
      <w:proofErr w:type="spellEnd"/>
      <w:r w:rsidR="005D195B" w:rsidRPr="0015183E">
        <w:rPr>
          <w:rFonts w:ascii="Times New Roman" w:hAnsi="Times New Roman"/>
          <w:color w:val="000000" w:themeColor="text1"/>
          <w:sz w:val="22"/>
          <w:szCs w:val="22"/>
        </w:rPr>
        <w:t xml:space="preserve">, National </w:t>
      </w:r>
      <w:proofErr w:type="spellStart"/>
      <w:r w:rsidR="005D195B" w:rsidRPr="0015183E">
        <w:rPr>
          <w:rFonts w:ascii="Times New Roman" w:hAnsi="Times New Roman"/>
          <w:color w:val="000000" w:themeColor="text1"/>
          <w:sz w:val="22"/>
          <w:szCs w:val="22"/>
        </w:rPr>
        <w:t>Nanofab</w:t>
      </w:r>
      <w:proofErr w:type="spellEnd"/>
      <w:r w:rsidR="005D195B" w:rsidRPr="0015183E">
        <w:rPr>
          <w:rFonts w:ascii="Times New Roman" w:hAnsi="Times New Roman"/>
          <w:color w:val="000000" w:themeColor="text1"/>
          <w:sz w:val="22"/>
          <w:szCs w:val="22"/>
        </w:rPr>
        <w:t xml:space="preserve"> Center (NNFC), Daejeon 34141, Korea</w:t>
      </w:r>
    </w:p>
    <w:p w14:paraId="68096CE0" w14:textId="04259A14" w:rsidR="0035614C" w:rsidRPr="0015183E" w:rsidRDefault="005D195B" w:rsidP="003711F9">
      <w:pPr>
        <w:pStyle w:val="10"/>
        <w:spacing w:line="480" w:lineRule="auto"/>
        <w:jc w:val="center"/>
        <w:rPr>
          <w:rFonts w:ascii="Times New Roman" w:hAnsi="Times New Roman"/>
          <w:color w:val="000000" w:themeColor="text1"/>
          <w:sz w:val="22"/>
          <w:szCs w:val="22"/>
        </w:rPr>
      </w:pPr>
      <w:r w:rsidRPr="0015183E">
        <w:rPr>
          <w:rFonts w:ascii="Times New Roman" w:hAnsi="Times New Roman"/>
          <w:color w:val="000000" w:themeColor="text1"/>
          <w:sz w:val="22"/>
          <w:szCs w:val="22"/>
        </w:rPr>
        <w:t>Email: sjchoiee@kookmin.ac.kr and kmh@nnfc.re.kr</w:t>
      </w:r>
    </w:p>
    <w:p w14:paraId="34348885" w14:textId="5D612780" w:rsidR="00065013" w:rsidRPr="0015183E" w:rsidRDefault="00065013" w:rsidP="003711F9">
      <w:pPr>
        <w:pStyle w:val="10"/>
        <w:spacing w:line="460" w:lineRule="exact"/>
        <w:jc w:val="left"/>
        <w:rPr>
          <w:rFonts w:ascii="Times New Roman" w:hAnsi="Times New Roman"/>
          <w:color w:val="000000" w:themeColor="text1"/>
          <w:sz w:val="22"/>
          <w:szCs w:val="22"/>
          <w:u w:val="single"/>
          <w:lang w:eastAsia="ko-KR"/>
        </w:rPr>
      </w:pPr>
      <w:r w:rsidRPr="0015183E">
        <w:rPr>
          <w:rFonts w:ascii="Times New Roman" w:hAnsi="Times New Roman"/>
          <w:color w:val="000000" w:themeColor="text1"/>
          <w:sz w:val="22"/>
          <w:szCs w:val="22"/>
          <w:u w:val="single"/>
          <w:lang w:val="en-GB" w:eastAsia="ko-KR"/>
        </w:rPr>
        <w:t>Authors’ contact information</w:t>
      </w:r>
    </w:p>
    <w:p w14:paraId="6128BAAC" w14:textId="58F5F4BB" w:rsidR="008F1CB1" w:rsidRPr="0015183E" w:rsidRDefault="008F1CB1" w:rsidP="003711F9">
      <w:pPr>
        <w:spacing w:line="460" w:lineRule="exact"/>
        <w:rPr>
          <w:rFonts w:ascii="Times New Roman" w:hAnsi="Times New Roman"/>
          <w:color w:val="000000" w:themeColor="text1"/>
          <w:sz w:val="22"/>
          <w:szCs w:val="22"/>
          <w:lang w:val="en-GB" w:eastAsia="ko-KR"/>
        </w:rPr>
      </w:pPr>
      <w:proofErr w:type="spellStart"/>
      <w:r w:rsidRPr="0015183E">
        <w:rPr>
          <w:rStyle w:val="ac"/>
          <w:rFonts w:ascii="Times New Roman" w:hAnsi="Times New Roman"/>
          <w:color w:val="000000" w:themeColor="text1"/>
          <w:sz w:val="22"/>
          <w:szCs w:val="22"/>
          <w:u w:val="none"/>
          <w:lang w:val="en-GB" w:eastAsia="ko-KR"/>
        </w:rPr>
        <w:t>Seonghyeon</w:t>
      </w:r>
      <w:proofErr w:type="spellEnd"/>
      <w:r w:rsidRPr="0015183E">
        <w:rPr>
          <w:rStyle w:val="ac"/>
          <w:rFonts w:ascii="Times New Roman" w:hAnsi="Times New Roman"/>
          <w:color w:val="000000" w:themeColor="text1"/>
          <w:sz w:val="22"/>
          <w:szCs w:val="22"/>
          <w:u w:val="none"/>
          <w:lang w:val="en-GB" w:eastAsia="ko-KR"/>
        </w:rPr>
        <w:t xml:space="preserve"> </w:t>
      </w:r>
      <w:proofErr w:type="spellStart"/>
      <w:r w:rsidRPr="0015183E">
        <w:rPr>
          <w:rStyle w:val="ac"/>
          <w:rFonts w:ascii="Times New Roman" w:hAnsi="Times New Roman"/>
          <w:color w:val="000000" w:themeColor="text1"/>
          <w:sz w:val="22"/>
          <w:szCs w:val="22"/>
          <w:u w:val="none"/>
          <w:lang w:val="en-GB" w:eastAsia="ko-KR"/>
        </w:rPr>
        <w:t>Jeong</w:t>
      </w:r>
      <w:proofErr w:type="spellEnd"/>
      <w:r w:rsidRPr="0015183E">
        <w:rPr>
          <w:rStyle w:val="ac"/>
          <w:rFonts w:ascii="Times New Roman" w:hAnsi="Times New Roman"/>
          <w:color w:val="000000" w:themeColor="text1"/>
          <w:sz w:val="22"/>
          <w:szCs w:val="22"/>
          <w:u w:val="none"/>
          <w:lang w:val="en-GB" w:eastAsia="ko-KR"/>
        </w:rPr>
        <w:t xml:space="preserve">, </w:t>
      </w:r>
      <w:r w:rsidRPr="0015183E">
        <w:rPr>
          <w:rStyle w:val="ac"/>
          <w:rFonts w:ascii="Times New Roman" w:hAnsi="Times New Roman"/>
          <w:color w:val="000000" w:themeColor="text1"/>
          <w:sz w:val="22"/>
          <w:szCs w:val="22"/>
          <w:lang w:val="en-GB" w:eastAsia="ko-KR"/>
        </w:rPr>
        <w:t>sunghyen4880@kookmin.ac.kr</w:t>
      </w:r>
    </w:p>
    <w:p w14:paraId="5E662344" w14:textId="50A19046" w:rsidR="00065013" w:rsidRPr="0015183E" w:rsidRDefault="0035614C" w:rsidP="003711F9">
      <w:pPr>
        <w:spacing w:line="460" w:lineRule="exact"/>
        <w:rPr>
          <w:rFonts w:ascii="Times New Roman" w:hAnsi="Times New Roman"/>
          <w:color w:val="000000" w:themeColor="text1"/>
          <w:sz w:val="22"/>
          <w:szCs w:val="22"/>
          <w:lang w:val="en-GB" w:eastAsia="ko-KR"/>
        </w:rPr>
      </w:pPr>
      <w:proofErr w:type="spellStart"/>
      <w:r w:rsidRPr="0015183E">
        <w:rPr>
          <w:rFonts w:ascii="Times New Roman" w:hAnsi="Times New Roman"/>
          <w:color w:val="000000" w:themeColor="text1"/>
          <w:sz w:val="22"/>
          <w:szCs w:val="22"/>
          <w:lang w:val="en-GB" w:eastAsia="ko-KR"/>
        </w:rPr>
        <w:t>Jeong</w:t>
      </w:r>
      <w:proofErr w:type="spellEnd"/>
      <w:r w:rsidRPr="0015183E">
        <w:rPr>
          <w:rFonts w:ascii="Times New Roman" w:hAnsi="Times New Roman"/>
          <w:color w:val="000000" w:themeColor="text1"/>
          <w:sz w:val="22"/>
          <w:szCs w:val="22"/>
          <w:lang w:val="en-GB" w:eastAsia="ko-KR"/>
        </w:rPr>
        <w:t xml:space="preserve"> Yeon </w:t>
      </w:r>
      <w:proofErr w:type="spellStart"/>
      <w:r w:rsidRPr="0015183E">
        <w:rPr>
          <w:rFonts w:ascii="Times New Roman" w:hAnsi="Times New Roman"/>
          <w:color w:val="000000" w:themeColor="text1"/>
          <w:sz w:val="22"/>
          <w:szCs w:val="22"/>
          <w:lang w:val="en-GB" w:eastAsia="ko-KR"/>
        </w:rPr>
        <w:t>Im</w:t>
      </w:r>
      <w:proofErr w:type="spellEnd"/>
      <w:r w:rsidR="00065013" w:rsidRPr="0015183E">
        <w:rPr>
          <w:rFonts w:ascii="Times New Roman" w:hAnsi="Times New Roman"/>
          <w:color w:val="000000" w:themeColor="text1"/>
          <w:sz w:val="22"/>
          <w:szCs w:val="22"/>
          <w:lang w:val="en-GB" w:eastAsia="ko-KR"/>
        </w:rPr>
        <w:t xml:space="preserve">, </w:t>
      </w:r>
      <w:hyperlink r:id="rId11" w:history="1">
        <w:r w:rsidRPr="0015183E">
          <w:rPr>
            <w:rStyle w:val="ac"/>
            <w:rFonts w:ascii="Times New Roman" w:hAnsi="Times New Roman"/>
            <w:color w:val="000000" w:themeColor="text1"/>
            <w:sz w:val="22"/>
            <w:szCs w:val="22"/>
            <w:lang w:val="en-GB" w:eastAsia="ko-KR"/>
          </w:rPr>
          <w:t>wjdakfwjddus@kookmin.ac.kr</w:t>
        </w:r>
      </w:hyperlink>
    </w:p>
    <w:p w14:paraId="368D2DE8" w14:textId="77777777" w:rsidR="003C253B" w:rsidRPr="0015183E" w:rsidRDefault="003C253B" w:rsidP="003711F9">
      <w:pPr>
        <w:spacing w:line="460" w:lineRule="exact"/>
        <w:rPr>
          <w:rStyle w:val="ac"/>
          <w:rFonts w:ascii="Times New Roman" w:hAnsi="Times New Roman"/>
          <w:color w:val="000000" w:themeColor="text1"/>
          <w:sz w:val="22"/>
          <w:szCs w:val="22"/>
          <w:u w:val="none"/>
          <w:lang w:val="en-GB" w:eastAsia="ko-KR"/>
        </w:rPr>
      </w:pPr>
      <w:proofErr w:type="spellStart"/>
      <w:r w:rsidRPr="0015183E">
        <w:rPr>
          <w:rFonts w:ascii="Times New Roman" w:hAnsi="Times New Roman"/>
          <w:color w:val="000000" w:themeColor="text1"/>
          <w:sz w:val="22"/>
          <w:szCs w:val="22"/>
          <w:lang w:val="en-GB" w:eastAsia="ko-KR"/>
        </w:rPr>
        <w:t>Hanbin</w:t>
      </w:r>
      <w:proofErr w:type="spellEnd"/>
      <w:r w:rsidRPr="0015183E">
        <w:rPr>
          <w:rFonts w:ascii="Times New Roman" w:hAnsi="Times New Roman"/>
          <w:color w:val="000000" w:themeColor="text1"/>
          <w:sz w:val="22"/>
          <w:szCs w:val="22"/>
          <w:lang w:val="en-GB" w:eastAsia="ko-KR"/>
        </w:rPr>
        <w:t xml:space="preserve"> Lee, </w:t>
      </w:r>
      <w:hyperlink r:id="rId12" w:history="1">
        <w:r w:rsidRPr="0015183E">
          <w:rPr>
            <w:rStyle w:val="ac"/>
            <w:rFonts w:ascii="Times New Roman" w:hAnsi="Times New Roman"/>
            <w:color w:val="000000" w:themeColor="text1"/>
            <w:sz w:val="22"/>
            <w:szCs w:val="22"/>
            <w:lang w:val="en-GB" w:eastAsia="ko-KR"/>
          </w:rPr>
          <w:t>123koabc@kookmin.ac.kr</w:t>
        </w:r>
      </w:hyperlink>
      <w:r w:rsidRPr="0015183E">
        <w:rPr>
          <w:rStyle w:val="ac"/>
          <w:rFonts w:ascii="Times New Roman" w:hAnsi="Times New Roman"/>
          <w:color w:val="000000" w:themeColor="text1"/>
          <w:sz w:val="22"/>
          <w:szCs w:val="22"/>
          <w:u w:val="none"/>
          <w:lang w:val="en-GB" w:eastAsia="ko-KR"/>
        </w:rPr>
        <w:t xml:space="preserve"> </w:t>
      </w:r>
    </w:p>
    <w:p w14:paraId="1246622B" w14:textId="4048C645" w:rsidR="00F62724" w:rsidRPr="0015183E" w:rsidRDefault="00F62724" w:rsidP="003711F9">
      <w:pPr>
        <w:spacing w:line="460" w:lineRule="exact"/>
        <w:rPr>
          <w:rStyle w:val="ac"/>
          <w:rFonts w:ascii="Times New Roman" w:hAnsi="Times New Roman"/>
          <w:color w:val="000000" w:themeColor="text1"/>
          <w:sz w:val="22"/>
          <w:szCs w:val="22"/>
          <w:lang w:val="en-GB" w:eastAsia="ko-KR"/>
        </w:rPr>
      </w:pPr>
      <w:r w:rsidRPr="0015183E">
        <w:rPr>
          <w:rStyle w:val="ac"/>
          <w:rFonts w:ascii="Times New Roman" w:hAnsi="Times New Roman"/>
          <w:color w:val="000000" w:themeColor="text1"/>
          <w:sz w:val="22"/>
          <w:szCs w:val="22"/>
          <w:u w:val="none"/>
          <w:lang w:val="en-GB" w:eastAsia="ko-KR"/>
        </w:rPr>
        <w:t xml:space="preserve">Ji Won Park, </w:t>
      </w:r>
      <w:hyperlink r:id="rId13" w:history="1">
        <w:r w:rsidR="00915578" w:rsidRPr="0015183E">
          <w:rPr>
            <w:rStyle w:val="ac"/>
            <w:rFonts w:ascii="Times New Roman" w:hAnsi="Times New Roman"/>
            <w:color w:val="000000" w:themeColor="text1"/>
            <w:sz w:val="22"/>
            <w:szCs w:val="22"/>
            <w:lang w:val="en-GB" w:eastAsia="ko-KR"/>
          </w:rPr>
          <w:t>951x951@kookmin.ac.kr</w:t>
        </w:r>
      </w:hyperlink>
    </w:p>
    <w:p w14:paraId="3EFFC18C" w14:textId="5A8C8E3C" w:rsidR="00915578" w:rsidRPr="0015183E" w:rsidRDefault="00915578" w:rsidP="003711F9">
      <w:pPr>
        <w:spacing w:line="460" w:lineRule="exact"/>
        <w:rPr>
          <w:rFonts w:ascii="Times New Roman" w:hAnsi="Times New Roman"/>
          <w:color w:val="000000" w:themeColor="text1"/>
          <w:sz w:val="22"/>
          <w:szCs w:val="22"/>
          <w:u w:val="single"/>
          <w:lang w:eastAsia="ko-KR"/>
        </w:rPr>
      </w:pPr>
      <w:proofErr w:type="spellStart"/>
      <w:r w:rsidRPr="0015183E">
        <w:rPr>
          <w:rFonts w:ascii="Times New Roman" w:hAnsi="Times New Roman"/>
          <w:color w:val="000000" w:themeColor="text1"/>
          <w:sz w:val="22"/>
          <w:szCs w:val="22"/>
        </w:rPr>
        <w:t>Youngmin</w:t>
      </w:r>
      <w:proofErr w:type="spellEnd"/>
      <w:r w:rsidRPr="0015183E">
        <w:rPr>
          <w:rFonts w:ascii="Times New Roman" w:hAnsi="Times New Roman"/>
          <w:color w:val="000000" w:themeColor="text1"/>
          <w:sz w:val="22"/>
          <w:szCs w:val="22"/>
        </w:rPr>
        <w:t xml:space="preserve"> Kim</w:t>
      </w:r>
      <w:r w:rsidRPr="0015183E">
        <w:rPr>
          <w:rFonts w:ascii="Times New Roman" w:hAnsi="Times New Roman"/>
          <w:color w:val="000000" w:themeColor="text1"/>
          <w:sz w:val="22"/>
          <w:szCs w:val="22"/>
          <w:lang w:eastAsia="ko-KR"/>
        </w:rPr>
        <w:t xml:space="preserve">, </w:t>
      </w:r>
      <w:r w:rsidRPr="0015183E">
        <w:rPr>
          <w:rFonts w:ascii="Times New Roman" w:hAnsi="Times New Roman"/>
          <w:color w:val="000000" w:themeColor="text1"/>
          <w:sz w:val="22"/>
          <w:szCs w:val="22"/>
          <w:u w:val="single"/>
          <w:lang w:eastAsia="ko-KR"/>
        </w:rPr>
        <w:t>carcar999@kookmin.ac.kr</w:t>
      </w:r>
    </w:p>
    <w:p w14:paraId="161207A6" w14:textId="4A609F54" w:rsidR="00915578" w:rsidRPr="0015183E" w:rsidRDefault="00915578" w:rsidP="003711F9">
      <w:pPr>
        <w:spacing w:line="460" w:lineRule="exact"/>
        <w:rPr>
          <w:rStyle w:val="ac"/>
          <w:rFonts w:ascii="Times New Roman" w:hAnsi="Times New Roman"/>
          <w:color w:val="000000" w:themeColor="text1"/>
          <w:sz w:val="22"/>
          <w:szCs w:val="22"/>
          <w:lang w:val="en-GB" w:eastAsia="ko-KR"/>
        </w:rPr>
      </w:pPr>
      <w:r w:rsidRPr="0015183E">
        <w:rPr>
          <w:rFonts w:ascii="Times New Roman" w:hAnsi="Times New Roman"/>
          <w:color w:val="000000" w:themeColor="text1"/>
          <w:sz w:val="22"/>
          <w:szCs w:val="22"/>
        </w:rPr>
        <w:t>Minji Choi</w:t>
      </w:r>
      <w:r w:rsidRPr="0015183E">
        <w:rPr>
          <w:rFonts w:ascii="Times New Roman" w:hAnsi="Times New Roman"/>
          <w:color w:val="000000" w:themeColor="text1"/>
          <w:sz w:val="22"/>
          <w:szCs w:val="22"/>
          <w:lang w:eastAsia="ko-KR"/>
        </w:rPr>
        <w:t xml:space="preserve">, </w:t>
      </w:r>
      <w:r w:rsidRPr="0015183E">
        <w:rPr>
          <w:rFonts w:ascii="Times New Roman" w:hAnsi="Times New Roman"/>
          <w:color w:val="000000" w:themeColor="text1"/>
          <w:sz w:val="22"/>
          <w:szCs w:val="22"/>
          <w:u w:val="single"/>
          <w:lang w:eastAsia="ko-KR"/>
        </w:rPr>
        <w:t>minji0402@kookmin.ac.kr</w:t>
      </w:r>
    </w:p>
    <w:p w14:paraId="1B3213BB" w14:textId="383C997B" w:rsidR="008E620E" w:rsidRPr="0015183E" w:rsidRDefault="008E620E" w:rsidP="003711F9">
      <w:pPr>
        <w:spacing w:line="460" w:lineRule="exact"/>
        <w:rPr>
          <w:rFonts w:ascii="Times New Roman" w:hAnsi="Times New Roman"/>
          <w:color w:val="000000" w:themeColor="text1"/>
          <w:sz w:val="22"/>
          <w:szCs w:val="22"/>
        </w:rPr>
      </w:pPr>
      <w:proofErr w:type="spellStart"/>
      <w:r w:rsidRPr="0015183E">
        <w:rPr>
          <w:rStyle w:val="ac"/>
          <w:rFonts w:ascii="Times New Roman" w:hAnsi="Times New Roman"/>
          <w:color w:val="000000" w:themeColor="text1"/>
          <w:sz w:val="22"/>
          <w:szCs w:val="22"/>
          <w:u w:val="none"/>
          <w:lang w:val="en-GB" w:eastAsia="ko-KR"/>
        </w:rPr>
        <w:t>Dae</w:t>
      </w:r>
      <w:proofErr w:type="spellEnd"/>
      <w:r w:rsidRPr="0015183E">
        <w:rPr>
          <w:rStyle w:val="ac"/>
          <w:rFonts w:ascii="Times New Roman" w:hAnsi="Times New Roman"/>
          <w:color w:val="000000" w:themeColor="text1"/>
          <w:sz w:val="22"/>
          <w:szCs w:val="22"/>
          <w:u w:val="none"/>
          <w:lang w:val="en-GB" w:eastAsia="ko-KR"/>
        </w:rPr>
        <w:t xml:space="preserve"> Hwan Kim, </w:t>
      </w:r>
      <w:hyperlink r:id="rId14" w:history="1">
        <w:r w:rsidRPr="0015183E">
          <w:rPr>
            <w:rStyle w:val="ac"/>
            <w:rFonts w:ascii="Times New Roman" w:hAnsi="Times New Roman"/>
            <w:color w:val="000000" w:themeColor="text1"/>
            <w:sz w:val="22"/>
            <w:szCs w:val="22"/>
            <w:lang w:val="en-GB" w:eastAsia="ko-KR"/>
          </w:rPr>
          <w:t>drlife@kookmin.ac.kr</w:t>
        </w:r>
      </w:hyperlink>
    </w:p>
    <w:p w14:paraId="357DD705" w14:textId="452184FC" w:rsidR="008F2196" w:rsidRPr="0015183E" w:rsidRDefault="008F2196" w:rsidP="003711F9">
      <w:pPr>
        <w:spacing w:line="460" w:lineRule="exact"/>
        <w:rPr>
          <w:rFonts w:ascii="Times New Roman" w:hAnsi="Times New Roman"/>
          <w:color w:val="000000" w:themeColor="text1"/>
          <w:sz w:val="22"/>
          <w:szCs w:val="22"/>
          <w:u w:val="single"/>
          <w:lang w:val="en-GB" w:eastAsia="ko-KR"/>
        </w:rPr>
      </w:pPr>
      <w:r w:rsidRPr="0015183E">
        <w:rPr>
          <w:rStyle w:val="ac"/>
          <w:rFonts w:ascii="Times New Roman" w:hAnsi="Times New Roman"/>
          <w:color w:val="000000" w:themeColor="text1"/>
          <w:sz w:val="22"/>
          <w:szCs w:val="22"/>
          <w:u w:val="none"/>
          <w:lang w:val="en-GB" w:eastAsia="ko-KR"/>
        </w:rPr>
        <w:t xml:space="preserve">Yoon Jung Lee, </w:t>
      </w:r>
      <w:hyperlink r:id="rId15" w:history="1">
        <w:r w:rsidRPr="0015183E">
          <w:rPr>
            <w:rStyle w:val="ac"/>
            <w:rFonts w:ascii="Times New Roman" w:hAnsi="Times New Roman"/>
            <w:color w:val="000000" w:themeColor="text1"/>
            <w:sz w:val="22"/>
            <w:szCs w:val="22"/>
            <w:lang w:val="en-GB" w:eastAsia="ko-KR"/>
          </w:rPr>
          <w:t>yoonjung.lee@kookmin.ac.kr</w:t>
        </w:r>
      </w:hyperlink>
    </w:p>
    <w:p w14:paraId="0E7F5B62" w14:textId="7969C3FC" w:rsidR="008F1CB1" w:rsidRPr="0015183E" w:rsidRDefault="008F1CB1" w:rsidP="003711F9">
      <w:pPr>
        <w:spacing w:line="460" w:lineRule="exact"/>
        <w:rPr>
          <w:rStyle w:val="ac"/>
          <w:rFonts w:ascii="Times New Roman" w:hAnsi="Times New Roman"/>
          <w:color w:val="000000" w:themeColor="text1"/>
          <w:sz w:val="22"/>
          <w:szCs w:val="22"/>
          <w:u w:val="none"/>
          <w:lang w:val="en-GB" w:eastAsia="ko-KR"/>
        </w:rPr>
      </w:pPr>
      <w:proofErr w:type="spellStart"/>
      <w:r w:rsidRPr="0015183E">
        <w:rPr>
          <w:rFonts w:ascii="Times New Roman" w:hAnsi="Times New Roman"/>
          <w:color w:val="000000" w:themeColor="text1"/>
          <w:sz w:val="22"/>
          <w:szCs w:val="22"/>
          <w:lang w:eastAsia="ko-KR"/>
        </w:rPr>
        <w:t>Junjong</w:t>
      </w:r>
      <w:proofErr w:type="spellEnd"/>
      <w:r w:rsidRPr="0015183E">
        <w:rPr>
          <w:rFonts w:ascii="Times New Roman" w:hAnsi="Times New Roman"/>
          <w:color w:val="000000" w:themeColor="text1"/>
          <w:sz w:val="22"/>
          <w:szCs w:val="22"/>
          <w:lang w:eastAsia="ko-KR"/>
        </w:rPr>
        <w:t xml:space="preserve"> Lee, </w:t>
      </w:r>
      <w:r w:rsidRPr="0015183E">
        <w:rPr>
          <w:rFonts w:ascii="Times New Roman" w:hAnsi="Times New Roman"/>
          <w:color w:val="000000" w:themeColor="text1"/>
          <w:sz w:val="22"/>
          <w:szCs w:val="22"/>
          <w:u w:val="single"/>
          <w:lang w:eastAsia="ko-KR"/>
        </w:rPr>
        <w:t>lee1539@kookmin.ac.kr</w:t>
      </w:r>
      <w:r w:rsidR="005D195B" w:rsidRPr="0015183E">
        <w:rPr>
          <w:rFonts w:ascii="Times New Roman" w:hAnsi="Times New Roman"/>
          <w:color w:val="000000" w:themeColor="text1"/>
          <w:sz w:val="22"/>
          <w:szCs w:val="22"/>
          <w:u w:val="single"/>
          <w:lang w:eastAsia="ko-KR"/>
        </w:rPr>
        <w:br/>
      </w:r>
      <w:r w:rsidR="005D195B" w:rsidRPr="0015183E">
        <w:rPr>
          <w:rFonts w:ascii="Times New Roman" w:hAnsi="Times New Roman"/>
          <w:color w:val="000000" w:themeColor="text1"/>
          <w:sz w:val="22"/>
          <w:szCs w:val="22"/>
          <w:lang w:val="en-GB" w:eastAsia="ko-KR"/>
        </w:rPr>
        <w:t xml:space="preserve">Min-Ho Kang, </w:t>
      </w:r>
      <w:hyperlink r:id="rId16" w:history="1">
        <w:r w:rsidR="005D195B" w:rsidRPr="0015183E">
          <w:rPr>
            <w:rStyle w:val="ac"/>
            <w:rFonts w:ascii="Times New Roman" w:hAnsi="Times New Roman"/>
            <w:color w:val="000000" w:themeColor="text1"/>
            <w:sz w:val="22"/>
            <w:szCs w:val="22"/>
            <w:lang w:val="en-GB" w:eastAsia="ko-KR"/>
          </w:rPr>
          <w:t>kmh@nnfc.re.kr</w:t>
        </w:r>
      </w:hyperlink>
      <w:r w:rsidR="005D195B" w:rsidRPr="0015183E">
        <w:rPr>
          <w:rStyle w:val="ac"/>
          <w:rFonts w:ascii="Times New Roman" w:hAnsi="Times New Roman"/>
          <w:color w:val="000000" w:themeColor="text1"/>
          <w:sz w:val="22"/>
          <w:szCs w:val="22"/>
          <w:u w:val="none"/>
          <w:lang w:val="en-GB" w:eastAsia="ko-KR"/>
        </w:rPr>
        <w:t xml:space="preserve">, </w:t>
      </w:r>
      <w:r w:rsidR="005D195B" w:rsidRPr="0015183E">
        <w:rPr>
          <w:rFonts w:ascii="Times New Roman" w:hAnsi="Times New Roman"/>
          <w:color w:val="000000" w:themeColor="text1"/>
          <w:sz w:val="22"/>
          <w:szCs w:val="22"/>
          <w:lang w:val="en-GB" w:eastAsia="ko-KR"/>
        </w:rPr>
        <w:t>corresponding author</w:t>
      </w:r>
    </w:p>
    <w:p w14:paraId="2C168913" w14:textId="15FC06C7" w:rsidR="00D80EDA" w:rsidRPr="0015183E" w:rsidRDefault="00065013" w:rsidP="003711F9">
      <w:pPr>
        <w:spacing w:line="460" w:lineRule="exact"/>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val="en-GB" w:eastAsia="ko-KR"/>
        </w:rPr>
        <w:t xml:space="preserve">Sung-Jin Choi, </w:t>
      </w:r>
      <w:hyperlink r:id="rId17" w:history="1">
        <w:r w:rsidRPr="0015183E">
          <w:rPr>
            <w:rStyle w:val="ac"/>
            <w:rFonts w:ascii="Times New Roman" w:hAnsi="Times New Roman"/>
            <w:color w:val="000000" w:themeColor="text1"/>
            <w:sz w:val="22"/>
            <w:szCs w:val="22"/>
            <w:lang w:val="en-GB" w:eastAsia="ko-KR"/>
          </w:rPr>
          <w:t>sjchoiee@kookmin.ac.kr</w:t>
        </w:r>
      </w:hyperlink>
      <w:r w:rsidRPr="0015183E">
        <w:rPr>
          <w:rFonts w:ascii="Times New Roman" w:hAnsi="Times New Roman"/>
          <w:color w:val="000000" w:themeColor="text1"/>
          <w:sz w:val="22"/>
          <w:szCs w:val="22"/>
          <w:lang w:val="en-GB" w:eastAsia="ko-KR"/>
        </w:rPr>
        <w:t>, corresponding author</w:t>
      </w:r>
      <w:r w:rsidRPr="0015183E">
        <w:rPr>
          <w:rFonts w:ascii="Times New Roman" w:hAnsi="Times New Roman"/>
          <w:color w:val="000000" w:themeColor="text1"/>
          <w:sz w:val="22"/>
          <w:szCs w:val="22"/>
          <w:lang w:eastAsia="ko-KR"/>
        </w:rPr>
        <w:t xml:space="preserve"> </w:t>
      </w:r>
    </w:p>
    <w:p w14:paraId="3B08B23E" w14:textId="3B991EAA" w:rsidR="001A0F17" w:rsidRPr="0015183E" w:rsidRDefault="001A0F17" w:rsidP="003711F9">
      <w:pPr>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br w:type="page"/>
      </w:r>
    </w:p>
    <w:p w14:paraId="3F971620" w14:textId="77777777" w:rsidR="00710B35" w:rsidRPr="0015183E" w:rsidRDefault="00710B35" w:rsidP="003711F9">
      <w:pPr>
        <w:spacing w:line="480" w:lineRule="auto"/>
        <w:jc w:val="center"/>
        <w:rPr>
          <w:rFonts w:ascii="Times New Roman" w:hAnsi="Times New Roman"/>
          <w:b/>
          <w:bCs/>
          <w:color w:val="000000" w:themeColor="text1"/>
          <w:sz w:val="24"/>
          <w:szCs w:val="24"/>
          <w:lang w:eastAsia="ko-KR"/>
        </w:rPr>
      </w:pPr>
      <w:r w:rsidRPr="0015183E">
        <w:rPr>
          <w:rFonts w:ascii="Times New Roman" w:hAnsi="Times New Roman"/>
          <w:b/>
          <w:bCs/>
          <w:color w:val="000000" w:themeColor="text1"/>
          <w:sz w:val="24"/>
          <w:szCs w:val="24"/>
          <w:lang w:eastAsia="ko-KR"/>
        </w:rPr>
        <w:lastRenderedPageBreak/>
        <w:t>Table of contents</w:t>
      </w:r>
    </w:p>
    <w:p w14:paraId="08D583B7" w14:textId="77777777"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1. </w:t>
      </w:r>
      <w:r w:rsidRPr="0015183E">
        <w:rPr>
          <w:rFonts w:eastAsiaTheme="minorEastAsia"/>
          <w:color w:val="000000" w:themeColor="text1"/>
          <w:sz w:val="22"/>
          <w:szCs w:val="22"/>
          <w:lang w:eastAsia="ko-KR"/>
        </w:rPr>
        <w:t>Cross-sectional transmission electron microscopy (TEM) and energy-dispersive X-ray spectroscopy (EDS) elemental mapping of the gate region, showing the vertical layer configuration and elemental distribution around the common gate.</w:t>
      </w:r>
    </w:p>
    <w:p w14:paraId="022AAF05" w14:textId="77777777"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2. </w:t>
      </w:r>
      <w:r w:rsidRPr="0015183E">
        <w:rPr>
          <w:rFonts w:eastAsiaTheme="minorEastAsia"/>
          <w:color w:val="000000" w:themeColor="text1"/>
          <w:sz w:val="22"/>
          <w:szCs w:val="22"/>
          <w:lang w:eastAsia="ko-KR"/>
        </w:rPr>
        <w:t>Sequential fabrication process of the vertically stacked NTC transistor, showing the formation of the lower and upper CNT networks, common gate and interlayer via.</w:t>
      </w:r>
    </w:p>
    <w:p w14:paraId="3A88F463" w14:textId="77777777"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3. </w:t>
      </w:r>
      <w:r w:rsidRPr="0015183E">
        <w:rPr>
          <w:rFonts w:eastAsiaTheme="minorEastAsia"/>
          <w:color w:val="000000" w:themeColor="text1"/>
          <w:sz w:val="22"/>
          <w:szCs w:val="22"/>
          <w:lang w:eastAsia="ko-KR"/>
        </w:rPr>
        <w:t>Scanning electron microscopy (SEM) images at different magnifications, extending from the device array to the active channel region of an individual vertically stacked NTC transistor.</w:t>
      </w:r>
    </w:p>
    <w:p w14:paraId="33143BD5" w14:textId="4AC7593E"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4. </w:t>
      </w:r>
      <w:r w:rsidR="00EC7490" w:rsidRPr="0015183E">
        <w:rPr>
          <w:rFonts w:eastAsiaTheme="minorEastAsia"/>
          <w:color w:val="000000" w:themeColor="text1"/>
          <w:sz w:val="22"/>
          <w:szCs w:val="22"/>
          <w:lang w:eastAsia="ko-KR"/>
        </w:rPr>
        <w:t>CNT-network morphologies in the upper and lower channels and Raman characterization of the CNT material, showing a G/D intensity ratio of approximately 230 and a radial breathing mode (RBM) peak used to estimate the representative CNT diameter and semiconducting CNT bandgap.</w:t>
      </w:r>
    </w:p>
    <w:p w14:paraId="2AC98AE7" w14:textId="11D99E15"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00EC7490" w:rsidRPr="0015183E">
        <w:rPr>
          <w:rFonts w:eastAsiaTheme="minorEastAsia" w:hint="eastAsia"/>
          <w:b/>
          <w:bCs/>
          <w:color w:val="000000" w:themeColor="text1"/>
          <w:sz w:val="22"/>
          <w:szCs w:val="22"/>
          <w:lang w:eastAsia="ko-KR"/>
        </w:rPr>
        <w:t>5</w:t>
      </w:r>
      <w:r w:rsidRPr="0015183E">
        <w:rPr>
          <w:rFonts w:eastAsiaTheme="minorEastAsia"/>
          <w:b/>
          <w:bCs/>
          <w:color w:val="000000" w:themeColor="text1"/>
          <w:sz w:val="22"/>
          <w:szCs w:val="22"/>
          <w:lang w:eastAsia="ko-KR"/>
        </w:rPr>
        <w:t xml:space="preserve">. </w:t>
      </w:r>
      <w:r w:rsidRPr="0015183E">
        <w:rPr>
          <w:rFonts w:eastAsiaTheme="minorEastAsia"/>
          <w:color w:val="000000" w:themeColor="text1"/>
          <w:sz w:val="22"/>
          <w:szCs w:val="22"/>
          <w:lang w:eastAsia="ko-KR"/>
        </w:rPr>
        <w:t>Channel-length dependence of the lower-layer electron-branch</w:t>
      </w:r>
      <w:r w:rsidRPr="0015183E">
        <w:rPr>
          <w:rFonts w:eastAsiaTheme="minorEastAsia" w:hint="eastAsia"/>
          <w:color w:val="000000" w:themeColor="text1"/>
          <w:sz w:val="22"/>
          <w:szCs w:val="22"/>
          <w:lang w:eastAsia="ko-KR"/>
        </w:rPr>
        <w:t xml:space="preserve"> V</w:t>
      </w:r>
      <w:r w:rsidRPr="0015183E">
        <w:rPr>
          <w:rFonts w:eastAsiaTheme="minorEastAsia" w:hint="eastAsia"/>
          <w:color w:val="000000" w:themeColor="text1"/>
          <w:sz w:val="22"/>
          <w:szCs w:val="22"/>
          <w:vertAlign w:val="subscript"/>
          <w:lang w:eastAsia="ko-KR"/>
        </w:rPr>
        <w:t>T</w:t>
      </w:r>
      <w:r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 xml:space="preserve">and upper-layer p-type </w:t>
      </w:r>
      <w:r w:rsidRPr="0015183E">
        <w:rPr>
          <w:rFonts w:eastAsiaTheme="minorEastAsia" w:hint="eastAsia"/>
          <w:color w:val="000000" w:themeColor="text1"/>
          <w:sz w:val="22"/>
          <w:szCs w:val="22"/>
          <w:lang w:eastAsia="ko-KR"/>
        </w:rPr>
        <w:t>V</w:t>
      </w:r>
      <w:r w:rsidRPr="0015183E">
        <w:rPr>
          <w:rFonts w:eastAsiaTheme="minorEastAsia" w:hint="eastAsia"/>
          <w:color w:val="000000" w:themeColor="text1"/>
          <w:sz w:val="22"/>
          <w:szCs w:val="22"/>
          <w:vertAlign w:val="subscript"/>
          <w:lang w:eastAsia="ko-KR"/>
        </w:rPr>
        <w:t>T</w:t>
      </w:r>
      <w:r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extracted using the constant-current method (CCM).</w:t>
      </w:r>
    </w:p>
    <w:p w14:paraId="0D0878E8" w14:textId="57324C5C" w:rsidR="0061302D" w:rsidRPr="0015183E" w:rsidRDefault="0061302D" w:rsidP="003711F9">
      <w:pPr>
        <w:pStyle w:val="Maintext"/>
        <w:spacing w:after="200"/>
        <w:jc w:val="both"/>
        <w:rPr>
          <w:rFonts w:eastAsiaTheme="minorEastAsia"/>
          <w:b/>
          <w:bCs/>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Pr="0015183E">
        <w:rPr>
          <w:rFonts w:eastAsiaTheme="minorEastAsia" w:hint="eastAsia"/>
          <w:b/>
          <w:bCs/>
          <w:color w:val="000000" w:themeColor="text1"/>
          <w:sz w:val="22"/>
          <w:szCs w:val="22"/>
          <w:lang w:eastAsia="ko-KR"/>
        </w:rPr>
        <w:t>6</w:t>
      </w:r>
      <w:r w:rsidRPr="0015183E">
        <w:rPr>
          <w:rFonts w:eastAsiaTheme="minorEastAsia"/>
          <w:b/>
          <w:bCs/>
          <w:color w:val="000000" w:themeColor="text1"/>
          <w:sz w:val="22"/>
          <w:szCs w:val="22"/>
          <w:lang w:eastAsia="ko-KR"/>
        </w:rPr>
        <w:t>.</w:t>
      </w:r>
      <w:r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Channel-width dependence of the transfer characteristics of the vertically stacked NTC transistor, showing that</w:t>
      </w:r>
      <w:r w:rsidRPr="0015183E">
        <w:rPr>
          <w:rFonts w:eastAsiaTheme="minorEastAsia" w:hint="eastAsia"/>
          <w:color w:val="000000" w:themeColor="text1"/>
          <w:sz w:val="22"/>
          <w:szCs w:val="22"/>
          <w:lang w:eastAsia="ko-KR"/>
        </w:rPr>
        <w:t xml:space="preserve"> </w:t>
      </w:r>
      <w:proofErr w:type="spellStart"/>
      <w:r w:rsidRPr="0015183E">
        <w:rPr>
          <w:rFonts w:eastAsiaTheme="minorEastAsia" w:hint="eastAsia"/>
          <w:color w:val="000000" w:themeColor="text1"/>
          <w:sz w:val="22"/>
          <w:szCs w:val="22"/>
          <w:lang w:eastAsia="ko-KR"/>
        </w:rPr>
        <w:t>I</w:t>
      </w:r>
      <w:r w:rsidRPr="0015183E">
        <w:rPr>
          <w:rFonts w:eastAsiaTheme="minorEastAsia" w:hint="eastAsia"/>
          <w:color w:val="000000" w:themeColor="text1"/>
          <w:sz w:val="22"/>
          <w:szCs w:val="22"/>
          <w:vertAlign w:val="subscript"/>
          <w:lang w:eastAsia="ko-KR"/>
        </w:rPr>
        <w:t>peak</w:t>
      </w:r>
      <w:proofErr w:type="spellEnd"/>
      <w:r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 xml:space="preserve">increases more strongly than </w:t>
      </w:r>
      <w:proofErr w:type="spellStart"/>
      <w:r w:rsidRPr="0015183E">
        <w:rPr>
          <w:rFonts w:eastAsiaTheme="minorEastAsia" w:hint="eastAsia"/>
          <w:color w:val="000000" w:themeColor="text1"/>
          <w:sz w:val="22"/>
          <w:szCs w:val="22"/>
          <w:lang w:eastAsia="ko-KR"/>
        </w:rPr>
        <w:t>I</w:t>
      </w:r>
      <w:r w:rsidRPr="0015183E">
        <w:rPr>
          <w:rFonts w:eastAsiaTheme="minorEastAsia" w:hint="eastAsia"/>
          <w:color w:val="000000" w:themeColor="text1"/>
          <w:sz w:val="22"/>
          <w:szCs w:val="22"/>
          <w:vertAlign w:val="subscript"/>
          <w:lang w:eastAsia="ko-KR"/>
        </w:rPr>
        <w:t>valley</w:t>
      </w:r>
      <w:proofErr w:type="spellEnd"/>
      <w:r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as the widths of both channels increase, resulting in a larger PVR.</w:t>
      </w:r>
    </w:p>
    <w:p w14:paraId="5EAB53E1" w14:textId="4D7E4B7C" w:rsidR="0061302D" w:rsidRPr="0015183E" w:rsidRDefault="0061302D"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Pr="0015183E">
        <w:rPr>
          <w:rFonts w:eastAsiaTheme="minorEastAsia" w:hint="eastAsia"/>
          <w:b/>
          <w:bCs/>
          <w:color w:val="000000" w:themeColor="text1"/>
          <w:sz w:val="22"/>
          <w:szCs w:val="22"/>
          <w:lang w:eastAsia="ko-KR"/>
        </w:rPr>
        <w:t>7</w:t>
      </w:r>
      <w:r w:rsidRPr="0015183E">
        <w:rPr>
          <w:rFonts w:eastAsiaTheme="minorEastAsia"/>
          <w:b/>
          <w:bCs/>
          <w:color w:val="000000" w:themeColor="text1"/>
          <w:sz w:val="22"/>
          <w:szCs w:val="22"/>
          <w:lang w:eastAsia="ko-KR"/>
        </w:rPr>
        <w:t>.</w:t>
      </w:r>
      <w:r w:rsidRPr="0015183E">
        <w:rPr>
          <w:rFonts w:ascii="New York" w:eastAsia="바탕" w:hAnsi="New York"/>
          <w:color w:val="000000" w:themeColor="text1"/>
          <w:sz w:val="20"/>
          <w:szCs w:val="20"/>
          <w:lang w:eastAsia="en-US"/>
        </w:rPr>
        <w:t xml:space="preserve"> </w:t>
      </w:r>
      <w:r w:rsidRPr="0015183E">
        <w:rPr>
          <w:rFonts w:eastAsiaTheme="minorEastAsia"/>
          <w:color w:val="000000" w:themeColor="text1"/>
          <w:sz w:val="22"/>
          <w:szCs w:val="22"/>
          <w:lang w:eastAsia="ko-KR"/>
        </w:rPr>
        <w:t>Atomic force microscopy (AFM) characterization of the upper-layer CNT networks with low, medium and high CNT densities.</w:t>
      </w:r>
    </w:p>
    <w:p w14:paraId="10E28A2D" w14:textId="1DEA9D0A"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0061302D" w:rsidRPr="0015183E">
        <w:rPr>
          <w:rFonts w:eastAsiaTheme="minorEastAsia" w:hint="eastAsia"/>
          <w:b/>
          <w:bCs/>
          <w:color w:val="000000" w:themeColor="text1"/>
          <w:sz w:val="22"/>
          <w:szCs w:val="22"/>
          <w:lang w:eastAsia="ko-KR"/>
        </w:rPr>
        <w:t>8</w:t>
      </w:r>
      <w:r w:rsidRPr="0015183E">
        <w:rPr>
          <w:rFonts w:eastAsiaTheme="minorEastAsia"/>
          <w:b/>
          <w:bCs/>
          <w:color w:val="000000" w:themeColor="text1"/>
          <w:sz w:val="22"/>
          <w:szCs w:val="22"/>
          <w:lang w:eastAsia="ko-KR"/>
        </w:rPr>
        <w:t xml:space="preserve">. </w:t>
      </w:r>
      <w:r w:rsidRPr="0015183E">
        <w:rPr>
          <w:rFonts w:eastAsiaTheme="minorEastAsia"/>
          <w:color w:val="000000" w:themeColor="text1"/>
          <w:sz w:val="22"/>
          <w:szCs w:val="22"/>
          <w:lang w:eastAsia="ko-KR"/>
        </w:rPr>
        <w:t>Dependence of the upper-layer p-type V</w:t>
      </w:r>
      <w:r w:rsidRPr="0015183E">
        <w:rPr>
          <w:rFonts w:eastAsiaTheme="minorEastAsia"/>
          <w:color w:val="000000" w:themeColor="text1"/>
          <w:sz w:val="22"/>
          <w:szCs w:val="22"/>
          <w:vertAlign w:val="subscript"/>
          <w:lang w:eastAsia="ko-KR"/>
        </w:rPr>
        <w:t>T</w:t>
      </w:r>
      <w:r w:rsidRPr="0015183E">
        <w:rPr>
          <w:rFonts w:eastAsiaTheme="minorEastAsia"/>
          <w:color w:val="000000" w:themeColor="text1"/>
          <w:sz w:val="22"/>
          <w:szCs w:val="22"/>
          <w:lang w:eastAsia="ko-KR"/>
        </w:rPr>
        <w:t xml:space="preserve"> on CNT network density</w:t>
      </w:r>
      <w:r w:rsidR="00286155" w:rsidRPr="0015183E">
        <w:rPr>
          <w:rFonts w:eastAsiaTheme="minorEastAsia" w:hint="eastAsia"/>
          <w:color w:val="000000" w:themeColor="text1"/>
          <w:sz w:val="22"/>
          <w:szCs w:val="22"/>
          <w:lang w:eastAsia="ko-KR"/>
        </w:rPr>
        <w:t>,</w:t>
      </w:r>
      <w:r w:rsidRPr="0015183E">
        <w:rPr>
          <w:rFonts w:eastAsiaTheme="minorEastAsia"/>
          <w:color w:val="000000" w:themeColor="text1"/>
          <w:sz w:val="22"/>
          <w:szCs w:val="22"/>
          <w:lang w:eastAsia="ko-KR"/>
        </w:rPr>
        <w:t xml:space="preserve"> </w:t>
      </w:r>
      <w:proofErr w:type="spellStart"/>
      <w:r w:rsidRPr="0015183E">
        <w:rPr>
          <w:rFonts w:eastAsiaTheme="minorEastAsia"/>
          <w:color w:val="000000" w:themeColor="text1"/>
          <w:sz w:val="22"/>
          <w:szCs w:val="22"/>
          <w:lang w:eastAsia="ko-KR"/>
        </w:rPr>
        <w:t>ρ</w:t>
      </w:r>
      <w:r w:rsidRPr="0015183E">
        <w:rPr>
          <w:rFonts w:eastAsiaTheme="minorEastAsia"/>
          <w:color w:val="000000" w:themeColor="text1"/>
          <w:sz w:val="22"/>
          <w:szCs w:val="22"/>
          <w:vertAlign w:val="subscript"/>
          <w:lang w:eastAsia="ko-KR"/>
        </w:rPr>
        <w:t>CNT</w:t>
      </w:r>
      <w:proofErr w:type="spellEnd"/>
      <w:r w:rsidR="00286155" w:rsidRPr="0015183E">
        <w:rPr>
          <w:rFonts w:eastAsiaTheme="minorEastAsia" w:hint="eastAsia"/>
          <w:color w:val="000000" w:themeColor="text1"/>
          <w:sz w:val="22"/>
          <w:szCs w:val="22"/>
          <w:lang w:eastAsia="ko-KR"/>
        </w:rPr>
        <w:t xml:space="preserve">, </w:t>
      </w:r>
      <w:r w:rsidRPr="0015183E">
        <w:rPr>
          <w:rFonts w:eastAsiaTheme="minorEastAsia"/>
          <w:color w:val="000000" w:themeColor="text1"/>
          <w:sz w:val="22"/>
          <w:szCs w:val="22"/>
          <w:lang w:eastAsia="ko-KR"/>
        </w:rPr>
        <w:t>under the low-density (LD), medium-density (MD) and high-density (HD) conditions</w:t>
      </w:r>
      <w:r w:rsidR="00E66502" w:rsidRPr="0015183E">
        <w:rPr>
          <w:rFonts w:eastAsiaTheme="minorEastAsia" w:hint="eastAsia"/>
          <w:color w:val="000000" w:themeColor="text1"/>
          <w:sz w:val="22"/>
          <w:szCs w:val="22"/>
          <w:lang w:eastAsia="ko-KR"/>
        </w:rPr>
        <w:t>.</w:t>
      </w:r>
      <w:r w:rsidRPr="0015183E">
        <w:rPr>
          <w:rFonts w:eastAsiaTheme="minorEastAsia"/>
          <w:color w:val="000000" w:themeColor="text1"/>
          <w:sz w:val="22"/>
          <w:szCs w:val="22"/>
          <w:lang w:eastAsia="ko-KR"/>
        </w:rPr>
        <w:t xml:space="preserve"> </w:t>
      </w:r>
    </w:p>
    <w:p w14:paraId="2EABD4A2"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lastRenderedPageBreak/>
        <w:t>Supplementary Figure 9.</w:t>
      </w:r>
      <w:r w:rsidRPr="0015183E">
        <w:rPr>
          <w:rFonts w:eastAsiaTheme="minorEastAsia"/>
          <w:color w:val="000000" w:themeColor="text1"/>
          <w:sz w:val="22"/>
          <w:szCs w:val="22"/>
          <w:lang w:eastAsia="ko-KR"/>
        </w:rPr>
        <w:t xml:space="preserve"> Device-to-device transfer characteristics and PVR distributions for HD and MD devices at two integration settings.</w:t>
      </w:r>
    </w:p>
    <w:p w14:paraId="110926A4"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Figure 10.</w:t>
      </w:r>
      <w:r w:rsidRPr="0015183E">
        <w:rPr>
          <w:rFonts w:eastAsiaTheme="minorEastAsia"/>
          <w:color w:val="000000" w:themeColor="text1"/>
          <w:sz w:val="22"/>
          <w:szCs w:val="22"/>
          <w:lang w:eastAsia="ko-KR"/>
        </w:rPr>
        <w:t xml:space="preserve"> Fixed-bias current–time measurements, signed low-current statistics and open-contact background comparisons.</w:t>
      </w:r>
    </w:p>
    <w:p w14:paraId="223E9697" w14:textId="19884328" w:rsidR="0061302D"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00F90D33" w:rsidRPr="0015183E">
        <w:rPr>
          <w:rFonts w:eastAsiaTheme="minorEastAsia"/>
          <w:b/>
          <w:bCs/>
          <w:color w:val="000000" w:themeColor="text1"/>
          <w:sz w:val="22"/>
          <w:szCs w:val="22"/>
          <w:lang w:eastAsia="ko-KR"/>
        </w:rPr>
        <w:t>11</w:t>
      </w:r>
      <w:r w:rsidRPr="0015183E">
        <w:rPr>
          <w:rFonts w:eastAsiaTheme="minorEastAsia"/>
          <w:b/>
          <w:bCs/>
          <w:color w:val="000000" w:themeColor="text1"/>
          <w:sz w:val="22"/>
          <w:szCs w:val="22"/>
          <w:lang w:eastAsia="ko-KR"/>
        </w:rPr>
        <w:t xml:space="preserve">. </w:t>
      </w:r>
      <w:r w:rsidRPr="0015183E">
        <w:rPr>
          <w:rFonts w:eastAsiaTheme="minorEastAsia"/>
          <w:color w:val="000000" w:themeColor="text1"/>
          <w:sz w:val="22"/>
          <w:szCs w:val="22"/>
          <w:lang w:eastAsia="ko-KR"/>
        </w:rPr>
        <w:t>HSPICE Level 3 compact-model fitting of the individual transistors and simulation of the series-connected stack. Parametric analysis examines the effects of the common-gate work function and the relative permittivity of the upper-layer gate dielectric on the operating voltage window and PVR.</w:t>
      </w:r>
    </w:p>
    <w:p w14:paraId="579EA236" w14:textId="1E93DA9B"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Figure </w:t>
      </w:r>
      <w:r w:rsidR="0061302D" w:rsidRPr="0015183E">
        <w:rPr>
          <w:rFonts w:eastAsiaTheme="minorEastAsia" w:hint="eastAsia"/>
          <w:b/>
          <w:bCs/>
          <w:color w:val="000000" w:themeColor="text1"/>
          <w:sz w:val="22"/>
          <w:szCs w:val="22"/>
          <w:lang w:eastAsia="ko-KR"/>
        </w:rPr>
        <w:t>1</w:t>
      </w:r>
      <w:r w:rsidR="00F90D33" w:rsidRPr="0015183E">
        <w:rPr>
          <w:rFonts w:eastAsiaTheme="minorEastAsia"/>
          <w:b/>
          <w:bCs/>
          <w:color w:val="000000" w:themeColor="text1"/>
          <w:sz w:val="22"/>
          <w:szCs w:val="22"/>
          <w:lang w:eastAsia="ko-KR"/>
        </w:rPr>
        <w:t>2</w:t>
      </w:r>
      <w:r w:rsidRPr="0015183E">
        <w:rPr>
          <w:rFonts w:eastAsiaTheme="minorEastAsia"/>
          <w:b/>
          <w:bCs/>
          <w:color w:val="000000" w:themeColor="text1"/>
          <w:sz w:val="22"/>
          <w:szCs w:val="22"/>
          <w:lang w:eastAsia="ko-KR"/>
        </w:rPr>
        <w:t xml:space="preserve">. </w:t>
      </w:r>
      <w:r w:rsidRPr="0015183E">
        <w:rPr>
          <w:rFonts w:eastAsiaTheme="minorEastAsia"/>
          <w:color w:val="000000" w:themeColor="text1"/>
          <w:sz w:val="22"/>
          <w:szCs w:val="22"/>
          <w:lang w:eastAsia="ko-KR"/>
        </w:rPr>
        <w:t>Comparison of ideal and measured pull-up and pull-down current characteristics used to interpret the residual slope within the intermediate-state window of the ternary inverter in terms of conductance matching.</w:t>
      </w:r>
    </w:p>
    <w:p w14:paraId="3027ECD1"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Figure 13.</w:t>
      </w:r>
      <w:r w:rsidRPr="0015183E">
        <w:rPr>
          <w:rFonts w:eastAsiaTheme="minorEastAsia"/>
          <w:color w:val="000000" w:themeColor="text1"/>
          <w:sz w:val="22"/>
          <w:szCs w:val="22"/>
          <w:lang w:eastAsia="ko-KR"/>
        </w:rPr>
        <w:t xml:space="preserve"> Layout-derived footprint comparison of vertical and lateral inverter implementations, including four- and eight-stage estimates and routing-space sensitivity.</w:t>
      </w:r>
    </w:p>
    <w:p w14:paraId="06B4E8E4"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Figure 14.</w:t>
      </w:r>
      <w:r w:rsidRPr="0015183E">
        <w:rPr>
          <w:rFonts w:eastAsiaTheme="minorEastAsia"/>
          <w:color w:val="000000" w:themeColor="text1"/>
          <w:sz w:val="22"/>
          <w:szCs w:val="22"/>
          <w:lang w:eastAsia="ko-KR"/>
        </w:rPr>
        <w:t xml:space="preserve"> </w:t>
      </w:r>
      <w:proofErr w:type="spellStart"/>
      <w:r w:rsidRPr="0015183E">
        <w:rPr>
          <w:rFonts w:eastAsiaTheme="minorEastAsia"/>
          <w:color w:val="000000" w:themeColor="text1"/>
          <w:sz w:val="22"/>
          <w:szCs w:val="22"/>
          <w:lang w:eastAsia="ko-KR"/>
        </w:rPr>
        <w:t>Behavioural</w:t>
      </w:r>
      <w:proofErr w:type="spellEnd"/>
      <w:r w:rsidRPr="0015183E">
        <w:rPr>
          <w:rFonts w:eastAsiaTheme="minorEastAsia"/>
          <w:color w:val="000000" w:themeColor="text1"/>
          <w:sz w:val="22"/>
          <w:szCs w:val="22"/>
          <w:lang w:eastAsia="ko-KR"/>
        </w:rPr>
        <w:t xml:space="preserve"> simulations of four- and eight-stage ternary inverter chains based on the measured single-inverter VTC.</w:t>
      </w:r>
    </w:p>
    <w:p w14:paraId="7BC1E754" w14:textId="77777777" w:rsidR="00986C76"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Table 1. </w:t>
      </w:r>
      <w:r w:rsidRPr="0015183E">
        <w:rPr>
          <w:rFonts w:eastAsiaTheme="minorEastAsia"/>
          <w:color w:val="000000" w:themeColor="text1"/>
          <w:sz w:val="22"/>
          <w:szCs w:val="22"/>
          <w:lang w:eastAsia="ko-KR"/>
        </w:rPr>
        <w:t>Benchmark comparison of this work and previously reported NTC devices in terms of the number and type of semiconductor materials, PVR and</w:t>
      </w:r>
      <w:r w:rsidRPr="0015183E">
        <w:rPr>
          <w:rFonts w:eastAsiaTheme="minorEastAsia" w:hint="eastAsia"/>
          <w:color w:val="000000" w:themeColor="text1"/>
          <w:sz w:val="22"/>
          <w:szCs w:val="22"/>
          <w:lang w:eastAsia="ko-KR"/>
        </w:rPr>
        <w:t xml:space="preserve"> |V</w:t>
      </w:r>
      <w:r w:rsidRPr="0015183E">
        <w:rPr>
          <w:rFonts w:eastAsiaTheme="minorEastAsia" w:hint="eastAsia"/>
          <w:color w:val="000000" w:themeColor="text1"/>
          <w:sz w:val="22"/>
          <w:szCs w:val="22"/>
          <w:vertAlign w:val="subscript"/>
          <w:lang w:eastAsia="ko-KR"/>
        </w:rPr>
        <w:t>D</w:t>
      </w:r>
      <w:r w:rsidRPr="0015183E">
        <w:rPr>
          <w:rFonts w:eastAsiaTheme="minorEastAsia" w:hint="eastAsia"/>
          <w:color w:val="000000" w:themeColor="text1"/>
          <w:sz w:val="22"/>
          <w:szCs w:val="22"/>
          <w:lang w:eastAsia="ko-KR"/>
        </w:rPr>
        <w:t>|</w:t>
      </w:r>
      <w:r w:rsidRPr="0015183E">
        <w:rPr>
          <w:rFonts w:eastAsiaTheme="minorEastAsia"/>
          <w:color w:val="000000" w:themeColor="text1"/>
          <w:sz w:val="22"/>
          <w:szCs w:val="22"/>
          <w:lang w:eastAsia="ko-KR"/>
        </w:rPr>
        <w:t>.</w:t>
      </w:r>
    </w:p>
    <w:p w14:paraId="58D46911" w14:textId="11C5DC13" w:rsidR="00E81BD2" w:rsidRPr="0015183E" w:rsidRDefault="00986C76" w:rsidP="003711F9">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 xml:space="preserve">Supplementary Table 2. </w:t>
      </w:r>
      <w:r w:rsidRPr="0015183E">
        <w:rPr>
          <w:rFonts w:eastAsiaTheme="minorEastAsia"/>
          <w:color w:val="000000" w:themeColor="text1"/>
          <w:sz w:val="22"/>
          <w:szCs w:val="22"/>
          <w:lang w:eastAsia="ko-KR"/>
        </w:rPr>
        <w:t>HSPICE Level 3 compact-model parameters for the electron and hole branches of the lower-layer transistor and the p-type response of the upper-layer transistor.</w:t>
      </w:r>
    </w:p>
    <w:p w14:paraId="621F3FA4"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Table 3.</w:t>
      </w:r>
      <w:r w:rsidRPr="0015183E">
        <w:rPr>
          <w:rFonts w:eastAsiaTheme="minorEastAsia"/>
          <w:color w:val="000000" w:themeColor="text1"/>
          <w:sz w:val="22"/>
          <w:szCs w:val="22"/>
          <w:lang w:eastAsia="ko-KR"/>
        </w:rPr>
        <w:t xml:space="preserve"> Population statistics of the operational PVR.</w:t>
      </w:r>
    </w:p>
    <w:p w14:paraId="63D95FE3"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Table 4.</w:t>
      </w:r>
      <w:r w:rsidRPr="0015183E">
        <w:rPr>
          <w:rFonts w:eastAsiaTheme="minorEastAsia"/>
          <w:color w:val="000000" w:themeColor="text1"/>
          <w:sz w:val="22"/>
          <w:szCs w:val="22"/>
          <w:lang w:eastAsia="ko-KR"/>
        </w:rPr>
        <w:t xml:space="preserve"> Open-contact current statistics at PLC = 1.</w:t>
      </w:r>
    </w:p>
    <w:p w14:paraId="25407FCD" w14:textId="77777777" w:rsidR="00F90D33" w:rsidRPr="0015183E" w:rsidRDefault="00F90D33" w:rsidP="00F90D33">
      <w:pPr>
        <w:pStyle w:val="Maintext"/>
        <w:spacing w:after="200"/>
        <w:jc w:val="both"/>
        <w:rPr>
          <w:rFonts w:eastAsiaTheme="minorEastAsia"/>
          <w:color w:val="000000" w:themeColor="text1"/>
          <w:sz w:val="22"/>
          <w:szCs w:val="22"/>
          <w:lang w:eastAsia="ko-KR"/>
        </w:rPr>
      </w:pPr>
      <w:r w:rsidRPr="0015183E">
        <w:rPr>
          <w:rFonts w:eastAsiaTheme="minorEastAsia"/>
          <w:b/>
          <w:bCs/>
          <w:color w:val="000000" w:themeColor="text1"/>
          <w:sz w:val="22"/>
          <w:szCs w:val="22"/>
          <w:lang w:eastAsia="ko-KR"/>
        </w:rPr>
        <w:t>Supplementary Table 5.</w:t>
      </w:r>
      <w:r w:rsidRPr="0015183E">
        <w:rPr>
          <w:rFonts w:eastAsiaTheme="minorEastAsia"/>
          <w:color w:val="000000" w:themeColor="text1"/>
          <w:sz w:val="22"/>
          <w:szCs w:val="22"/>
          <w:lang w:eastAsia="ko-KR"/>
        </w:rPr>
        <w:t xml:space="preserve"> Footprints calculated using the matched repeated-cell layout convention.</w:t>
      </w:r>
    </w:p>
    <w:p w14:paraId="69D6F62F" w14:textId="32BA29B5" w:rsidR="00E81BD2" w:rsidRPr="0015183E" w:rsidRDefault="00E81BD2" w:rsidP="003711F9">
      <w:pPr>
        <w:rPr>
          <w:rFonts w:ascii="Times New Roman" w:eastAsiaTheme="minorEastAsia" w:hAnsi="Times New Roman"/>
          <w:color w:val="000000" w:themeColor="text1"/>
          <w:sz w:val="22"/>
          <w:szCs w:val="22"/>
          <w:lang w:eastAsia="ko-KR"/>
        </w:rPr>
      </w:pPr>
    </w:p>
    <w:p w14:paraId="42763A5B" w14:textId="18CB4765" w:rsidR="00E81BD2" w:rsidRPr="0015183E" w:rsidRDefault="00E81BD2" w:rsidP="00986E60">
      <w:pPr>
        <w:spacing w:after="200" w:line="480" w:lineRule="auto"/>
        <w:jc w:val="both"/>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lang w:eastAsia="ko-KR"/>
        </w:rPr>
        <w:t>Cross-sectional structural characterization of the common-gate region</w:t>
      </w:r>
    </w:p>
    <w:p w14:paraId="4CA9848F" w14:textId="77777777" w:rsidR="00E81BD2" w:rsidRPr="0015183E" w:rsidRDefault="00E81BD2" w:rsidP="007411B7">
      <w:pPr>
        <w:spacing w:after="200" w:line="480" w:lineRule="auto"/>
        <w:ind w:firstLineChars="100" w:firstLine="216"/>
        <w:jc w:val="both"/>
        <w:rPr>
          <w:rFonts w:ascii="Times New Roman" w:hAnsi="Times New Roman"/>
          <w:color w:val="000000" w:themeColor="text1"/>
          <w:sz w:val="22"/>
          <w:szCs w:val="22"/>
          <w:lang w:eastAsia="ko-KR"/>
        </w:rPr>
      </w:pPr>
      <w:r w:rsidRPr="0015183E">
        <w:rPr>
          <w:rFonts w:ascii="Times New Roman" w:hAnsi="Times New Roman"/>
          <w:b/>
          <w:bCs/>
          <w:color w:val="000000" w:themeColor="text1"/>
          <w:sz w:val="22"/>
          <w:szCs w:val="22"/>
          <w:lang w:eastAsia="ko-KR"/>
        </w:rPr>
        <w:t>Supplementary Fig. 1</w:t>
      </w:r>
      <w:r w:rsidRPr="0015183E">
        <w:rPr>
          <w:rFonts w:ascii="Times New Roman" w:hAnsi="Times New Roman"/>
          <w:color w:val="000000" w:themeColor="text1"/>
          <w:sz w:val="22"/>
          <w:szCs w:val="22"/>
          <w:lang w:eastAsia="ko-KR"/>
        </w:rPr>
        <w:t xml:space="preserve"> provides cross-sectional structural characterization of the common-gate region in the vertically stacked NTC transistor. The schematic indicates the A–A′ cross-section through the common gate and the vertically arranged lower and upper CNT network channels. The cross-sectional TEM image resolves the dielectric and metal layers surrounding the common gate. The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/Pd common gate is positioned between the lower and upper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layers, with the substrate SiO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below the lower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layer and the upper SiO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layer above the upper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layer.</w:t>
      </w:r>
    </w:p>
    <w:p w14:paraId="1E4F3113"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t>From the TEM image, the thicknesses of the lower and upper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layers were each extracted to be approximately 28 nm. The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 xml:space="preserve"> and Pd layers forming the common gate were approximately 2 nm and 20 nm thick, respectively. These dimensions are consistent with the intended vertical gate-stack configuration used for the vertically stacked NTC transistor.</w:t>
      </w:r>
    </w:p>
    <w:p w14:paraId="5F1A788C"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t xml:space="preserve">The corresponding EDS elemental maps show the spatial distributions of O, Hf,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 xml:space="preserve">, Pd and Si across the same cross-sectional region. Hf is distributed in the dielectric regions above and below the common gate, whereas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 xml:space="preserve"> and Pd are localized within the intervening metal gate region. The Si signal is primarily observed in the substrate region, while the O distribution follows the oxide-containing layers. Together with the TEM image, the elemental maps support the vertical layer configuration around the common gate described in </w:t>
      </w:r>
      <w:r w:rsidRPr="0015183E">
        <w:rPr>
          <w:rFonts w:ascii="Times New Roman" w:hAnsi="Times New Roman"/>
          <w:b/>
          <w:bCs/>
          <w:color w:val="000000" w:themeColor="text1"/>
          <w:sz w:val="22"/>
          <w:szCs w:val="22"/>
          <w:lang w:eastAsia="ko-KR"/>
        </w:rPr>
        <w:t>Fig. 1a</w:t>
      </w:r>
      <w:r w:rsidRPr="0015183E">
        <w:rPr>
          <w:rFonts w:ascii="Times New Roman" w:hAnsi="Times New Roman"/>
          <w:color w:val="000000" w:themeColor="text1"/>
          <w:sz w:val="22"/>
          <w:szCs w:val="22"/>
          <w:lang w:eastAsia="ko-KR"/>
        </w:rPr>
        <w:t>.</w:t>
      </w:r>
    </w:p>
    <w:p w14:paraId="3E72C7FD" w14:textId="158F7A1D" w:rsidR="00E81BD2" w:rsidRPr="0015183E" w:rsidRDefault="00E81BD2" w:rsidP="003711F9">
      <w:pPr>
        <w:pStyle w:val="Maintext"/>
        <w:tabs>
          <w:tab w:val="left" w:pos="2128"/>
        </w:tabs>
        <w:spacing w:line="360" w:lineRule="auto"/>
        <w:rPr>
          <w:color w:val="000000" w:themeColor="text1"/>
          <w:lang w:eastAsia="ko-KR"/>
        </w:rPr>
      </w:pPr>
    </w:p>
    <w:p w14:paraId="79788867" w14:textId="5680CAD1" w:rsidR="009B58A8" w:rsidRPr="0015183E" w:rsidRDefault="00F06897" w:rsidP="003711F9">
      <w:pPr>
        <w:pStyle w:val="Maintext"/>
        <w:spacing w:line="360" w:lineRule="auto"/>
        <w:jc w:val="center"/>
        <w:rPr>
          <w:color w:val="000000" w:themeColor="text1"/>
        </w:rPr>
      </w:pPr>
      <w:r w:rsidRPr="0015183E">
        <w:rPr>
          <w:color w:val="000000" w:themeColor="text1"/>
          <w:lang w:eastAsia="ko-KR"/>
        </w:rPr>
        <w:br w:type="page"/>
      </w:r>
      <w:r w:rsidR="003711F9" w:rsidRPr="0015183E">
        <w:rPr>
          <w:noProof/>
          <w:color w:val="000000" w:themeColor="text1"/>
          <w:lang w:eastAsia="ko-KR"/>
        </w:rPr>
        <w:lastRenderedPageBreak/>
        <w:drawing>
          <wp:inline distT="0" distB="0" distL="0" distR="0" wp14:anchorId="25F19ACE" wp14:editId="67B74A7B">
            <wp:extent cx="5943600" cy="2673985"/>
            <wp:effectExtent l="0" t="0" r="0" b="0"/>
            <wp:docPr id="952647767" name="그림 5">
              <a:extLst xmlns:a="http://schemas.openxmlformats.org/drawingml/2006/main">
                <a:ext uri="{FF2B5EF4-FFF2-40B4-BE49-F238E27FC236}">
                  <a16:creationId xmlns:a16="http://schemas.microsoft.com/office/drawing/2014/main" id="{D2EC3E44-B66B-0A2C-E054-96D5E7B63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D2EC3E44-B66B-0A2C-E054-96D5E7B63A10}"/>
                        </a:ext>
                      </a:extLst>
                    </pic:cNvPr>
                    <pic:cNvPicPr>
                      <a:picLocks noChangeAspect="1"/>
                    </pic:cNvPicPr>
                  </pic:nvPicPr>
                  <pic:blipFill>
                    <a:blip r:embed="rId18"/>
                    <a:srcRect l="2734" t="2252" r="1" b="2252"/>
                    <a:stretch>
                      <a:fillRect/>
                    </a:stretch>
                  </pic:blipFill>
                  <pic:spPr>
                    <a:xfrm>
                      <a:off x="0" y="0"/>
                      <a:ext cx="5943600" cy="2673985"/>
                    </a:xfrm>
                    <a:prstGeom prst="rect">
                      <a:avLst/>
                    </a:prstGeom>
                  </pic:spPr>
                </pic:pic>
              </a:graphicData>
            </a:graphic>
          </wp:inline>
        </w:drawing>
      </w:r>
    </w:p>
    <w:p w14:paraId="7FA34781" w14:textId="25FA3333"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Fonts w:ascii="Times New Roman" w:eastAsia="바탕" w:hAnsi="Times New Roman"/>
          <w:b/>
          <w:bCs/>
          <w:color w:val="000000" w:themeColor="text1"/>
          <w:sz w:val="22"/>
          <w:szCs w:val="22"/>
          <w:lang w:eastAsia="ko-KR"/>
        </w:rPr>
        <w:t xml:space="preserve"> </w:t>
      </w:r>
      <w:r w:rsidRPr="0015183E">
        <w:rPr>
          <w:rStyle w:val="selected"/>
          <w:rFonts w:ascii="Times New Roman" w:hAnsi="Times New Roman"/>
          <w:b/>
          <w:color w:val="000000" w:themeColor="text1"/>
          <w:sz w:val="22"/>
          <w:szCs w:val="22"/>
        </w:rPr>
        <w:t>Figure 1.</w:t>
      </w:r>
      <w:r w:rsidRPr="0015183E">
        <w:rPr>
          <w:rStyle w:val="selected"/>
          <w:rFonts w:ascii="Times New Roman" w:hAnsi="Times New Roman" w:hint="eastAsia"/>
          <w:b/>
          <w:color w:val="000000" w:themeColor="text1"/>
          <w:sz w:val="22"/>
          <w:szCs w:val="22"/>
          <w:lang w:eastAsia="ko-KR"/>
        </w:rPr>
        <w:t xml:space="preserve"> </w:t>
      </w:r>
      <w:r w:rsidRPr="0015183E">
        <w:rPr>
          <w:rFonts w:ascii="Times New Roman" w:eastAsia="바탕" w:hAnsi="Times New Roman"/>
          <w:color w:val="000000" w:themeColor="text1"/>
          <w:sz w:val="22"/>
          <w:szCs w:val="22"/>
          <w:lang w:eastAsia="ko-KR"/>
        </w:rPr>
        <w:t xml:space="preserve">Cross-sectional structure and elemental distribution around the common gate of the vertically stacked NTC transistor. The grey plane and blue dashed A–A′ marker in the upper schematic indicate the cross-section through the gate region. The lower row shows a cross-sectional transmission electron microscopy (TEM) image followed by energy-dispersive X-ray spectroscopy (EDS) elemental maps of O, Hf, </w:t>
      </w:r>
      <w:proofErr w:type="spellStart"/>
      <w:r w:rsidRPr="0015183E">
        <w:rPr>
          <w:rFonts w:ascii="Times New Roman" w:eastAsia="바탕" w:hAnsi="Times New Roman"/>
          <w:color w:val="000000" w:themeColor="text1"/>
          <w:sz w:val="22"/>
          <w:szCs w:val="22"/>
          <w:lang w:eastAsia="ko-KR"/>
        </w:rPr>
        <w:t>Ti</w:t>
      </w:r>
      <w:proofErr w:type="spellEnd"/>
      <w:r w:rsidRPr="0015183E">
        <w:rPr>
          <w:rFonts w:ascii="Times New Roman" w:eastAsia="바탕" w:hAnsi="Times New Roman"/>
          <w:color w:val="000000" w:themeColor="text1"/>
          <w:sz w:val="22"/>
          <w:szCs w:val="22"/>
          <w:lang w:eastAsia="ko-KR"/>
        </w:rPr>
        <w:t>, Pd and Si from left to right. The TEM image is labelled with the Si substrate, substrate SiO</w:t>
      </w:r>
      <w:r w:rsidRPr="0015183E">
        <w:rPr>
          <w:rFonts w:ascii="Times New Roman" w:eastAsia="바탕" w:hAnsi="Times New Roman"/>
          <w:color w:val="000000" w:themeColor="text1"/>
          <w:sz w:val="22"/>
          <w:szCs w:val="22"/>
          <w:vertAlign w:val="subscript"/>
          <w:lang w:eastAsia="ko-KR"/>
        </w:rPr>
        <w:t>2</w:t>
      </w:r>
      <w:r w:rsidRPr="0015183E">
        <w:rPr>
          <w:rFonts w:ascii="Times New Roman" w:eastAsia="바탕" w:hAnsi="Times New Roman"/>
          <w:color w:val="000000" w:themeColor="text1"/>
          <w:sz w:val="22"/>
          <w:szCs w:val="22"/>
          <w:lang w:eastAsia="ko-KR"/>
        </w:rPr>
        <w:t>, lower HfO</w:t>
      </w:r>
      <w:r w:rsidRPr="0015183E">
        <w:rPr>
          <w:rFonts w:ascii="Times New Roman" w:eastAsia="바탕" w:hAnsi="Times New Roman"/>
          <w:color w:val="000000" w:themeColor="text1"/>
          <w:sz w:val="22"/>
          <w:szCs w:val="22"/>
          <w:vertAlign w:val="subscript"/>
          <w:lang w:eastAsia="ko-KR"/>
        </w:rPr>
        <w:t>2</w:t>
      </w:r>
      <w:r w:rsidRPr="0015183E">
        <w:rPr>
          <w:rFonts w:ascii="Times New Roman" w:eastAsia="바탕" w:hAnsi="Times New Roman"/>
          <w:color w:val="000000" w:themeColor="text1"/>
          <w:sz w:val="22"/>
          <w:szCs w:val="22"/>
          <w:lang w:eastAsia="ko-KR"/>
        </w:rPr>
        <w:t xml:space="preserve"> dielectric, </w:t>
      </w:r>
      <w:proofErr w:type="spellStart"/>
      <w:r w:rsidRPr="0015183E">
        <w:rPr>
          <w:rFonts w:ascii="Times New Roman" w:eastAsia="바탕" w:hAnsi="Times New Roman"/>
          <w:color w:val="000000" w:themeColor="text1"/>
          <w:sz w:val="22"/>
          <w:szCs w:val="22"/>
          <w:lang w:eastAsia="ko-KR"/>
        </w:rPr>
        <w:t>Ti</w:t>
      </w:r>
      <w:proofErr w:type="spellEnd"/>
      <w:r w:rsidRPr="0015183E">
        <w:rPr>
          <w:rFonts w:ascii="Times New Roman" w:eastAsia="바탕" w:hAnsi="Times New Roman"/>
          <w:color w:val="000000" w:themeColor="text1"/>
          <w:sz w:val="22"/>
          <w:szCs w:val="22"/>
          <w:lang w:eastAsia="ko-KR"/>
        </w:rPr>
        <w:t>/Pd common gate, upper HfO</w:t>
      </w:r>
      <w:r w:rsidRPr="0015183E">
        <w:rPr>
          <w:rFonts w:ascii="Times New Roman" w:eastAsia="바탕" w:hAnsi="Times New Roman"/>
          <w:color w:val="000000" w:themeColor="text1"/>
          <w:sz w:val="22"/>
          <w:szCs w:val="22"/>
          <w:vertAlign w:val="subscript"/>
          <w:lang w:eastAsia="ko-KR"/>
        </w:rPr>
        <w:t>2</w:t>
      </w:r>
      <w:r w:rsidRPr="0015183E">
        <w:rPr>
          <w:rFonts w:ascii="Times New Roman" w:eastAsia="바탕" w:hAnsi="Times New Roman"/>
          <w:color w:val="000000" w:themeColor="text1"/>
          <w:sz w:val="22"/>
          <w:szCs w:val="22"/>
          <w:lang w:eastAsia="ko-KR"/>
        </w:rPr>
        <w:t xml:space="preserve"> dielectric and surface SiO</w:t>
      </w:r>
      <w:r w:rsidRPr="0015183E">
        <w:rPr>
          <w:rFonts w:ascii="Times New Roman" w:eastAsia="바탕" w:hAnsi="Times New Roman"/>
          <w:color w:val="000000" w:themeColor="text1"/>
          <w:sz w:val="22"/>
          <w:szCs w:val="22"/>
          <w:vertAlign w:val="subscript"/>
          <w:lang w:eastAsia="ko-KR"/>
        </w:rPr>
        <w:t>2</w:t>
      </w:r>
      <w:r w:rsidRPr="0015183E">
        <w:rPr>
          <w:rFonts w:ascii="Times New Roman" w:eastAsia="바탕" w:hAnsi="Times New Roman"/>
          <w:color w:val="000000" w:themeColor="text1"/>
          <w:sz w:val="22"/>
          <w:szCs w:val="22"/>
          <w:lang w:eastAsia="ko-KR"/>
        </w:rPr>
        <w:t xml:space="preserve"> layer.</w:t>
      </w:r>
    </w:p>
    <w:p w14:paraId="5660DEF0" w14:textId="77777777" w:rsidR="00E81BD2" w:rsidRPr="0015183E" w:rsidRDefault="009B58A8" w:rsidP="00986E60">
      <w:pPr>
        <w:spacing w:after="200" w:line="480" w:lineRule="auto"/>
        <w:jc w:val="both"/>
        <w:rPr>
          <w:rFonts w:ascii="Times New Roman" w:hAnsi="Times New Roman"/>
          <w:b/>
          <w:bCs/>
          <w:color w:val="000000" w:themeColor="text1"/>
          <w:sz w:val="22"/>
          <w:szCs w:val="22"/>
        </w:rPr>
      </w:pPr>
      <w:r w:rsidRPr="0015183E">
        <w:rPr>
          <w:rFonts w:ascii="Times New Roman" w:hAnsi="Times New Roman"/>
          <w:color w:val="000000" w:themeColor="text1"/>
          <w:sz w:val="22"/>
          <w:szCs w:val="22"/>
          <w:lang w:eastAsia="ko-KR"/>
        </w:rPr>
        <w:br w:type="page"/>
      </w:r>
      <w:r w:rsidR="00E81BD2" w:rsidRPr="0015183E">
        <w:rPr>
          <w:rFonts w:ascii="Times New Roman" w:hAnsi="Times New Roman"/>
          <w:b/>
          <w:bCs/>
          <w:color w:val="000000" w:themeColor="text1"/>
          <w:sz w:val="22"/>
          <w:szCs w:val="22"/>
        </w:rPr>
        <w:lastRenderedPageBreak/>
        <w:t>Sequential fabrication of the vertically stacked NTC transistor</w:t>
      </w:r>
    </w:p>
    <w:p w14:paraId="5D557AFF" w14:textId="77777777" w:rsidR="00E81BD2" w:rsidRPr="0015183E" w:rsidRDefault="00E81BD2" w:rsidP="007411B7">
      <w:pPr>
        <w:spacing w:after="200" w:line="480" w:lineRule="auto"/>
        <w:ind w:firstLineChars="100" w:firstLine="216"/>
        <w:jc w:val="both"/>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2</w:t>
      </w:r>
      <w:r w:rsidRPr="0015183E">
        <w:rPr>
          <w:rFonts w:ascii="Times New Roman" w:hAnsi="Times New Roman"/>
          <w:color w:val="000000" w:themeColor="text1"/>
          <w:sz w:val="22"/>
          <w:szCs w:val="22"/>
        </w:rPr>
        <w:t xml:space="preserve"> details the sequential fabrication of the lower and upper CNT network channels on opposite sides of a common gate. In step I, highly doped p-type Si wafers with 50 nm SiO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formed by wet oxidation were prepared as substrates. The surface was treated with 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plasma at 30 W for 60 s, followed by application of a 0.1% aqueous poly-L-lysine solution for 20 min. In step II, a semiconducting CNT dispersion (</w:t>
      </w:r>
      <w:proofErr w:type="spellStart"/>
      <w:r w:rsidRPr="0015183E">
        <w:rPr>
          <w:rFonts w:ascii="Times New Roman" w:hAnsi="Times New Roman"/>
          <w:color w:val="000000" w:themeColor="text1"/>
          <w:sz w:val="22"/>
          <w:szCs w:val="22"/>
        </w:rPr>
        <w:t>IsoNanotubes</w:t>
      </w:r>
      <w:proofErr w:type="spellEnd"/>
      <w:r w:rsidRPr="0015183E">
        <w:rPr>
          <w:rFonts w:ascii="Times New Roman" w:hAnsi="Times New Roman"/>
          <w:color w:val="000000" w:themeColor="text1"/>
          <w:sz w:val="22"/>
          <w:szCs w:val="22"/>
        </w:rPr>
        <w:t xml:space="preserve">-S, </w:t>
      </w:r>
      <w:proofErr w:type="spellStart"/>
      <w:r w:rsidRPr="0015183E">
        <w:rPr>
          <w:rFonts w:ascii="Times New Roman" w:hAnsi="Times New Roman"/>
          <w:color w:val="000000" w:themeColor="text1"/>
          <w:sz w:val="22"/>
          <w:szCs w:val="22"/>
        </w:rPr>
        <w:t>NanoIntegris</w:t>
      </w:r>
      <w:proofErr w:type="spellEnd"/>
      <w:r w:rsidRPr="0015183E">
        <w:rPr>
          <w:rFonts w:ascii="Times New Roman" w:hAnsi="Times New Roman"/>
          <w:color w:val="000000" w:themeColor="text1"/>
          <w:sz w:val="22"/>
          <w:szCs w:val="22"/>
        </w:rPr>
        <w:t>, 99.9% semiconducting purity) was dispensed onto the substrate maintained at 30 °C. After CNT deposition, the samples were rinsed with isopropyl alcohol and deionized water for 1 min each.</w:t>
      </w:r>
    </w:p>
    <w:p w14:paraId="335C725D"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In step III, the lower-layer </w:t>
      </w:r>
      <w:proofErr w:type="spellStart"/>
      <w:r w:rsidRPr="0015183E">
        <w:rPr>
          <w:rFonts w:ascii="Times New Roman" w:hAnsi="Times New Roman"/>
          <w:color w:val="000000" w:themeColor="text1"/>
          <w:sz w:val="22"/>
          <w:szCs w:val="22"/>
        </w:rPr>
        <w:t>Ti</w:t>
      </w:r>
      <w:proofErr w:type="spellEnd"/>
      <w:r w:rsidRPr="0015183E">
        <w:rPr>
          <w:rFonts w:ascii="Times New Roman" w:hAnsi="Times New Roman"/>
          <w:color w:val="000000" w:themeColor="text1"/>
          <w:sz w:val="22"/>
          <w:szCs w:val="22"/>
        </w:rPr>
        <w:t>/Pd source/drain electrodes were formed by electron beam evaporation at a base pressure of approximately 1.0 × 10</w:t>
      </w:r>
      <w:r w:rsidRPr="0015183E">
        <w:rPr>
          <w:rFonts w:ascii="Times New Roman" w:hAnsi="Times New Roman"/>
          <w:color w:val="000000" w:themeColor="text1"/>
          <w:sz w:val="22"/>
          <w:szCs w:val="22"/>
          <w:vertAlign w:val="superscript"/>
        </w:rPr>
        <w:t>–6</w:t>
      </w:r>
      <w:r w:rsidRPr="0015183E">
        <w:rPr>
          <w:rFonts w:ascii="Times New Roman" w:hAnsi="Times New Roman"/>
          <w:color w:val="000000" w:themeColor="text1"/>
          <w:sz w:val="22"/>
          <w:szCs w:val="22"/>
        </w:rPr>
        <w:t xml:space="preserve"> Torr. The </w:t>
      </w:r>
      <w:proofErr w:type="spellStart"/>
      <w:r w:rsidRPr="0015183E">
        <w:rPr>
          <w:rFonts w:ascii="Times New Roman" w:hAnsi="Times New Roman"/>
          <w:color w:val="000000" w:themeColor="text1"/>
          <w:sz w:val="22"/>
          <w:szCs w:val="22"/>
        </w:rPr>
        <w:t>Ti</w:t>
      </w:r>
      <w:proofErr w:type="spellEnd"/>
      <w:r w:rsidRPr="0015183E">
        <w:rPr>
          <w:rFonts w:ascii="Times New Roman" w:hAnsi="Times New Roman"/>
          <w:color w:val="000000" w:themeColor="text1"/>
          <w:sz w:val="22"/>
          <w:szCs w:val="22"/>
        </w:rPr>
        <w:t xml:space="preserve"> and Pd thicknesses were 2 and 20 nm, respectively. The lower CNT channel was patterned using 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plasma at 3 W for 60 s. All patterns throughout the fabrication process were defined by </w:t>
      </w:r>
      <w:proofErr w:type="spellStart"/>
      <w:r w:rsidRPr="0015183E">
        <w:rPr>
          <w:rFonts w:ascii="Times New Roman" w:hAnsi="Times New Roman"/>
          <w:color w:val="000000" w:themeColor="text1"/>
          <w:sz w:val="22"/>
          <w:szCs w:val="22"/>
        </w:rPr>
        <w:t>i</w:t>
      </w:r>
      <w:proofErr w:type="spellEnd"/>
      <w:r w:rsidRPr="0015183E">
        <w:rPr>
          <w:rFonts w:ascii="Times New Roman" w:hAnsi="Times New Roman"/>
          <w:color w:val="000000" w:themeColor="text1"/>
          <w:sz w:val="22"/>
          <w:szCs w:val="22"/>
        </w:rPr>
        <w:t>-line photolithography. The accompanying top-view image shows the lower-layer transistor in the back-gate configuration, in which the highly doped Si substrate serves as the gate.</w:t>
      </w:r>
    </w:p>
    <w:p w14:paraId="7C9C1892"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In step IV, the lower HfO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gate dielectric was deposited at 250 °C by ALD using TEMAH and H</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O. Each cycle consisted of a 0.5 s TEMAH pulse, a 15 s purge, a 0.5 s H</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O pulse and a second 15 s purge. A total of 280 cycles was used. In step V, the </w:t>
      </w:r>
      <w:proofErr w:type="spellStart"/>
      <w:r w:rsidRPr="0015183E">
        <w:rPr>
          <w:rFonts w:ascii="Times New Roman" w:hAnsi="Times New Roman"/>
          <w:color w:val="000000" w:themeColor="text1"/>
          <w:sz w:val="22"/>
          <w:szCs w:val="22"/>
        </w:rPr>
        <w:t>Ti</w:t>
      </w:r>
      <w:proofErr w:type="spellEnd"/>
      <w:r w:rsidRPr="0015183E">
        <w:rPr>
          <w:rFonts w:ascii="Times New Roman" w:hAnsi="Times New Roman"/>
          <w:color w:val="000000" w:themeColor="text1"/>
          <w:sz w:val="22"/>
          <w:szCs w:val="22"/>
        </w:rPr>
        <w:t xml:space="preserve">/Pd common gate was formed with the same </w:t>
      </w:r>
      <w:proofErr w:type="spellStart"/>
      <w:r w:rsidRPr="0015183E">
        <w:rPr>
          <w:rFonts w:ascii="Times New Roman" w:hAnsi="Times New Roman"/>
          <w:color w:val="000000" w:themeColor="text1"/>
          <w:sz w:val="22"/>
          <w:szCs w:val="22"/>
        </w:rPr>
        <w:t>Ti</w:t>
      </w:r>
      <w:proofErr w:type="spellEnd"/>
      <w:r w:rsidRPr="0015183E">
        <w:rPr>
          <w:rFonts w:ascii="Times New Roman" w:hAnsi="Times New Roman"/>
          <w:color w:val="000000" w:themeColor="text1"/>
          <w:sz w:val="22"/>
          <w:szCs w:val="22"/>
        </w:rPr>
        <w:t xml:space="preserve"> and Pd thicknesses of 2 and 20 nm, respectively. At this stage, the common gate is positioned above the lower CNT network and functions as the top gate of the lower-layer transistor, as indicated in the corresponding top-view image.</w:t>
      </w:r>
    </w:p>
    <w:p w14:paraId="0B67A17D"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In step VI, an additional HfO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layer was deposited above the common gate under the same ALD conditions. A 5 nm SiO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layer was then deposited by electron beam evaporation at approximately 1.0 × 10</w:t>
      </w:r>
      <w:r w:rsidRPr="0015183E">
        <w:rPr>
          <w:rFonts w:ascii="Times New Roman" w:hAnsi="Times New Roman"/>
          <w:color w:val="000000" w:themeColor="text1"/>
          <w:sz w:val="22"/>
          <w:szCs w:val="22"/>
          <w:vertAlign w:val="superscript"/>
        </w:rPr>
        <w:t>–6</w:t>
      </w:r>
      <w:r w:rsidRPr="0015183E">
        <w:rPr>
          <w:rFonts w:ascii="Times New Roman" w:hAnsi="Times New Roman"/>
          <w:color w:val="000000" w:themeColor="text1"/>
          <w:sz w:val="22"/>
          <w:szCs w:val="22"/>
        </w:rPr>
        <w:t xml:space="preserve"> Torr to facilitate adsorption of the upper CNT network. The interlayer via opening was formed by reactive ion etching at 150 W for 4 min using SF</w:t>
      </w:r>
      <w:r w:rsidRPr="0015183E">
        <w:rPr>
          <w:rFonts w:ascii="Times New Roman" w:hAnsi="Times New Roman"/>
          <w:color w:val="000000" w:themeColor="text1"/>
          <w:sz w:val="22"/>
          <w:szCs w:val="22"/>
          <w:vertAlign w:val="subscript"/>
        </w:rPr>
        <w:t>6</w:t>
      </w:r>
      <w:r w:rsidRPr="0015183E">
        <w:rPr>
          <w:rFonts w:ascii="Times New Roman" w:hAnsi="Times New Roman"/>
          <w:color w:val="000000" w:themeColor="text1"/>
          <w:sz w:val="22"/>
          <w:szCs w:val="22"/>
        </w:rPr>
        <w:t>, CHF</w:t>
      </w:r>
      <w:r w:rsidRPr="0015183E">
        <w:rPr>
          <w:rFonts w:ascii="Times New Roman" w:hAnsi="Times New Roman"/>
          <w:color w:val="000000" w:themeColor="text1"/>
          <w:sz w:val="22"/>
          <w:szCs w:val="22"/>
          <w:vertAlign w:val="subscript"/>
        </w:rPr>
        <w:t>3</w:t>
      </w:r>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Ar</w:t>
      </w:r>
      <w:proofErr w:type="spellEnd"/>
      <w:r w:rsidRPr="0015183E">
        <w:rPr>
          <w:rFonts w:ascii="Times New Roman" w:hAnsi="Times New Roman"/>
          <w:color w:val="000000" w:themeColor="text1"/>
          <w:sz w:val="22"/>
          <w:szCs w:val="22"/>
        </w:rPr>
        <w:t xml:space="preserve"> flow rates of 20, 30 and 4 </w:t>
      </w:r>
      <w:proofErr w:type="spellStart"/>
      <w:r w:rsidRPr="0015183E">
        <w:rPr>
          <w:rFonts w:ascii="Times New Roman" w:hAnsi="Times New Roman"/>
          <w:color w:val="000000" w:themeColor="text1"/>
          <w:sz w:val="22"/>
          <w:szCs w:val="22"/>
        </w:rPr>
        <w:t>sccm</w:t>
      </w:r>
      <w:proofErr w:type="spellEnd"/>
      <w:r w:rsidRPr="0015183E">
        <w:rPr>
          <w:rFonts w:ascii="Times New Roman" w:hAnsi="Times New Roman"/>
          <w:color w:val="000000" w:themeColor="text1"/>
          <w:sz w:val="22"/>
          <w:szCs w:val="22"/>
        </w:rPr>
        <w:t xml:space="preserve">, respectively. Thus, </w:t>
      </w:r>
      <w:r w:rsidRPr="0015183E">
        <w:rPr>
          <w:rFonts w:ascii="Times New Roman" w:hAnsi="Times New Roman"/>
          <w:color w:val="000000" w:themeColor="text1"/>
          <w:sz w:val="22"/>
          <w:szCs w:val="22"/>
        </w:rPr>
        <w:lastRenderedPageBreak/>
        <w:t>the upper dielectric stack and interlayer via opening were completed before deposition of the upper CNT network. Cross-sectional TEM gave thicknesses of approximately 28 nm for each of the lower and upper HfO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layers, as described in </w:t>
      </w:r>
      <w:r w:rsidRPr="0015183E">
        <w:rPr>
          <w:rFonts w:ascii="Times New Roman" w:hAnsi="Times New Roman"/>
          <w:b/>
          <w:bCs/>
          <w:color w:val="000000" w:themeColor="text1"/>
          <w:sz w:val="22"/>
          <w:szCs w:val="22"/>
        </w:rPr>
        <w:t>Supplementary Fig. 1</w:t>
      </w:r>
      <w:r w:rsidRPr="0015183E">
        <w:rPr>
          <w:rFonts w:ascii="Times New Roman" w:hAnsi="Times New Roman"/>
          <w:color w:val="000000" w:themeColor="text1"/>
          <w:sz w:val="22"/>
          <w:szCs w:val="22"/>
        </w:rPr>
        <w:t>.</w:t>
      </w:r>
    </w:p>
    <w:p w14:paraId="21AAE30C"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In step VII, the upper-layer CNT network was formed on the upper SiO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surface using the same surface treatment and deposition procedure as the lower-layer CNT network. CNT network densities of </w:t>
      </w:r>
      <w:r w:rsidRPr="0015183E">
        <w:rPr>
          <w:rFonts w:ascii="Times New Roman" w:hAnsi="Times New Roman" w:hint="eastAsia"/>
          <w:color w:val="000000" w:themeColor="text1"/>
          <w:sz w:val="22"/>
          <w:szCs w:val="22"/>
          <w:lang w:eastAsia="ko-KR"/>
        </w:rPr>
        <w:t>5</w:t>
      </w:r>
      <w:r w:rsidRPr="0015183E">
        <w:rPr>
          <w:rFonts w:ascii="Times New Roman" w:hAnsi="Times New Roman"/>
          <w:color w:val="000000" w:themeColor="text1"/>
          <w:sz w:val="22"/>
          <w:szCs w:val="22"/>
        </w:rPr>
        <w:t>–</w:t>
      </w:r>
      <w:r w:rsidRPr="0015183E">
        <w:rPr>
          <w:rFonts w:ascii="Times New Roman" w:hAnsi="Times New Roman" w:hint="eastAsia"/>
          <w:color w:val="000000" w:themeColor="text1"/>
          <w:sz w:val="22"/>
          <w:szCs w:val="22"/>
          <w:lang w:eastAsia="ko-KR"/>
        </w:rPr>
        <w:t>7</w:t>
      </w:r>
      <w:r w:rsidRPr="0015183E">
        <w:rPr>
          <w:rFonts w:ascii="Times New Roman" w:hAnsi="Times New Roman"/>
          <w:color w:val="000000" w:themeColor="text1"/>
          <w:sz w:val="22"/>
          <w:szCs w:val="22"/>
        </w:rPr>
        <w:t>, 1</w:t>
      </w:r>
      <w:r w:rsidRPr="0015183E">
        <w:rPr>
          <w:rFonts w:ascii="Times New Roman" w:hAnsi="Times New Roman" w:hint="eastAsia"/>
          <w:color w:val="000000" w:themeColor="text1"/>
          <w:sz w:val="22"/>
          <w:szCs w:val="22"/>
          <w:lang w:eastAsia="ko-KR"/>
        </w:rPr>
        <w:t>1</w:t>
      </w:r>
      <w:r w:rsidRPr="0015183E">
        <w:rPr>
          <w:rFonts w:ascii="Times New Roman" w:hAnsi="Times New Roman"/>
          <w:color w:val="000000" w:themeColor="text1"/>
          <w:sz w:val="22"/>
          <w:szCs w:val="22"/>
        </w:rPr>
        <w:t>–13 and 1</w:t>
      </w:r>
      <w:r w:rsidRPr="0015183E">
        <w:rPr>
          <w:rFonts w:ascii="Times New Roman" w:hAnsi="Times New Roman" w:hint="eastAsia"/>
          <w:color w:val="000000" w:themeColor="text1"/>
          <w:sz w:val="22"/>
          <w:szCs w:val="22"/>
          <w:lang w:eastAsia="ko-KR"/>
        </w:rPr>
        <w:t>8</w:t>
      </w:r>
      <w:r w:rsidRPr="0015183E">
        <w:rPr>
          <w:rFonts w:ascii="Times New Roman" w:hAnsi="Times New Roman"/>
          <w:color w:val="000000" w:themeColor="text1"/>
          <w:sz w:val="22"/>
          <w:szCs w:val="22"/>
        </w:rPr>
        <w:t>–20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were obtained using deposition times of 3, 7 and 11 min, respectively, at 30 °C. The same deposition conditions were used for the corresponding CNT network densities in the lower- and upper-layer transistors.</w:t>
      </w:r>
    </w:p>
    <w:p w14:paraId="33D50466"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In step VIII, the upper-layer </w:t>
      </w:r>
      <w:proofErr w:type="spellStart"/>
      <w:r w:rsidRPr="0015183E">
        <w:rPr>
          <w:rFonts w:ascii="Times New Roman" w:hAnsi="Times New Roman"/>
          <w:color w:val="000000" w:themeColor="text1"/>
          <w:sz w:val="22"/>
          <w:szCs w:val="22"/>
        </w:rPr>
        <w:t>Ti</w:t>
      </w:r>
      <w:proofErr w:type="spellEnd"/>
      <w:r w:rsidRPr="0015183E">
        <w:rPr>
          <w:rFonts w:ascii="Times New Roman" w:hAnsi="Times New Roman"/>
          <w:color w:val="000000" w:themeColor="text1"/>
          <w:sz w:val="22"/>
          <w:szCs w:val="22"/>
        </w:rPr>
        <w:t>/Pd source/drain electrodes were formed, followed by 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plasma patterning of the upper CNT channel using the same procedures as for the lower channel. In the complete device, the external source contacts the lower channel and the external drain contacts the upper channel. The remaining terminals of the two channels are connected through the interlayer via, forming the series-connected stack. The common gate functions as a top gate for the lower-layer transistor and as a bottom gate for the upper-layer transistor. The final top-view images show the terminal arrangement of the complete device and the upper-layer bottom-gate configuration.</w:t>
      </w:r>
    </w:p>
    <w:p w14:paraId="0E168A02"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The fabrication sequence places the lower CNT network before HfO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processing and the upper CNT network after completion of the dielectric processes. Although the two channels consist of the same CNT semiconductor, they therefore experience different process histories. This distinction provides the process context for the contrasting gate responses of the lower- and upper-layer transistors discussed in the main text.</w:t>
      </w:r>
    </w:p>
    <w:p w14:paraId="7F0CB248" w14:textId="11B9371C" w:rsidR="009B58A8" w:rsidRPr="0015183E" w:rsidRDefault="009B58A8" w:rsidP="003711F9">
      <w:pPr>
        <w:rPr>
          <w:rFonts w:ascii="Times New Roman" w:hAnsi="Times New Roman"/>
          <w:color w:val="000000" w:themeColor="text1"/>
          <w:sz w:val="22"/>
          <w:szCs w:val="22"/>
          <w:lang w:eastAsia="ko-KR"/>
        </w:rPr>
      </w:pPr>
    </w:p>
    <w:p w14:paraId="25206141" w14:textId="31781D06" w:rsidR="009B58A8" w:rsidRPr="0015183E" w:rsidRDefault="00501FF5" w:rsidP="003711F9">
      <w:pPr>
        <w:spacing w:line="360" w:lineRule="auto"/>
        <w:jc w:val="center"/>
        <w:rPr>
          <w:rFonts w:ascii="Times New Roman" w:eastAsiaTheme="minorEastAsia" w:hAnsi="Times New Roman"/>
          <w:color w:val="000000" w:themeColor="text1"/>
          <w:sz w:val="24"/>
          <w:szCs w:val="24"/>
          <w:lang w:eastAsia="ko-KR"/>
        </w:rPr>
      </w:pPr>
      <w:r w:rsidRPr="0015183E">
        <w:rPr>
          <w:rFonts w:ascii="Times New Roman" w:eastAsiaTheme="minorEastAsia" w:hAnsi="Times New Roman"/>
          <w:noProof/>
          <w:color w:val="000000" w:themeColor="text1"/>
          <w:sz w:val="24"/>
          <w:szCs w:val="24"/>
          <w:lang w:eastAsia="ko-KR"/>
        </w:rPr>
        <w:lastRenderedPageBreak/>
        <w:drawing>
          <wp:inline distT="0" distB="0" distL="0" distR="0" wp14:anchorId="67FE2F8A" wp14:editId="231F0E1B">
            <wp:extent cx="5943600" cy="3775710"/>
            <wp:effectExtent l="0" t="0" r="0" b="0"/>
            <wp:docPr id="4" name="그림 3">
              <a:extLst xmlns:a="http://schemas.openxmlformats.org/drawingml/2006/main">
                <a:ext uri="{FF2B5EF4-FFF2-40B4-BE49-F238E27FC236}">
                  <a16:creationId xmlns:a16="http://schemas.microsoft.com/office/drawing/2014/main" id="{E1959FAE-813F-8054-F479-2ADB00EAE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E1959FAE-813F-8054-F479-2ADB00EAEF18}"/>
                        </a:ext>
                      </a:extLst>
                    </pic:cNvPr>
                    <pic:cNvPicPr>
                      <a:picLocks noChangeAspect="1"/>
                    </pic:cNvPicPr>
                  </pic:nvPicPr>
                  <pic:blipFill>
                    <a:blip r:embed="rId19"/>
                    <a:srcRect l="2076" t="2536" r="2867" b="3617"/>
                    <a:stretch>
                      <a:fillRect/>
                    </a:stretch>
                  </pic:blipFill>
                  <pic:spPr>
                    <a:xfrm>
                      <a:off x="0" y="0"/>
                      <a:ext cx="5943600" cy="3775710"/>
                    </a:xfrm>
                    <a:prstGeom prst="rect">
                      <a:avLst/>
                    </a:prstGeom>
                  </pic:spPr>
                </pic:pic>
              </a:graphicData>
            </a:graphic>
          </wp:inline>
        </w:drawing>
      </w:r>
    </w:p>
    <w:p w14:paraId="36B85AFD" w14:textId="3431CEB9" w:rsidR="009B58A8" w:rsidRPr="0015183E" w:rsidRDefault="009B58A8" w:rsidP="003711F9">
      <w:pPr>
        <w:spacing w:line="360" w:lineRule="auto"/>
        <w:jc w:val="both"/>
        <w:rPr>
          <w:rFonts w:ascii="Times New Roman"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2.</w:t>
      </w:r>
      <w:r w:rsidRPr="0015183E">
        <w:rPr>
          <w:rStyle w:val="selected"/>
          <w:rFonts w:ascii="Times New Roman" w:hAnsi="Times New Roman"/>
          <w:color w:val="000000" w:themeColor="text1"/>
          <w:sz w:val="22"/>
          <w:szCs w:val="22"/>
        </w:rPr>
        <w:t xml:space="preserve"> </w:t>
      </w:r>
      <w:r w:rsidRPr="0015183E">
        <w:rPr>
          <w:rFonts w:ascii="Times New Roman" w:hAnsi="Times New Roman"/>
          <w:color w:val="000000" w:themeColor="text1"/>
          <w:sz w:val="22"/>
          <w:szCs w:val="22"/>
          <w:lang w:eastAsia="ko-KR"/>
        </w:rPr>
        <w:t>Sequential fabrication process of the vertically stacked NTC transistor. I Preparation of the Si/SiO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substrate. II Deposition of the lower-layer CNT network. III Formation of the lower-layer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/Pd source/drain electrodes and CNT channel patterning. IV Deposition of the lower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gate dielectric by atomic layer deposition (ALD). V Formation of the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/Pd common gate. VI Deposition of the upper HfO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/SiO</w:t>
      </w:r>
      <w:r w:rsidRPr="0015183E">
        <w:rPr>
          <w:rFonts w:ascii="Times New Roman" w:hAnsi="Times New Roman"/>
          <w:color w:val="000000" w:themeColor="text1"/>
          <w:sz w:val="22"/>
          <w:szCs w:val="22"/>
          <w:vertAlign w:val="subscript"/>
          <w:lang w:eastAsia="ko-KR"/>
        </w:rPr>
        <w:t>2</w:t>
      </w:r>
      <w:r w:rsidRPr="0015183E">
        <w:rPr>
          <w:rFonts w:ascii="Times New Roman" w:hAnsi="Times New Roman"/>
          <w:color w:val="000000" w:themeColor="text1"/>
          <w:sz w:val="22"/>
          <w:szCs w:val="22"/>
          <w:lang w:eastAsia="ko-KR"/>
        </w:rPr>
        <w:t xml:space="preserve"> dielectric stack and opening of the interlayer via. VII Deposition of the upper-layer CNT network. VIII Formation of the upper-layer </w:t>
      </w:r>
      <w:proofErr w:type="spellStart"/>
      <w:r w:rsidRPr="0015183E">
        <w:rPr>
          <w:rFonts w:ascii="Times New Roman" w:hAnsi="Times New Roman"/>
          <w:color w:val="000000" w:themeColor="text1"/>
          <w:sz w:val="22"/>
          <w:szCs w:val="22"/>
          <w:lang w:eastAsia="ko-KR"/>
        </w:rPr>
        <w:t>Ti</w:t>
      </w:r>
      <w:proofErr w:type="spellEnd"/>
      <w:r w:rsidRPr="0015183E">
        <w:rPr>
          <w:rFonts w:ascii="Times New Roman" w:hAnsi="Times New Roman"/>
          <w:color w:val="000000" w:themeColor="text1"/>
          <w:sz w:val="22"/>
          <w:szCs w:val="22"/>
          <w:lang w:eastAsia="ko-KR"/>
        </w:rPr>
        <w:t>/Pd source/drain electrodes and CNT channel patterning. The blue arrows indicate the fabrication sequence. The top-view images show the back-gate configuration after step III, the lower-layer top-gate configuration after step V, and the common-gate and upper-layer bottom-gate configurations after step VIII.</w:t>
      </w:r>
    </w:p>
    <w:p w14:paraId="2BC37D38" w14:textId="77777777" w:rsidR="00E81BD2" w:rsidRPr="0015183E" w:rsidRDefault="009B58A8" w:rsidP="00986E60">
      <w:pPr>
        <w:spacing w:after="200" w:line="480" w:lineRule="auto"/>
        <w:jc w:val="both"/>
        <w:rPr>
          <w:rFonts w:ascii="Times New Roman" w:hAnsi="Times New Roman"/>
          <w:b/>
          <w:bCs/>
          <w:color w:val="000000" w:themeColor="text1"/>
          <w:sz w:val="22"/>
          <w:szCs w:val="22"/>
        </w:rPr>
      </w:pPr>
      <w:r w:rsidRPr="0015183E">
        <w:rPr>
          <w:rFonts w:ascii="Times New Roman" w:hAnsi="Times New Roman"/>
          <w:color w:val="000000" w:themeColor="text1"/>
          <w:sz w:val="24"/>
          <w:szCs w:val="24"/>
        </w:rPr>
        <w:br w:type="page"/>
      </w:r>
      <w:r w:rsidR="00E81BD2" w:rsidRPr="0015183E">
        <w:rPr>
          <w:rFonts w:ascii="Times New Roman" w:hAnsi="Times New Roman"/>
          <w:b/>
          <w:bCs/>
          <w:color w:val="000000" w:themeColor="text1"/>
          <w:sz w:val="22"/>
          <w:szCs w:val="22"/>
        </w:rPr>
        <w:lastRenderedPageBreak/>
        <w:t>Top-view structural characterization of the vertically stacked NTC transistor</w:t>
      </w:r>
    </w:p>
    <w:p w14:paraId="05A798BA" w14:textId="77777777" w:rsidR="00E81BD2" w:rsidRPr="0015183E" w:rsidRDefault="00E81BD2" w:rsidP="007411B7">
      <w:pPr>
        <w:spacing w:after="200" w:line="480" w:lineRule="auto"/>
        <w:ind w:firstLineChars="100" w:firstLine="216"/>
        <w:jc w:val="both"/>
        <w:rPr>
          <w:rFonts w:ascii="Times New Roman" w:hAnsi="Times New Roman"/>
          <w:color w:val="000000" w:themeColor="text1"/>
          <w:sz w:val="22"/>
          <w:szCs w:val="22"/>
          <w:lang w:eastAsia="ko-KR"/>
        </w:rPr>
      </w:pPr>
      <w:r w:rsidRPr="0015183E">
        <w:rPr>
          <w:rFonts w:ascii="Times New Roman" w:hAnsi="Times New Roman"/>
          <w:b/>
          <w:bCs/>
          <w:color w:val="000000" w:themeColor="text1"/>
          <w:sz w:val="22"/>
          <w:szCs w:val="22"/>
        </w:rPr>
        <w:t>Supplementary Fig. 3</w:t>
      </w:r>
      <w:r w:rsidRPr="0015183E">
        <w:rPr>
          <w:rFonts w:ascii="Times New Roman" w:hAnsi="Times New Roman"/>
          <w:color w:val="000000" w:themeColor="text1"/>
          <w:sz w:val="22"/>
          <w:szCs w:val="22"/>
        </w:rPr>
        <w:t xml:space="preserve"> provides top-view SEM images extending from the device array to the active channel region of an individual vertically stacked NTC transistor. The images were obtained using an SU8700 field-emission scanning electron microscope (Hitachi), as described in Methods. The leftmost image shows the patterned device array, and the selected device is enlarged in the second image to identify the lateral registration of the common gate, drain, source and interlayer via.</w:t>
      </w:r>
    </w:p>
    <w:p w14:paraId="099AC0B6"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In the device architecture described in </w:t>
      </w:r>
      <w:r w:rsidRPr="0015183E">
        <w:rPr>
          <w:rFonts w:ascii="Times New Roman" w:hAnsi="Times New Roman"/>
          <w:b/>
          <w:bCs/>
          <w:color w:val="000000" w:themeColor="text1"/>
          <w:sz w:val="22"/>
          <w:szCs w:val="22"/>
        </w:rPr>
        <w:t>Fig. 1a</w:t>
      </w:r>
      <w:r w:rsidRPr="0015183E">
        <w:rPr>
          <w:rFonts w:ascii="Times New Roman" w:hAnsi="Times New Roman"/>
          <w:color w:val="000000" w:themeColor="text1"/>
          <w:sz w:val="22"/>
          <w:szCs w:val="22"/>
        </w:rPr>
        <w:t>, the external source contacts the lower channel, whereas the external drain contacts the upper channel. The remaining terminals of the two channels are connected through the interlayer via to form the series-connected stack. The labelled via therefore corresponds to the internal interlayer connection rather than an additional external terminal of the complete device.</w:t>
      </w:r>
    </w:p>
    <w:p w14:paraId="4DCFD89D" w14:textId="00F54732" w:rsidR="009B58A8" w:rsidRPr="0015183E" w:rsidRDefault="00E81BD2" w:rsidP="00D67BDB">
      <w:pPr>
        <w:spacing w:after="200" w:line="480" w:lineRule="auto"/>
        <w:ind w:firstLineChars="100" w:firstLine="220"/>
        <w:jc w:val="both"/>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 xml:space="preserve">The third and fourth images progressively enlarge the central device region, with the dashed yellow box in the rightmost image identifying the active channel region. These images connect the terminal arrangement shown in </w:t>
      </w:r>
      <w:r w:rsidRPr="0015183E">
        <w:rPr>
          <w:rFonts w:ascii="Times New Roman" w:hAnsi="Times New Roman"/>
          <w:b/>
          <w:bCs/>
          <w:color w:val="000000" w:themeColor="text1"/>
          <w:sz w:val="22"/>
          <w:szCs w:val="22"/>
        </w:rPr>
        <w:t>Fig. 1</w:t>
      </w:r>
      <w:r w:rsidRPr="0015183E">
        <w:rPr>
          <w:rFonts w:ascii="Times New Roman" w:hAnsi="Times New Roman"/>
          <w:b/>
          <w:bCs/>
          <w:color w:val="000000" w:themeColor="text1"/>
          <w:sz w:val="22"/>
          <w:szCs w:val="22"/>
          <w:lang w:eastAsia="ko-KR"/>
        </w:rPr>
        <w:t>a</w:t>
      </w:r>
      <w:r w:rsidRPr="0015183E">
        <w:rPr>
          <w:rFonts w:ascii="Times New Roman" w:hAnsi="Times New Roman"/>
          <w:color w:val="000000" w:themeColor="text1"/>
          <w:sz w:val="22"/>
          <w:szCs w:val="22"/>
        </w:rPr>
        <w:t xml:space="preserve"> to the local channel geometry. Together with the cross-sectional TEM and EDS characterization in </w:t>
      </w:r>
      <w:r w:rsidRPr="0015183E">
        <w:rPr>
          <w:rFonts w:ascii="Times New Roman" w:hAnsi="Times New Roman"/>
          <w:b/>
          <w:bCs/>
          <w:color w:val="000000" w:themeColor="text1"/>
          <w:sz w:val="22"/>
          <w:szCs w:val="22"/>
        </w:rPr>
        <w:t>Supplementary Fig. 1</w:t>
      </w:r>
      <w:r w:rsidRPr="0015183E">
        <w:rPr>
          <w:rFonts w:ascii="Times New Roman" w:hAnsi="Times New Roman"/>
          <w:color w:val="000000" w:themeColor="text1"/>
          <w:sz w:val="22"/>
          <w:szCs w:val="22"/>
        </w:rPr>
        <w:t>, they provide complementary views of the lateral device layout and vertical layer configuration.</w:t>
      </w:r>
    </w:p>
    <w:p w14:paraId="39B5E7B6" w14:textId="77777777" w:rsidR="009B58A8" w:rsidRPr="0015183E" w:rsidRDefault="009B58A8" w:rsidP="003711F9">
      <w:pPr>
        <w:spacing w:line="360" w:lineRule="auto"/>
        <w:jc w:val="both"/>
        <w:rPr>
          <w:rFonts w:ascii="Times New Roman" w:hAnsi="Times New Roman"/>
          <w:color w:val="000000" w:themeColor="text1"/>
          <w:sz w:val="22"/>
          <w:szCs w:val="22"/>
        </w:rPr>
      </w:pPr>
      <w:r w:rsidRPr="0015183E">
        <w:rPr>
          <w:rFonts w:ascii="Times New Roman" w:eastAsia="MS Mincho" w:hAnsi="Times New Roman"/>
          <w:b/>
          <w:bCs/>
          <w:noProof/>
          <w:color w:val="000000" w:themeColor="text1"/>
          <w:sz w:val="22"/>
          <w:szCs w:val="22"/>
          <w:lang w:eastAsia="ja-JP"/>
        </w:rPr>
        <w:drawing>
          <wp:inline distT="0" distB="0" distL="0" distR="0" wp14:anchorId="3DA88321" wp14:editId="04BB5FE9">
            <wp:extent cx="5943600" cy="1233170"/>
            <wp:effectExtent l="0" t="0" r="0" b="5080"/>
            <wp:docPr id="1485259761" name="그림 4">
              <a:extLst xmlns:a="http://schemas.openxmlformats.org/drawingml/2006/main">
                <a:ext uri="{FF2B5EF4-FFF2-40B4-BE49-F238E27FC236}">
                  <a16:creationId xmlns:a16="http://schemas.microsoft.com/office/drawing/2014/main" id="{B961E65D-0B34-E33C-3307-99450B4DE6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B961E65D-0B34-E33C-3307-99450B4DE6A3}"/>
                        </a:ext>
                      </a:extLst>
                    </pic:cNvPr>
                    <pic:cNvPicPr>
                      <a:picLocks noChangeAspect="1"/>
                    </pic:cNvPicPr>
                  </pic:nvPicPr>
                  <pic:blipFill>
                    <a:blip r:embed="rId20"/>
                    <a:stretch>
                      <a:fillRect/>
                    </a:stretch>
                  </pic:blipFill>
                  <pic:spPr>
                    <a:xfrm>
                      <a:off x="0" y="0"/>
                      <a:ext cx="5943600" cy="1233170"/>
                    </a:xfrm>
                    <a:prstGeom prst="rect">
                      <a:avLst/>
                    </a:prstGeom>
                  </pic:spPr>
                </pic:pic>
              </a:graphicData>
            </a:graphic>
          </wp:inline>
        </w:drawing>
      </w:r>
      <w:r w:rsidRPr="0015183E">
        <w:rPr>
          <w:rFonts w:ascii="Times New Roman" w:eastAsia="MS Mincho" w:hAnsi="Times New Roman"/>
          <w:b/>
          <w:bCs/>
          <w:color w:val="000000" w:themeColor="text1"/>
          <w:sz w:val="22"/>
          <w:szCs w:val="22"/>
          <w:lang w:eastAsia="ja-JP"/>
        </w:rPr>
        <w:t xml:space="preserve"> Supplementary</w:t>
      </w:r>
      <w:r w:rsidRPr="0015183E">
        <w:rPr>
          <w:rStyle w:val="selected"/>
          <w:rFonts w:ascii="Times New Roman" w:hAnsi="Times New Roman"/>
          <w:b/>
          <w:color w:val="000000" w:themeColor="text1"/>
          <w:sz w:val="22"/>
          <w:szCs w:val="22"/>
        </w:rPr>
        <w:t xml:space="preserve"> Figure 3.</w:t>
      </w:r>
      <w:r w:rsidRPr="0015183E">
        <w:rPr>
          <w:rStyle w:val="selected"/>
          <w:rFonts w:ascii="Times New Roman" w:hAnsi="Times New Roman"/>
          <w:color w:val="000000" w:themeColor="text1"/>
          <w:sz w:val="22"/>
          <w:szCs w:val="22"/>
        </w:rPr>
        <w:t xml:space="preserve"> </w:t>
      </w:r>
      <w:r w:rsidRPr="0015183E">
        <w:rPr>
          <w:rFonts w:ascii="Times New Roman" w:hAnsi="Times New Roman"/>
          <w:color w:val="000000" w:themeColor="text1"/>
          <w:sz w:val="22"/>
          <w:szCs w:val="22"/>
          <w:lang w:eastAsia="ko-KR"/>
        </w:rPr>
        <w:t xml:space="preserve">Top-view structural characterization of the vertically stacked NTC transistor at different magnifications. From left to right, the scanning electron microscopy (SEM) images show the device array, an individual device with the common gate, drain, source and interlayer via labelled, and two successive enlargements of the central device region. The solid yellow boxes and connecting lines indicate the regions enlarged in the subsequent images. The dashed yellow box in the rightmost image marks the active channel region. Scale bars are 1 mm, 200 </w:t>
      </w:r>
      <w:proofErr w:type="spellStart"/>
      <w:r w:rsidRPr="0015183E">
        <w:rPr>
          <w:rFonts w:ascii="Times New Roman" w:hAnsi="Times New Roman"/>
          <w:color w:val="000000" w:themeColor="text1"/>
          <w:sz w:val="22"/>
          <w:szCs w:val="22"/>
          <w:lang w:eastAsia="ko-KR"/>
        </w:rPr>
        <w:t>μm</w:t>
      </w:r>
      <w:proofErr w:type="spellEnd"/>
      <w:r w:rsidRPr="0015183E">
        <w:rPr>
          <w:rFonts w:ascii="Times New Roman" w:hAnsi="Times New Roman"/>
          <w:color w:val="000000" w:themeColor="text1"/>
          <w:sz w:val="22"/>
          <w:szCs w:val="22"/>
          <w:lang w:eastAsia="ko-KR"/>
        </w:rPr>
        <w:t xml:space="preserve">, 50 </w:t>
      </w:r>
      <w:proofErr w:type="spellStart"/>
      <w:r w:rsidRPr="0015183E">
        <w:rPr>
          <w:rFonts w:ascii="Times New Roman" w:hAnsi="Times New Roman"/>
          <w:color w:val="000000" w:themeColor="text1"/>
          <w:sz w:val="22"/>
          <w:szCs w:val="22"/>
          <w:lang w:eastAsia="ko-KR"/>
        </w:rPr>
        <w:t>μm</w:t>
      </w:r>
      <w:proofErr w:type="spellEnd"/>
      <w:r w:rsidRPr="0015183E">
        <w:rPr>
          <w:rFonts w:ascii="Times New Roman" w:hAnsi="Times New Roman"/>
          <w:color w:val="000000" w:themeColor="text1"/>
          <w:sz w:val="22"/>
          <w:szCs w:val="22"/>
          <w:lang w:eastAsia="ko-KR"/>
        </w:rPr>
        <w:t xml:space="preserve"> and 10 </w:t>
      </w:r>
      <w:proofErr w:type="spellStart"/>
      <w:r w:rsidRPr="0015183E">
        <w:rPr>
          <w:rFonts w:ascii="Times New Roman" w:hAnsi="Times New Roman"/>
          <w:color w:val="000000" w:themeColor="text1"/>
          <w:sz w:val="22"/>
          <w:szCs w:val="22"/>
          <w:lang w:eastAsia="ko-KR"/>
        </w:rPr>
        <w:t>μm</w:t>
      </w:r>
      <w:proofErr w:type="spellEnd"/>
      <w:r w:rsidRPr="0015183E">
        <w:rPr>
          <w:rFonts w:ascii="Times New Roman" w:hAnsi="Times New Roman"/>
          <w:color w:val="000000" w:themeColor="text1"/>
          <w:sz w:val="22"/>
          <w:szCs w:val="22"/>
          <w:lang w:eastAsia="ko-KR"/>
        </w:rPr>
        <w:t xml:space="preserve"> from left to right.</w:t>
      </w:r>
    </w:p>
    <w:p w14:paraId="2C6D7EF6" w14:textId="7FAC751C" w:rsidR="006E0D6A" w:rsidRPr="0015183E" w:rsidRDefault="009B58A8" w:rsidP="00986E60">
      <w:pPr>
        <w:spacing w:after="200" w:line="480" w:lineRule="auto"/>
        <w:rPr>
          <w:rFonts w:ascii="Times New Roman" w:hAnsi="Times New Roman"/>
          <w:b/>
          <w:bCs/>
          <w:color w:val="000000" w:themeColor="text1"/>
          <w:sz w:val="22"/>
          <w:szCs w:val="22"/>
          <w:lang w:eastAsia="ko-KR"/>
        </w:rPr>
      </w:pPr>
      <w:r w:rsidRPr="0015183E">
        <w:rPr>
          <w:rFonts w:ascii="Times New Roman" w:hAnsi="Times New Roman"/>
          <w:color w:val="000000" w:themeColor="text1"/>
          <w:sz w:val="24"/>
          <w:szCs w:val="24"/>
        </w:rPr>
        <w:br w:type="page"/>
      </w:r>
      <w:r w:rsidR="006E0D6A" w:rsidRPr="0015183E">
        <w:rPr>
          <w:rFonts w:ascii="Times New Roman" w:hAnsi="Times New Roman"/>
          <w:b/>
          <w:bCs/>
          <w:color w:val="000000" w:themeColor="text1"/>
          <w:sz w:val="22"/>
          <w:szCs w:val="22"/>
        </w:rPr>
        <w:lastRenderedPageBreak/>
        <w:t xml:space="preserve">Morphological and Raman characterization of the CNT networks </w:t>
      </w:r>
    </w:p>
    <w:p w14:paraId="49CEA76C" w14:textId="17F9AD1C" w:rsidR="006E0D6A" w:rsidRPr="0015183E" w:rsidRDefault="00E81BD2" w:rsidP="007411B7">
      <w:pPr>
        <w:spacing w:after="200" w:line="480" w:lineRule="auto"/>
        <w:ind w:firstLineChars="100" w:firstLine="216"/>
        <w:jc w:val="both"/>
        <w:rPr>
          <w:rFonts w:ascii="Times New Roman" w:hAnsi="Times New Roman"/>
          <w:color w:val="000000" w:themeColor="text1"/>
          <w:sz w:val="22"/>
          <w:szCs w:val="22"/>
          <w:lang w:eastAsia="ko-KR"/>
        </w:rPr>
      </w:pPr>
      <w:r w:rsidRPr="0015183E">
        <w:rPr>
          <w:rFonts w:ascii="Times New Roman" w:hAnsi="Times New Roman"/>
          <w:b/>
          <w:bCs/>
          <w:color w:val="000000" w:themeColor="text1"/>
          <w:sz w:val="22"/>
          <w:szCs w:val="22"/>
        </w:rPr>
        <w:t>Supplementary Fig. 4</w:t>
      </w:r>
      <w:r w:rsidRPr="0015183E">
        <w:rPr>
          <w:rFonts w:ascii="Times New Roman" w:hAnsi="Times New Roman"/>
          <w:color w:val="000000" w:themeColor="text1"/>
          <w:sz w:val="22"/>
          <w:szCs w:val="22"/>
        </w:rPr>
        <w:t xml:space="preserve"> combines layer-resolved morphological characterization with Raman spectroscopy to examine the CNT networks and the structural properties of the CNT material used in the vertically stacked NTC transistor. The SEM images in </w:t>
      </w:r>
      <w:r w:rsidRPr="0015183E">
        <w:rPr>
          <w:rFonts w:ascii="Times New Roman" w:hAnsi="Times New Roman"/>
          <w:b/>
          <w:bCs/>
          <w:color w:val="000000" w:themeColor="text1"/>
          <w:sz w:val="22"/>
          <w:szCs w:val="22"/>
        </w:rPr>
        <w:t>Supplementary Fig. 4a</w:t>
      </w:r>
      <w:r w:rsidRPr="0015183E">
        <w:rPr>
          <w:rFonts w:ascii="Times New Roman" w:hAnsi="Times New Roman"/>
          <w:color w:val="000000" w:themeColor="text1"/>
          <w:sz w:val="22"/>
          <w:szCs w:val="22"/>
        </w:rPr>
        <w:t xml:space="preserve"> show the upper-layer CNT network at the top and the lower-layer CNT network at the bottom. Both layers contain interconnected nanotube networks with numerous CNT–CNT junctions, providing the morphological basis for percolative transport through each channel.</w:t>
      </w:r>
    </w:p>
    <w:p w14:paraId="092A1136" w14:textId="77777777" w:rsidR="00E81BD2" w:rsidRPr="0015183E" w:rsidRDefault="00E81BD2" w:rsidP="007411B7">
      <w:pPr>
        <w:spacing w:after="200" w:line="480" w:lineRule="auto"/>
        <w:ind w:firstLineChars="100" w:firstLine="220"/>
        <w:jc w:val="both"/>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Raman spectroscopy was performed after deposition of the CNT network used to form the lower channel. The spectra were acquired using a DXR3xi Raman imaging microscope (Thermo Fisher Scientific), as described in Methods. </w:t>
      </w:r>
      <w:r w:rsidRPr="0015183E">
        <w:rPr>
          <w:rFonts w:ascii="Times New Roman" w:hAnsi="Times New Roman"/>
          <w:b/>
          <w:bCs/>
          <w:color w:val="000000" w:themeColor="text1"/>
          <w:sz w:val="22"/>
          <w:szCs w:val="22"/>
        </w:rPr>
        <w:t>Supplementary Fig. 4b</w:t>
      </w:r>
      <w:r w:rsidRPr="0015183E">
        <w:rPr>
          <w:rFonts w:ascii="Times New Roman" w:hAnsi="Times New Roman"/>
          <w:color w:val="000000" w:themeColor="text1"/>
          <w:sz w:val="22"/>
          <w:szCs w:val="22"/>
        </w:rPr>
        <w:t xml:space="preserve"> shows a weak D band near 1350 cm</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 and a dominant G band with distinguishable higher-frequency 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 xml:space="preserve"> and lower-frequency 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 xml:space="preserve"> components. The G-band components are associated with tangential vibrations of the carbon framework [1], whereas the D band is associated with disorder-activated Raman scattering [2]. The G/D intensity ratio was calculated from the maximum Raman intensities of the G and D bands rather than their integrated areas [2]. Because the G-band maximum corresponds to the G+ component, the ratio was evaluated as G/D = I(G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)/I(D) ≈ 230, where I(G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 and I(D) denote the maximum Raman intensities at the 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 xml:space="preserve"> and D peaks, respectively. The weak D-band contribution relative to the G</w:t>
      </w:r>
      <w:r w:rsidRPr="0015183E">
        <w:rPr>
          <w:rFonts w:ascii="Times New Roman" w:hAnsi="Times New Roman"/>
          <w:color w:val="000000" w:themeColor="text1"/>
          <w:sz w:val="22"/>
          <w:szCs w:val="22"/>
          <w:vertAlign w:val="superscript"/>
        </w:rPr>
        <w:t>+</w:t>
      </w:r>
      <w:r w:rsidRPr="0015183E">
        <w:rPr>
          <w:rFonts w:ascii="Times New Roman" w:hAnsi="Times New Roman"/>
          <w:color w:val="000000" w:themeColor="text1"/>
          <w:sz w:val="22"/>
          <w:szCs w:val="22"/>
        </w:rPr>
        <w:t xml:space="preserve"> peak is consistent with a low defect level in the Raman-probed CNT material [2].</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b/>
          <w:bCs/>
          <w:color w:val="000000" w:themeColor="text1"/>
          <w:sz w:val="22"/>
          <w:szCs w:val="22"/>
        </w:rPr>
        <w:t>Supplementary Fig. 4c</w:t>
      </w:r>
      <w:r w:rsidRPr="0015183E">
        <w:rPr>
          <w:rFonts w:ascii="Times New Roman" w:hAnsi="Times New Roman"/>
          <w:color w:val="000000" w:themeColor="text1"/>
          <w:sz w:val="22"/>
          <w:szCs w:val="22"/>
        </w:rPr>
        <w:t xml:space="preserve"> presents the RBM region of the Raman spectrum. The measured spectrum exhibits a dominant RBM peak at approximately 175 cm</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The representative CNT diameter was estimated using the inverse relationship between the RBM peak position and nanotube diameter reported for isolated single-wall CNTs [3],</w:t>
      </w:r>
      <w:r w:rsidRPr="0015183E">
        <w:rPr>
          <w:rFonts w:ascii="Times New Roman" w:hAnsi="Times New Roman" w:hint="eastAsia"/>
          <w:color w:val="000000" w:themeColor="text1"/>
          <w:sz w:val="22"/>
          <w:szCs w:val="22"/>
          <w:lang w:eastAsia="ko-KR"/>
        </w:rPr>
        <w:t xml:space="preserve"> </w:t>
      </w:r>
      <w:proofErr w:type="spellStart"/>
      <w:r w:rsidRPr="0015183E">
        <w:rPr>
          <w:rFonts w:ascii="Times New Roman" w:hAnsi="Times New Roman"/>
          <w:color w:val="000000" w:themeColor="text1"/>
          <w:sz w:val="22"/>
          <w:szCs w:val="22"/>
        </w:rPr>
        <w:t>ω</w:t>
      </w:r>
      <w:r w:rsidRPr="0015183E">
        <w:rPr>
          <w:rFonts w:ascii="Times New Roman" w:hAnsi="Times New Roman"/>
          <w:color w:val="000000" w:themeColor="text1"/>
          <w:sz w:val="22"/>
          <w:szCs w:val="22"/>
          <w:vertAlign w:val="subscript"/>
        </w:rPr>
        <w:t>RBM</w:t>
      </w:r>
      <w:proofErr w:type="spellEnd"/>
      <w:r w:rsidRPr="0015183E">
        <w:rPr>
          <w:rFonts w:ascii="Times New Roman" w:hAnsi="Times New Roman"/>
          <w:color w:val="000000" w:themeColor="text1"/>
          <w:sz w:val="22"/>
          <w:szCs w:val="22"/>
        </w:rPr>
        <w:t xml:space="preserve"> = A/</w:t>
      </w:r>
      <w:proofErr w:type="spellStart"/>
      <w:r w:rsidRPr="0015183E">
        <w:rPr>
          <w:rFonts w:ascii="Times New Roman" w:hAnsi="Times New Roman"/>
          <w:color w:val="000000" w:themeColor="text1"/>
          <w:sz w:val="22"/>
          <w:szCs w:val="22"/>
        </w:rPr>
        <w:t>d</w:t>
      </w:r>
      <w:r w:rsidRPr="0015183E">
        <w:rPr>
          <w:rFonts w:ascii="Times New Roman" w:hAnsi="Times New Roman"/>
          <w:color w:val="000000" w:themeColor="text1"/>
          <w:sz w:val="22"/>
          <w:szCs w:val="22"/>
          <w:vertAlign w:val="subscript"/>
        </w:rPr>
        <w:t>CNT</w:t>
      </w:r>
      <w:proofErr w:type="spellEnd"/>
      <w:r w:rsidRPr="0015183E">
        <w:rPr>
          <w:rFonts w:ascii="Times New Roman" w:hAnsi="Times New Roman"/>
          <w:color w:val="000000" w:themeColor="text1"/>
          <w:sz w:val="22"/>
          <w:szCs w:val="22"/>
        </w:rPr>
        <w:t>,</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 xml:space="preserve">where </w:t>
      </w:r>
      <w:proofErr w:type="spellStart"/>
      <w:r w:rsidRPr="0015183E">
        <w:rPr>
          <w:rFonts w:ascii="Times New Roman" w:hAnsi="Times New Roman"/>
          <w:color w:val="000000" w:themeColor="text1"/>
          <w:sz w:val="22"/>
          <w:szCs w:val="22"/>
        </w:rPr>
        <w:t>ω</w:t>
      </w:r>
      <w:r w:rsidRPr="0015183E">
        <w:rPr>
          <w:rFonts w:ascii="Times New Roman" w:hAnsi="Times New Roman"/>
          <w:color w:val="000000" w:themeColor="text1"/>
          <w:sz w:val="22"/>
          <w:szCs w:val="22"/>
          <w:vertAlign w:val="subscript"/>
        </w:rPr>
        <w:t>RBM</w:t>
      </w:r>
      <w:proofErr w:type="spellEnd"/>
      <w:r w:rsidRPr="0015183E">
        <w:rPr>
          <w:rFonts w:ascii="Times New Roman" w:hAnsi="Times New Roman"/>
          <w:color w:val="000000" w:themeColor="text1"/>
          <w:sz w:val="22"/>
          <w:szCs w:val="22"/>
        </w:rPr>
        <w:t xml:space="preserve"> is the RBM Raman shift, </w:t>
      </w:r>
      <w:proofErr w:type="spellStart"/>
      <w:r w:rsidRPr="0015183E">
        <w:rPr>
          <w:rFonts w:ascii="Times New Roman" w:hAnsi="Times New Roman"/>
          <w:color w:val="000000" w:themeColor="text1"/>
          <w:sz w:val="22"/>
          <w:szCs w:val="22"/>
        </w:rPr>
        <w:t>d</w:t>
      </w:r>
      <w:r w:rsidRPr="0015183E">
        <w:rPr>
          <w:rFonts w:ascii="Times New Roman" w:hAnsi="Times New Roman"/>
          <w:color w:val="000000" w:themeColor="text1"/>
          <w:sz w:val="22"/>
          <w:szCs w:val="22"/>
          <w:vertAlign w:val="subscript"/>
        </w:rPr>
        <w:t>CNT</w:t>
      </w:r>
      <w:proofErr w:type="spellEnd"/>
      <w:r w:rsidRPr="0015183E">
        <w:rPr>
          <w:rFonts w:ascii="Times New Roman" w:hAnsi="Times New Roman"/>
          <w:color w:val="000000" w:themeColor="text1"/>
          <w:sz w:val="22"/>
          <w:szCs w:val="22"/>
        </w:rPr>
        <w:t xml:space="preserve"> is the CNT diameter and A = 248 cm</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 nm. Applying this relationship to the measured peak position gives</w:t>
      </w:r>
      <w:r w:rsidRPr="0015183E">
        <w:rPr>
          <w:rFonts w:ascii="Times New Roman" w:hAnsi="Times New Roman" w:hint="eastAsia"/>
          <w:color w:val="000000" w:themeColor="text1"/>
          <w:sz w:val="22"/>
          <w:szCs w:val="22"/>
          <w:lang w:eastAsia="ko-KR"/>
        </w:rPr>
        <w:t xml:space="preserve"> </w:t>
      </w:r>
      <w:proofErr w:type="spellStart"/>
      <w:r w:rsidRPr="0015183E">
        <w:rPr>
          <w:rFonts w:ascii="Times New Roman" w:hAnsi="Times New Roman"/>
          <w:color w:val="000000" w:themeColor="text1"/>
          <w:sz w:val="22"/>
          <w:szCs w:val="22"/>
        </w:rPr>
        <w:t>d</w:t>
      </w:r>
      <w:r w:rsidRPr="0015183E">
        <w:rPr>
          <w:rFonts w:ascii="Times New Roman" w:hAnsi="Times New Roman"/>
          <w:color w:val="000000" w:themeColor="text1"/>
          <w:sz w:val="22"/>
          <w:szCs w:val="22"/>
          <w:vertAlign w:val="subscript"/>
        </w:rPr>
        <w:t>CNT</w:t>
      </w:r>
      <w:proofErr w:type="spellEnd"/>
      <w:r w:rsidRPr="0015183E">
        <w:rPr>
          <w:rFonts w:ascii="Times New Roman" w:hAnsi="Times New Roman"/>
          <w:color w:val="000000" w:themeColor="text1"/>
          <w:sz w:val="22"/>
          <w:szCs w:val="22"/>
        </w:rPr>
        <w:t xml:space="preserve"> = A/</w:t>
      </w:r>
      <w:proofErr w:type="spellStart"/>
      <w:r w:rsidRPr="0015183E">
        <w:rPr>
          <w:rFonts w:ascii="Times New Roman" w:hAnsi="Times New Roman"/>
          <w:color w:val="000000" w:themeColor="text1"/>
          <w:sz w:val="22"/>
          <w:szCs w:val="22"/>
        </w:rPr>
        <w:t>ω</w:t>
      </w:r>
      <w:r w:rsidRPr="0015183E">
        <w:rPr>
          <w:rFonts w:ascii="Times New Roman" w:hAnsi="Times New Roman"/>
          <w:color w:val="000000" w:themeColor="text1"/>
          <w:sz w:val="22"/>
          <w:szCs w:val="22"/>
          <w:vertAlign w:val="subscript"/>
        </w:rPr>
        <w:t>RBM</w:t>
      </w:r>
      <w:proofErr w:type="spellEnd"/>
      <w:r w:rsidRPr="0015183E">
        <w:rPr>
          <w:rFonts w:ascii="Times New Roman" w:hAnsi="Times New Roman"/>
          <w:color w:val="000000" w:themeColor="text1"/>
          <w:sz w:val="22"/>
          <w:szCs w:val="22"/>
        </w:rPr>
        <w:t xml:space="preserve"> = (248 cm</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 nm)</w:t>
      </w:r>
      <w:proofErr w:type="gramStart"/>
      <w:r w:rsidRPr="0015183E">
        <w:rPr>
          <w:rFonts w:ascii="Times New Roman" w:hAnsi="Times New Roman"/>
          <w:color w:val="000000" w:themeColor="text1"/>
          <w:sz w:val="22"/>
          <w:szCs w:val="22"/>
        </w:rPr>
        <w:t>/(</w:t>
      </w:r>
      <w:proofErr w:type="gramEnd"/>
      <w:r w:rsidRPr="0015183E">
        <w:rPr>
          <w:rFonts w:ascii="Times New Roman" w:hAnsi="Times New Roman"/>
          <w:color w:val="000000" w:themeColor="text1"/>
          <w:sz w:val="22"/>
          <w:szCs w:val="22"/>
        </w:rPr>
        <w:t>175 cm</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 1.417 nm.</w:t>
      </w:r>
    </w:p>
    <w:p w14:paraId="2DE30CC6" w14:textId="77777777" w:rsidR="00E81BD2" w:rsidRPr="0015183E" w:rsidRDefault="00E81BD2" w:rsidP="007411B7">
      <w:pPr>
        <w:spacing w:after="200" w:line="480" w:lineRule="auto"/>
        <w:ind w:firstLineChars="100" w:firstLine="220"/>
        <w:rPr>
          <w:rFonts w:ascii="Times New Roman" w:hAnsi="Times New Roman"/>
          <w:color w:val="000000" w:themeColor="text1"/>
          <w:sz w:val="24"/>
          <w:szCs w:val="24"/>
          <w:lang w:eastAsia="ko-KR"/>
        </w:rPr>
      </w:pPr>
      <w:r w:rsidRPr="0015183E">
        <w:rPr>
          <w:rFonts w:ascii="Times New Roman" w:hAnsi="Times New Roman"/>
          <w:color w:val="000000" w:themeColor="text1"/>
          <w:sz w:val="22"/>
          <w:szCs w:val="22"/>
        </w:rPr>
        <w:lastRenderedPageBreak/>
        <w:t>The representative CNT diameter was therefore estimated to be approximately 1.4 nm. Because this relationship was derived for isolated CNTs, it is used here as an approximate calibration for the deposited CNT network.</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The bandgap of a semiconducting CNT with this estimated diameter was calculated using the diameter-dependent relationship employed by Tseng et al. [4],</w:t>
      </w:r>
      <w:r w:rsidRPr="0015183E">
        <w:rPr>
          <w:rFonts w:ascii="Times New Roman" w:hAnsi="Times New Roman" w:hint="eastAsia"/>
          <w:color w:val="000000" w:themeColor="text1"/>
          <w:sz w:val="22"/>
          <w:szCs w:val="22"/>
          <w:lang w:eastAsia="ko-KR"/>
        </w:rPr>
        <w:t xml:space="preserve"> </w:t>
      </w:r>
      <w:proofErr w:type="spellStart"/>
      <w:r w:rsidRPr="0015183E">
        <w:rPr>
          <w:rFonts w:ascii="Times New Roman" w:hAnsi="Times New Roman"/>
          <w:color w:val="000000" w:themeColor="text1"/>
          <w:sz w:val="22"/>
          <w:szCs w:val="22"/>
        </w:rPr>
        <w:t>E</w:t>
      </w:r>
      <w:r w:rsidRPr="0015183E">
        <w:rPr>
          <w:rFonts w:ascii="Times New Roman" w:hAnsi="Times New Roman"/>
          <w:color w:val="000000" w:themeColor="text1"/>
          <w:sz w:val="22"/>
          <w:szCs w:val="22"/>
          <w:vertAlign w:val="subscript"/>
        </w:rPr>
        <w:t>g</w:t>
      </w:r>
      <w:proofErr w:type="spellEnd"/>
      <w:r w:rsidRPr="0015183E">
        <w:rPr>
          <w:rFonts w:ascii="Times New Roman" w:hAnsi="Times New Roman"/>
          <w:color w:val="000000" w:themeColor="text1"/>
          <w:sz w:val="22"/>
          <w:szCs w:val="22"/>
        </w:rPr>
        <w:t xml:space="preserve"> ≈ B/</w:t>
      </w:r>
      <w:proofErr w:type="spellStart"/>
      <w:r w:rsidRPr="0015183E">
        <w:rPr>
          <w:rFonts w:ascii="Times New Roman" w:hAnsi="Times New Roman"/>
          <w:color w:val="000000" w:themeColor="text1"/>
          <w:sz w:val="22"/>
          <w:szCs w:val="22"/>
        </w:rPr>
        <w:t>d</w:t>
      </w:r>
      <w:r w:rsidRPr="0015183E">
        <w:rPr>
          <w:rFonts w:ascii="Times New Roman" w:hAnsi="Times New Roman"/>
          <w:color w:val="000000" w:themeColor="text1"/>
          <w:sz w:val="22"/>
          <w:szCs w:val="22"/>
          <w:vertAlign w:val="subscript"/>
        </w:rPr>
        <w:t>CNT</w:t>
      </w:r>
      <w:proofErr w:type="spellEnd"/>
      <w:r w:rsidRPr="0015183E">
        <w:rPr>
          <w:rFonts w:ascii="Times New Roman" w:hAnsi="Times New Roman"/>
          <w:color w:val="000000" w:themeColor="text1"/>
          <w:sz w:val="22"/>
          <w:szCs w:val="22"/>
        </w:rPr>
        <w:t>,</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where B = 0.84 eV nm. Substituting the estimated diameter gives</w:t>
      </w:r>
      <w:r w:rsidRPr="0015183E">
        <w:rPr>
          <w:rFonts w:ascii="Times New Roman" w:hAnsi="Times New Roman" w:hint="eastAsia"/>
          <w:color w:val="000000" w:themeColor="text1"/>
          <w:sz w:val="22"/>
          <w:szCs w:val="22"/>
          <w:lang w:eastAsia="ko-KR"/>
        </w:rPr>
        <w:t xml:space="preserve"> </w:t>
      </w:r>
      <w:proofErr w:type="spellStart"/>
      <w:r w:rsidRPr="0015183E">
        <w:rPr>
          <w:rFonts w:ascii="Times New Roman" w:hAnsi="Times New Roman"/>
          <w:color w:val="000000" w:themeColor="text1"/>
          <w:sz w:val="22"/>
          <w:szCs w:val="22"/>
        </w:rPr>
        <w:t>E</w:t>
      </w:r>
      <w:r w:rsidRPr="0015183E">
        <w:rPr>
          <w:rFonts w:ascii="Times New Roman" w:hAnsi="Times New Roman"/>
          <w:color w:val="000000" w:themeColor="text1"/>
          <w:sz w:val="22"/>
          <w:szCs w:val="22"/>
          <w:vertAlign w:val="subscript"/>
        </w:rPr>
        <w:t>g</w:t>
      </w:r>
      <w:proofErr w:type="spellEnd"/>
      <w:r w:rsidRPr="0015183E">
        <w:rPr>
          <w:rFonts w:ascii="Times New Roman" w:hAnsi="Times New Roman"/>
          <w:color w:val="000000" w:themeColor="text1"/>
          <w:sz w:val="22"/>
          <w:szCs w:val="22"/>
        </w:rPr>
        <w:t xml:space="preserve"> ≈ (0.84 eV nm)</w:t>
      </w:r>
      <w:proofErr w:type="gramStart"/>
      <w:r w:rsidRPr="0015183E">
        <w:rPr>
          <w:rFonts w:ascii="Times New Roman" w:hAnsi="Times New Roman"/>
          <w:color w:val="000000" w:themeColor="text1"/>
          <w:sz w:val="22"/>
          <w:szCs w:val="22"/>
        </w:rPr>
        <w:t>/(</w:t>
      </w:r>
      <w:proofErr w:type="gramEnd"/>
      <w:r w:rsidRPr="0015183E">
        <w:rPr>
          <w:rFonts w:ascii="Times New Roman" w:hAnsi="Times New Roman"/>
          <w:color w:val="000000" w:themeColor="text1"/>
          <w:sz w:val="22"/>
          <w:szCs w:val="22"/>
        </w:rPr>
        <w:t>1.417 nm) ≈ 0.593 eV,</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corresponding to an estimated semiconducting CNT bandgap of approximately 0.6 eV.</w:t>
      </w:r>
    </w:p>
    <w:p w14:paraId="7FA53584" w14:textId="5CB8FFC9" w:rsidR="009B58A8" w:rsidRPr="0015183E" w:rsidRDefault="009B58A8" w:rsidP="003711F9">
      <w:pPr>
        <w:rPr>
          <w:rFonts w:ascii="Times New Roman" w:hAnsi="Times New Roman"/>
          <w:color w:val="000000" w:themeColor="text1"/>
          <w:sz w:val="24"/>
          <w:szCs w:val="24"/>
          <w:lang w:eastAsia="ko-KR"/>
        </w:rPr>
      </w:pPr>
    </w:p>
    <w:p w14:paraId="11E7D68F" w14:textId="44BB318A" w:rsidR="009B58A8" w:rsidRPr="0015183E" w:rsidRDefault="002055A8" w:rsidP="003711F9">
      <w:pPr>
        <w:pStyle w:val="Maintext"/>
        <w:jc w:val="center"/>
        <w:rPr>
          <w:rFonts w:eastAsiaTheme="minorEastAsia"/>
          <w:b/>
          <w:bCs/>
          <w:color w:val="000000" w:themeColor="text1"/>
          <w:sz w:val="22"/>
          <w:szCs w:val="22"/>
          <w:lang w:eastAsia="ko-KR"/>
        </w:rPr>
      </w:pPr>
      <w:r w:rsidRPr="0015183E">
        <w:rPr>
          <w:rFonts w:eastAsiaTheme="minorEastAsia"/>
          <w:b/>
          <w:bCs/>
          <w:noProof/>
          <w:color w:val="000000" w:themeColor="text1"/>
          <w:sz w:val="22"/>
          <w:szCs w:val="22"/>
          <w:lang w:eastAsia="ko-KR"/>
        </w:rPr>
        <w:drawing>
          <wp:inline distT="0" distB="0" distL="0" distR="0" wp14:anchorId="5C684CE1" wp14:editId="285A3419">
            <wp:extent cx="5410200" cy="2141213"/>
            <wp:effectExtent l="0" t="0" r="0" b="0"/>
            <wp:docPr id="484582992" name="그림 4">
              <a:extLst xmlns:a="http://schemas.openxmlformats.org/drawingml/2006/main">
                <a:ext uri="{FF2B5EF4-FFF2-40B4-BE49-F238E27FC236}">
                  <a16:creationId xmlns:a16="http://schemas.microsoft.com/office/drawing/2014/main" id="{F9E95E17-50C5-5287-1F6C-1B7AD79E6B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F9E95E17-50C5-5287-1F6C-1B7AD79E6B9C}"/>
                        </a:ext>
                      </a:extLst>
                    </pic:cNvPr>
                    <pic:cNvPicPr>
                      <a:picLocks noChangeAspect="1"/>
                    </pic:cNvPicPr>
                  </pic:nvPicPr>
                  <pic:blipFill>
                    <a:blip r:embed="rId21"/>
                    <a:srcRect l="1454" t="5159" r="1999" b="8539"/>
                    <a:stretch>
                      <a:fillRect/>
                    </a:stretch>
                  </pic:blipFill>
                  <pic:spPr>
                    <a:xfrm>
                      <a:off x="0" y="0"/>
                      <a:ext cx="5410200" cy="2141213"/>
                    </a:xfrm>
                    <a:prstGeom prst="rect">
                      <a:avLst/>
                    </a:prstGeom>
                  </pic:spPr>
                </pic:pic>
              </a:graphicData>
            </a:graphic>
          </wp:inline>
        </w:drawing>
      </w:r>
    </w:p>
    <w:p w14:paraId="061EE56C" w14:textId="345F7B9B" w:rsidR="009B58A8" w:rsidRPr="0015183E" w:rsidRDefault="009B58A8" w:rsidP="003711F9">
      <w:pPr>
        <w:pStyle w:val="Maintext"/>
        <w:jc w:val="both"/>
        <w:rPr>
          <w:rFonts w:eastAsia="바탕"/>
          <w:color w:val="000000" w:themeColor="text1"/>
          <w:sz w:val="22"/>
          <w:szCs w:val="22"/>
          <w:lang w:eastAsia="ko-KR"/>
        </w:rPr>
      </w:pPr>
      <w:r w:rsidRPr="0015183E">
        <w:rPr>
          <w:b/>
          <w:bCs/>
          <w:color w:val="000000" w:themeColor="text1"/>
          <w:sz w:val="22"/>
          <w:szCs w:val="22"/>
        </w:rPr>
        <w:t>Supplementary</w:t>
      </w:r>
      <w:r w:rsidRPr="0015183E">
        <w:rPr>
          <w:rStyle w:val="selected"/>
          <w:b/>
          <w:color w:val="000000" w:themeColor="text1"/>
          <w:sz w:val="22"/>
          <w:szCs w:val="22"/>
        </w:rPr>
        <w:t xml:space="preserve"> Figure </w:t>
      </w:r>
      <w:r w:rsidRPr="0015183E">
        <w:rPr>
          <w:rStyle w:val="selected"/>
          <w:b/>
          <w:color w:val="000000" w:themeColor="text1"/>
          <w:sz w:val="22"/>
          <w:szCs w:val="22"/>
          <w:lang w:eastAsia="ko-KR"/>
        </w:rPr>
        <w:t>4</w:t>
      </w:r>
      <w:r w:rsidRPr="0015183E">
        <w:rPr>
          <w:rStyle w:val="selected"/>
          <w:b/>
          <w:color w:val="000000" w:themeColor="text1"/>
          <w:sz w:val="22"/>
          <w:szCs w:val="22"/>
        </w:rPr>
        <w:t>.</w:t>
      </w:r>
      <w:r w:rsidRPr="0015183E">
        <w:rPr>
          <w:rStyle w:val="selected"/>
          <w:color w:val="000000" w:themeColor="text1"/>
          <w:sz w:val="22"/>
          <w:szCs w:val="22"/>
        </w:rPr>
        <w:t xml:space="preserve"> </w:t>
      </w:r>
      <w:r w:rsidRPr="0015183E">
        <w:rPr>
          <w:rFonts w:eastAsia="바탕"/>
          <w:color w:val="000000" w:themeColor="text1"/>
          <w:sz w:val="22"/>
          <w:szCs w:val="22"/>
          <w:lang w:eastAsia="ko-KR"/>
        </w:rPr>
        <w:t xml:space="preserve">CNT-network morphologies and Raman characterization of the CNT material. a Scanning electron microscopy (SEM) images of the upper-layer CNT network (top) and lower-layer CNT network (bottom), showing interconnected nanotubes and CNT–CNT junctions. Scale bars are 1 </w:t>
      </w:r>
      <w:proofErr w:type="spellStart"/>
      <w:r w:rsidRPr="0015183E">
        <w:rPr>
          <w:rFonts w:eastAsia="바탕"/>
          <w:color w:val="000000" w:themeColor="text1"/>
          <w:sz w:val="22"/>
          <w:szCs w:val="22"/>
          <w:lang w:eastAsia="ko-KR"/>
        </w:rPr>
        <w:t>μm</w:t>
      </w:r>
      <w:proofErr w:type="spellEnd"/>
      <w:r w:rsidRPr="0015183E">
        <w:rPr>
          <w:rFonts w:eastAsia="바탕"/>
          <w:color w:val="000000" w:themeColor="text1"/>
          <w:sz w:val="22"/>
          <w:szCs w:val="22"/>
          <w:lang w:eastAsia="ko-KR"/>
        </w:rPr>
        <w:t>. b Raman spectrum of the CNT material used to form the two channels, showing the D band and the G</w:t>
      </w:r>
      <w:r w:rsidRPr="0015183E">
        <w:rPr>
          <w:rFonts w:eastAsia="바탕"/>
          <w:color w:val="000000" w:themeColor="text1"/>
          <w:sz w:val="22"/>
          <w:szCs w:val="22"/>
          <w:vertAlign w:val="superscript"/>
          <w:lang w:eastAsia="ko-KR"/>
        </w:rPr>
        <w:t>–</w:t>
      </w:r>
      <w:r w:rsidRPr="0015183E">
        <w:rPr>
          <w:rFonts w:eastAsia="바탕"/>
          <w:color w:val="000000" w:themeColor="text1"/>
          <w:sz w:val="22"/>
          <w:szCs w:val="22"/>
          <w:lang w:eastAsia="ko-KR"/>
        </w:rPr>
        <w:t xml:space="preserve"> and G</w:t>
      </w:r>
      <w:r w:rsidRPr="0015183E">
        <w:rPr>
          <w:rFonts w:eastAsia="바탕"/>
          <w:color w:val="000000" w:themeColor="text1"/>
          <w:sz w:val="22"/>
          <w:szCs w:val="22"/>
          <w:vertAlign w:val="superscript"/>
          <w:lang w:eastAsia="ko-KR"/>
        </w:rPr>
        <w:t>+</w:t>
      </w:r>
      <w:r w:rsidRPr="0015183E">
        <w:rPr>
          <w:rFonts w:eastAsia="바탕"/>
          <w:color w:val="000000" w:themeColor="text1"/>
          <w:sz w:val="22"/>
          <w:szCs w:val="22"/>
          <w:lang w:eastAsia="ko-KR"/>
        </w:rPr>
        <w:t xml:space="preserve"> components of the G band. The G/D intensity ratio is approximately 230.</w:t>
      </w:r>
      <w:r w:rsidR="00E75C40" w:rsidRPr="0015183E">
        <w:rPr>
          <w:rFonts w:ascii="New York" w:eastAsia="바탕" w:hAnsi="New York"/>
          <w:b/>
          <w:bCs/>
          <w:color w:val="000000" w:themeColor="text1"/>
          <w:sz w:val="20"/>
          <w:szCs w:val="20"/>
          <w:lang w:eastAsia="en-US"/>
        </w:rPr>
        <w:t xml:space="preserve"> </w:t>
      </w:r>
      <w:r w:rsidR="00E75C40" w:rsidRPr="0015183E">
        <w:rPr>
          <w:rFonts w:eastAsia="바탕"/>
          <w:b/>
          <w:bCs/>
          <w:color w:val="000000" w:themeColor="text1"/>
          <w:sz w:val="22"/>
          <w:szCs w:val="22"/>
          <w:lang w:eastAsia="ko-KR"/>
        </w:rPr>
        <w:t>c</w:t>
      </w:r>
      <w:r w:rsidR="00E75C40" w:rsidRPr="0015183E">
        <w:rPr>
          <w:rFonts w:eastAsia="바탕"/>
          <w:color w:val="000000" w:themeColor="text1"/>
          <w:sz w:val="22"/>
          <w:szCs w:val="22"/>
          <w:lang w:eastAsia="ko-KR"/>
        </w:rPr>
        <w:t xml:space="preserve"> Raman spectrum in the radial breathing mode (RBM) region, showing a dominant peak at approximately 175 cm</w:t>
      </w:r>
      <w:r w:rsidR="00E75C40" w:rsidRPr="0015183E">
        <w:rPr>
          <w:rFonts w:eastAsia="바탕"/>
          <w:color w:val="000000" w:themeColor="text1"/>
          <w:sz w:val="22"/>
          <w:szCs w:val="22"/>
          <w:vertAlign w:val="superscript"/>
          <w:lang w:eastAsia="ko-KR"/>
        </w:rPr>
        <w:t>–1</w:t>
      </w:r>
      <w:r w:rsidR="00E75C40" w:rsidRPr="0015183E">
        <w:rPr>
          <w:rFonts w:eastAsia="바탕"/>
          <w:color w:val="000000" w:themeColor="text1"/>
          <w:sz w:val="22"/>
          <w:szCs w:val="22"/>
          <w:lang w:eastAsia="ko-KR"/>
        </w:rPr>
        <w:t>. The peak position corresponds to an estimated representative CNT diameter of approximately 1.4 nm and a semiconducting CNT bandgap of approximately 0.6 eV, as described in the supplementary text.</w:t>
      </w:r>
    </w:p>
    <w:p w14:paraId="2E070FFF" w14:textId="443E94C0" w:rsidR="00E81BD2" w:rsidRPr="0015183E" w:rsidRDefault="009B58A8" w:rsidP="00986E60">
      <w:pPr>
        <w:pStyle w:val="VAFigureCaption"/>
        <w:rPr>
          <w:rFonts w:ascii="Times New Roman" w:hAnsi="Times New Roman"/>
          <w:b/>
          <w:bCs/>
          <w:color w:val="000000" w:themeColor="text1"/>
          <w:sz w:val="22"/>
          <w:szCs w:val="22"/>
        </w:rPr>
      </w:pPr>
      <w:r w:rsidRPr="0015183E">
        <w:rPr>
          <w:rFonts w:ascii="Times New Roman" w:hAnsi="Times New Roman"/>
          <w:color w:val="000000" w:themeColor="text1"/>
          <w:szCs w:val="24"/>
        </w:rPr>
        <w:br w:type="page"/>
      </w:r>
      <w:r w:rsidR="00E81BD2" w:rsidRPr="0015183E">
        <w:rPr>
          <w:rFonts w:ascii="Times New Roman" w:hAnsi="Times New Roman"/>
          <w:b/>
          <w:bCs/>
          <w:color w:val="000000" w:themeColor="text1"/>
          <w:sz w:val="22"/>
          <w:szCs w:val="22"/>
        </w:rPr>
        <w:lastRenderedPageBreak/>
        <w:t>Channel-length-dependent shifts in the constituent-channel threshold voltages</w:t>
      </w:r>
    </w:p>
    <w:p w14:paraId="5FFD85F2" w14:textId="77777777" w:rsidR="00E81BD2" w:rsidRPr="0015183E" w:rsidRDefault="00E81BD2" w:rsidP="007411B7">
      <w:pPr>
        <w:pStyle w:val="VAFigureCaption"/>
        <w:ind w:firstLineChars="100" w:firstLine="220"/>
        <w:rPr>
          <w:rFonts w:ascii="Times New Roman" w:hAnsi="Times New Roman"/>
          <w:color w:val="000000" w:themeColor="text1"/>
          <w:sz w:val="22"/>
          <w:szCs w:val="22"/>
          <w:lang w:eastAsia="ko-KR"/>
        </w:rPr>
      </w:pP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5</w:t>
      </w:r>
      <w:r w:rsidRPr="0015183E">
        <w:rPr>
          <w:rFonts w:ascii="Times New Roman" w:hAnsi="Times New Roman"/>
          <w:color w:val="000000" w:themeColor="text1"/>
          <w:sz w:val="22"/>
          <w:szCs w:val="22"/>
        </w:rPr>
        <w:t xml:space="preserve"> quantifies the channel-length-dependent shifts in the isolated transfer characteristics of the lower- and upper-layer transistors shown in </w:t>
      </w:r>
      <w:r w:rsidRPr="0015183E">
        <w:rPr>
          <w:rFonts w:ascii="Times New Roman" w:hAnsi="Times New Roman"/>
          <w:b/>
          <w:bCs/>
          <w:color w:val="000000" w:themeColor="text1"/>
          <w:sz w:val="22"/>
          <w:szCs w:val="22"/>
        </w:rPr>
        <w:t>Fig. 3</w:t>
      </w:r>
      <w:r w:rsidRPr="0015183E">
        <w:rPr>
          <w:rFonts w:ascii="Times New Roman" w:hAnsi="Times New Roman"/>
          <w:b/>
          <w:bCs/>
          <w:color w:val="000000" w:themeColor="text1"/>
          <w:sz w:val="22"/>
          <w:szCs w:val="22"/>
          <w:lang w:eastAsia="ko-KR"/>
        </w:rPr>
        <w:t>b</w:t>
      </w:r>
      <w:r w:rsidRPr="0015183E">
        <w:rPr>
          <w:rFonts w:ascii="Times New Roman" w:hAnsi="Times New Roman"/>
          <w:color w:val="000000" w:themeColor="text1"/>
          <w:sz w:val="22"/>
          <w:szCs w:val="22"/>
        </w:rPr>
        <w:t xml:space="preserve">. The two transistors were measured independently by changing the probing configuration within each vertically stacked device. Both channel lengths were varied simultaneously while maintaining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the respective CNT network density conditions.</w:t>
      </w:r>
    </w:p>
    <w:p w14:paraId="1C088CBA" w14:textId="4C93FC09" w:rsidR="00E81BD2" w:rsidRPr="0015183E" w:rsidRDefault="00E81BD2" w:rsidP="007411B7">
      <w:pPr>
        <w:pStyle w:val="VAFigureCaption"/>
        <w:ind w:firstLineChars="100" w:firstLine="220"/>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was defined as the gate voltage at which the drain-current magnitude reached the prescribed current criterion on the relevant carrier branch. The lower-layer electron-branch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was extracted at |I</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w:t>
      </w:r>
      <w:r w:rsidRPr="0015183E">
        <w:rPr>
          <w:rFonts w:ascii="Times New Roman" w:eastAsia="바탕" w:hAnsi="Times New Roman"/>
          <w:color w:val="000000" w:themeColor="text1"/>
          <w:sz w:val="22"/>
          <w:szCs w:val="22"/>
          <w:lang w:eastAsia="ko-KR"/>
        </w:rPr>
        <w:t>10</w:t>
      </w:r>
      <w:r w:rsidRPr="0015183E">
        <w:rPr>
          <w:rFonts w:ascii="Times New Roman" w:hAnsi="Times New Roman"/>
          <w:color w:val="000000" w:themeColor="text1"/>
          <w:sz w:val="22"/>
          <w:szCs w:val="22"/>
          <w:vertAlign w:val="superscript"/>
        </w:rPr>
        <w:t>–</w:t>
      </w:r>
      <w:r w:rsidRPr="0015183E">
        <w:rPr>
          <w:rFonts w:ascii="Times New Roman" w:eastAsia="바탕" w:hAnsi="Times New Roman"/>
          <w:color w:val="000000" w:themeColor="text1"/>
          <w:sz w:val="22"/>
          <w:szCs w:val="22"/>
          <w:vertAlign w:val="superscript"/>
          <w:lang w:eastAsia="ko-KR"/>
        </w:rPr>
        <w:t>10</w:t>
      </w:r>
      <w:r w:rsidRPr="0015183E">
        <w:rPr>
          <w:rFonts w:ascii="Times New Roman" w:eastAsia="바탕" w:hAnsi="Times New Roman"/>
          <w:color w:val="000000" w:themeColor="text1"/>
          <w:sz w:val="22"/>
          <w:szCs w:val="22"/>
          <w:lang w:eastAsia="ko-KR"/>
        </w:rPr>
        <w:t xml:space="preserve"> </w:t>
      </w:r>
      <w:r w:rsidRPr="0015183E">
        <w:rPr>
          <w:rFonts w:ascii="Times New Roman" w:hAnsi="Times New Roman"/>
          <w:color w:val="000000" w:themeColor="text1"/>
          <w:sz w:val="22"/>
          <w:szCs w:val="22"/>
        </w:rPr>
        <w:t xml:space="preserve">A from the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Top</w:t>
      </w:r>
      <w:proofErr w:type="spellEnd"/>
      <w:r w:rsidRPr="0015183E">
        <w:rPr>
          <w:rFonts w:ascii="Times New Roman" w:hAnsi="Times New Roman"/>
          <w:color w:val="000000" w:themeColor="text1"/>
          <w:sz w:val="22"/>
          <w:szCs w:val="22"/>
          <w:vertAlign w:val="subscript"/>
        </w:rPr>
        <w:t xml:space="preserve">-gate </w:t>
      </w:r>
      <w:r w:rsidRPr="0015183E">
        <w:rPr>
          <w:rFonts w:ascii="Times New Roman" w:hAnsi="Times New Roman"/>
          <w:color w:val="000000" w:themeColor="text1"/>
          <w:sz w:val="22"/>
          <w:szCs w:val="22"/>
        </w:rPr>
        <w:t>sweep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w:t>
      </w:r>
      <w:r w:rsidR="00BE4595" w:rsidRPr="0015183E">
        <w:rPr>
          <w:rFonts w:ascii="Times New Roman" w:hAnsi="Times New Roman"/>
          <w:color w:val="000000" w:themeColor="text1"/>
          <w:sz w:val="22"/>
          <w:szCs w:val="22"/>
        </w:rPr>
        <w:t>+</w:t>
      </w:r>
      <w:r w:rsidRPr="0015183E">
        <w:rPr>
          <w:rFonts w:ascii="Times New Roman" w:hAnsi="Times New Roman"/>
          <w:color w:val="000000" w:themeColor="text1"/>
          <w:sz w:val="22"/>
          <w:szCs w:val="22"/>
        </w:rPr>
        <w:t>0.1 V. The upper-layer p-type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was extracted at |I</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w:t>
      </w:r>
      <w:r w:rsidRPr="0015183E">
        <w:rPr>
          <w:rFonts w:ascii="Times New Roman" w:eastAsia="바탕" w:hAnsi="Times New Roman"/>
          <w:color w:val="000000" w:themeColor="text1"/>
          <w:sz w:val="22"/>
          <w:szCs w:val="22"/>
          <w:lang w:eastAsia="ko-KR"/>
        </w:rPr>
        <w:t>10</w:t>
      </w:r>
      <w:r w:rsidRPr="0015183E">
        <w:rPr>
          <w:rFonts w:ascii="Times New Roman" w:hAnsi="Times New Roman"/>
          <w:color w:val="000000" w:themeColor="text1"/>
          <w:sz w:val="22"/>
          <w:szCs w:val="22"/>
          <w:vertAlign w:val="superscript"/>
        </w:rPr>
        <w:t>–</w:t>
      </w:r>
      <w:r w:rsidRPr="0015183E">
        <w:rPr>
          <w:rFonts w:ascii="Times New Roman" w:hAnsi="Times New Roman" w:hint="eastAsia"/>
          <w:color w:val="000000" w:themeColor="text1"/>
          <w:sz w:val="22"/>
          <w:szCs w:val="22"/>
          <w:vertAlign w:val="superscript"/>
          <w:lang w:eastAsia="ko-KR"/>
        </w:rPr>
        <w:t>9</w:t>
      </w:r>
      <w:r w:rsidRPr="0015183E">
        <w:rPr>
          <w:rFonts w:ascii="Times New Roman" w:eastAsia="바탕"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 xml:space="preserve">A from the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Bottom</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sweep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The lower current criterion was used for the lower-layer transistor because of its smaller current level. Within each layer, the same criterion was applied across all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conditions.</w:t>
      </w:r>
      <w:r w:rsidR="00BE4595" w:rsidRPr="0015183E">
        <w:rPr>
          <w:rFonts w:ascii="Times New Roman" w:hAnsi="Times New Roman" w:hint="eastAsia"/>
          <w:color w:val="000000" w:themeColor="text1"/>
          <w:sz w:val="22"/>
          <w:szCs w:val="22"/>
          <w:lang w:eastAsia="ko-KR"/>
        </w:rPr>
        <w:t xml:space="preserve"> </w:t>
      </w:r>
      <w:r w:rsidR="00BE4595" w:rsidRPr="0015183E">
        <w:rPr>
          <w:rFonts w:ascii="Times New Roman" w:hAnsi="Times New Roman"/>
          <w:color w:val="000000" w:themeColor="text1"/>
          <w:sz w:val="22"/>
          <w:szCs w:val="22"/>
          <w:lang w:eastAsia="ko-KR"/>
        </w:rPr>
        <w:t>Because the measured I</w:t>
      </w:r>
      <w:r w:rsidR="00BE4595" w:rsidRPr="0015183E">
        <w:rPr>
          <w:rFonts w:ascii="Times New Roman" w:hAnsi="Times New Roman"/>
          <w:color w:val="000000" w:themeColor="text1"/>
          <w:sz w:val="22"/>
          <w:szCs w:val="22"/>
          <w:vertAlign w:val="subscript"/>
          <w:lang w:eastAsia="ko-KR"/>
        </w:rPr>
        <w:t>D</w:t>
      </w:r>
      <w:r w:rsidR="00BE4595" w:rsidRPr="0015183E">
        <w:rPr>
          <w:rFonts w:ascii="Times New Roman" w:hAnsi="Times New Roman"/>
          <w:color w:val="000000" w:themeColor="text1"/>
          <w:sz w:val="22"/>
          <w:szCs w:val="22"/>
          <w:lang w:eastAsia="ko-KR"/>
        </w:rPr>
        <w:t xml:space="preserve"> was not normalized by </w:t>
      </w:r>
      <w:proofErr w:type="spellStart"/>
      <w:r w:rsidR="00BE4595" w:rsidRPr="0015183E">
        <w:rPr>
          <w:rFonts w:ascii="Times New Roman" w:hAnsi="Times New Roman"/>
          <w:color w:val="000000" w:themeColor="text1"/>
          <w:sz w:val="22"/>
          <w:szCs w:val="22"/>
          <w:lang w:eastAsia="ko-KR"/>
        </w:rPr>
        <w:t>W</w:t>
      </w:r>
      <w:r w:rsidR="00BE4595" w:rsidRPr="0015183E">
        <w:rPr>
          <w:rFonts w:ascii="Times New Roman" w:hAnsi="Times New Roman"/>
          <w:color w:val="000000" w:themeColor="text1"/>
          <w:sz w:val="22"/>
          <w:szCs w:val="22"/>
          <w:vertAlign w:val="subscript"/>
          <w:lang w:eastAsia="ko-KR"/>
        </w:rPr>
        <w:t>ch</w:t>
      </w:r>
      <w:proofErr w:type="spellEnd"/>
      <w:r w:rsidR="00BE4595" w:rsidRPr="0015183E">
        <w:rPr>
          <w:rFonts w:ascii="Times New Roman" w:hAnsi="Times New Roman"/>
          <w:color w:val="000000" w:themeColor="text1"/>
          <w:sz w:val="22"/>
          <w:szCs w:val="22"/>
          <w:lang w:eastAsia="ko-KR"/>
        </w:rPr>
        <w:t>/</w:t>
      </w:r>
      <w:proofErr w:type="spellStart"/>
      <w:r w:rsidR="00BE4595" w:rsidRPr="0015183E">
        <w:rPr>
          <w:rFonts w:ascii="Times New Roman" w:hAnsi="Times New Roman"/>
          <w:color w:val="000000" w:themeColor="text1"/>
          <w:sz w:val="22"/>
          <w:szCs w:val="22"/>
          <w:lang w:eastAsia="ko-KR"/>
        </w:rPr>
        <w:t>L</w:t>
      </w:r>
      <w:r w:rsidR="00BE4595" w:rsidRPr="0015183E">
        <w:rPr>
          <w:rFonts w:ascii="Times New Roman" w:hAnsi="Times New Roman"/>
          <w:color w:val="000000" w:themeColor="text1"/>
          <w:sz w:val="22"/>
          <w:szCs w:val="22"/>
          <w:vertAlign w:val="subscript"/>
          <w:lang w:eastAsia="ko-KR"/>
        </w:rPr>
        <w:t>ch</w:t>
      </w:r>
      <w:proofErr w:type="spellEnd"/>
      <w:r w:rsidR="00BE4595" w:rsidRPr="0015183E">
        <w:rPr>
          <w:rFonts w:ascii="Times New Roman" w:hAnsi="Times New Roman"/>
          <w:color w:val="000000" w:themeColor="text1"/>
          <w:sz w:val="22"/>
          <w:szCs w:val="22"/>
          <w:lang w:eastAsia="ko-KR"/>
        </w:rPr>
        <w:t>, these fixed-current V</w:t>
      </w:r>
      <w:r w:rsidR="00BE4595" w:rsidRPr="0015183E">
        <w:rPr>
          <w:rFonts w:ascii="Times New Roman" w:hAnsi="Times New Roman"/>
          <w:color w:val="000000" w:themeColor="text1"/>
          <w:sz w:val="22"/>
          <w:szCs w:val="22"/>
          <w:vertAlign w:val="subscript"/>
          <w:lang w:eastAsia="ko-KR"/>
        </w:rPr>
        <w:t>T</w:t>
      </w:r>
      <w:r w:rsidR="00BE4595" w:rsidRPr="0015183E">
        <w:rPr>
          <w:rFonts w:ascii="Times New Roman" w:hAnsi="Times New Roman"/>
          <w:color w:val="000000" w:themeColor="text1"/>
          <w:sz w:val="22"/>
          <w:szCs w:val="22"/>
          <w:lang w:eastAsia="ko-KR"/>
        </w:rPr>
        <w:t xml:space="preserve"> values include the </w:t>
      </w:r>
      <w:proofErr w:type="spellStart"/>
      <w:r w:rsidR="00BE4595" w:rsidRPr="0015183E">
        <w:rPr>
          <w:rFonts w:ascii="Times New Roman" w:hAnsi="Times New Roman"/>
          <w:color w:val="000000" w:themeColor="text1"/>
          <w:sz w:val="22"/>
          <w:szCs w:val="22"/>
          <w:lang w:eastAsia="ko-KR"/>
        </w:rPr>
        <w:t>L</w:t>
      </w:r>
      <w:r w:rsidR="00BE4595" w:rsidRPr="0015183E">
        <w:rPr>
          <w:rFonts w:ascii="Times New Roman" w:hAnsi="Times New Roman"/>
          <w:color w:val="000000" w:themeColor="text1"/>
          <w:sz w:val="22"/>
          <w:szCs w:val="22"/>
          <w:vertAlign w:val="subscript"/>
          <w:lang w:eastAsia="ko-KR"/>
        </w:rPr>
        <w:t>ch</w:t>
      </w:r>
      <w:proofErr w:type="spellEnd"/>
      <w:r w:rsidR="00BE4595" w:rsidRPr="0015183E">
        <w:rPr>
          <w:rFonts w:ascii="Times New Roman" w:hAnsi="Times New Roman"/>
          <w:color w:val="000000" w:themeColor="text1"/>
          <w:sz w:val="22"/>
          <w:szCs w:val="22"/>
          <w:lang w:eastAsia="ko-KR"/>
        </w:rPr>
        <w:t>-dependent change in branch-current magnitude and are used here as operational measures of the branch positions rather than geometry-independent threshold voltages.</w:t>
      </w:r>
    </w:p>
    <w:p w14:paraId="0F0B800F" w14:textId="77777777" w:rsidR="00E81BD2" w:rsidRPr="0015183E" w:rsidRDefault="00E81BD2" w:rsidP="007411B7">
      <w:pPr>
        <w:pStyle w:val="VAFigureCaption"/>
        <w:ind w:firstLineChars="100" w:firstLine="220"/>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 xml:space="preserve">As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decreases from 30 to 3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lower-layer electron-branch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shifts overall toward negative gate voltage, from 0.43 to –0.23 V. Over the same range, the upper-layer p-type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shifts toward positive gate voltage, from –1.50 to –0.76 V. These opposite shifts are consistent with electron conduction in the lower channel becoming accessible at a lower gate voltage and hole conduction in the upper channel persisting to a higher gate voltage. They therefore support the interpretation that channel-length scaling adjusts the relative alignment of the constituent-channel responses in the gate-voltage range where the current peak forms.</w:t>
      </w:r>
    </w:p>
    <w:p w14:paraId="473C73AD" w14:textId="396FA53E" w:rsidR="00E81BD2" w:rsidRPr="0015183E" w:rsidRDefault="00E81BD2" w:rsidP="007411B7">
      <w:pPr>
        <w:pStyle w:val="VAFigureCaption"/>
        <w:ind w:firstLineChars="100" w:firstLine="220"/>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rPr>
        <w:t>The lower-layer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at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shows a small positive deviation relative to the value at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5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rather than following a strictly monotonic negative shift. This local variation may reflect device-to-device differences in the random CNT network. Nevertheless, PVR of the series-connected stack continues to </w:t>
      </w:r>
      <w:r w:rsidRPr="0015183E">
        <w:rPr>
          <w:rFonts w:ascii="Times New Roman" w:hAnsi="Times New Roman"/>
          <w:color w:val="000000" w:themeColor="text1"/>
          <w:sz w:val="22"/>
          <w:szCs w:val="22"/>
        </w:rPr>
        <w:lastRenderedPageBreak/>
        <w:t xml:space="preserve">increase as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decreases from 5 to 4 and 3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w:t>
      </w:r>
      <w:r w:rsidRPr="0015183E">
        <w:rPr>
          <w:rFonts w:ascii="Times New Roman" w:hAnsi="Times New Roman"/>
          <w:b/>
          <w:bCs/>
          <w:color w:val="000000" w:themeColor="text1"/>
          <w:sz w:val="22"/>
          <w:szCs w:val="22"/>
        </w:rPr>
        <w:t>Fig. 3</w:t>
      </w:r>
      <w:r w:rsidR="00BE4595" w:rsidRPr="0015183E">
        <w:rPr>
          <w:rFonts w:ascii="Times New Roman" w:hAnsi="Times New Roman"/>
          <w:b/>
          <w:bCs/>
          <w:color w:val="000000" w:themeColor="text1"/>
          <w:sz w:val="22"/>
          <w:szCs w:val="22"/>
          <w:lang w:eastAsia="ko-KR"/>
        </w:rPr>
        <w:t>d</w:t>
      </w:r>
      <w:r w:rsidRPr="0015183E">
        <w:rPr>
          <w:rFonts w:ascii="Times New Roman" w:hAnsi="Times New Roman"/>
          <w:color w:val="000000" w:themeColor="text1"/>
          <w:sz w:val="22"/>
          <w:szCs w:val="22"/>
        </w:rPr>
        <w:t>). Thus, the local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variation does not disrupt the overall increase in peak-to-valley current contrast with channel-length scaling.</w:t>
      </w:r>
    </w:p>
    <w:p w14:paraId="6816D21C" w14:textId="4039ABD2" w:rsidR="009B58A8" w:rsidRPr="0015183E" w:rsidRDefault="009B58A8" w:rsidP="003711F9">
      <w:pPr>
        <w:spacing w:line="480" w:lineRule="auto"/>
        <w:ind w:firstLineChars="50" w:firstLine="110"/>
        <w:jc w:val="both"/>
        <w:rPr>
          <w:rFonts w:ascii="Times New Roman" w:hAnsi="Times New Roman"/>
          <w:color w:val="000000" w:themeColor="text1"/>
          <w:sz w:val="22"/>
          <w:szCs w:val="22"/>
        </w:rPr>
      </w:pPr>
    </w:p>
    <w:p w14:paraId="4E8775C8" w14:textId="62B9C0E3" w:rsidR="009B58A8" w:rsidRPr="0015183E" w:rsidRDefault="009B58A8" w:rsidP="003711F9">
      <w:pPr>
        <w:spacing w:line="360" w:lineRule="auto"/>
        <w:jc w:val="center"/>
        <w:rPr>
          <w:rFonts w:ascii="Times New Roman" w:hAnsi="Times New Roman"/>
          <w:color w:val="000000" w:themeColor="text1"/>
          <w:sz w:val="24"/>
          <w:szCs w:val="24"/>
        </w:rPr>
      </w:pPr>
      <w:r w:rsidRPr="0015183E">
        <w:rPr>
          <w:rFonts w:ascii="Times New Roman" w:hAnsi="Times New Roman"/>
          <w:color w:val="000000" w:themeColor="text1"/>
          <w:sz w:val="24"/>
          <w:szCs w:val="24"/>
          <w14:ligatures w14:val="standardContextual"/>
        </w:rPr>
        <w:t xml:space="preserve"> </w:t>
      </w:r>
      <w:r w:rsidR="00E81BD2" w:rsidRPr="0015183E">
        <w:rPr>
          <w:rFonts w:ascii="Times New Roman" w:hAnsi="Times New Roman"/>
          <w:noProof/>
          <w:color w:val="000000" w:themeColor="text1"/>
          <w:sz w:val="24"/>
          <w:szCs w:val="24"/>
          <w14:ligatures w14:val="standardContextual"/>
        </w:rPr>
        <w:drawing>
          <wp:inline distT="0" distB="0" distL="0" distR="0" wp14:anchorId="0B29B1F0" wp14:editId="599C0620">
            <wp:extent cx="4728984" cy="2000247"/>
            <wp:effectExtent l="0" t="0" r="0" b="635"/>
            <wp:docPr id="1132989815" name="그림 3">
              <a:extLst xmlns:a="http://schemas.openxmlformats.org/drawingml/2006/main">
                <a:ext uri="{FF2B5EF4-FFF2-40B4-BE49-F238E27FC236}">
                  <a16:creationId xmlns:a16="http://schemas.microsoft.com/office/drawing/2014/main" id="{97F02608-79C2-B3AC-F09F-3C64968F3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97F02608-79C2-B3AC-F09F-3C64968F325E}"/>
                        </a:ext>
                      </a:extLst>
                    </pic:cNvPr>
                    <pic:cNvPicPr>
                      <a:picLocks noChangeAspect="1"/>
                    </pic:cNvPicPr>
                  </pic:nvPicPr>
                  <pic:blipFill>
                    <a:blip r:embed="rId22"/>
                    <a:srcRect l="6183" t="4080" r="6800" b="10581"/>
                    <a:stretch>
                      <a:fillRect/>
                    </a:stretch>
                  </pic:blipFill>
                  <pic:spPr>
                    <a:xfrm>
                      <a:off x="0" y="0"/>
                      <a:ext cx="4728984" cy="2000247"/>
                    </a:xfrm>
                    <a:prstGeom prst="rect">
                      <a:avLst/>
                    </a:prstGeom>
                  </pic:spPr>
                </pic:pic>
              </a:graphicData>
            </a:graphic>
          </wp:inline>
        </w:drawing>
      </w:r>
    </w:p>
    <w:p w14:paraId="3DBE4BEE" w14:textId="546F13F5" w:rsidR="009B58A8" w:rsidRPr="0015183E" w:rsidRDefault="009B58A8" w:rsidP="003711F9">
      <w:pPr>
        <w:pStyle w:val="VAFigureCaption"/>
        <w:spacing w:line="360" w:lineRule="auto"/>
        <w:rPr>
          <w:rFonts w:ascii="Times New Roman" w:hAnsi="Times New Roman"/>
          <w:color w:val="000000" w:themeColor="text1"/>
          <w:sz w:val="22"/>
          <w:szCs w:val="22"/>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002055A8" w:rsidRPr="0015183E">
        <w:rPr>
          <w:rStyle w:val="selected"/>
          <w:rFonts w:ascii="Times New Roman" w:hAnsi="Times New Roman" w:hint="eastAsia"/>
          <w:b/>
          <w:color w:val="000000" w:themeColor="text1"/>
          <w:sz w:val="22"/>
          <w:szCs w:val="22"/>
          <w:lang w:eastAsia="ko-KR"/>
        </w:rPr>
        <w:t>5</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Channel-length dependence of the threshold voltages of the lower- and upper-layer transistors. The left and right plots show the lower-layer electron-branch V</w:t>
      </w:r>
      <w:r w:rsidRPr="0015183E">
        <w:rPr>
          <w:rFonts w:ascii="Times New Roman" w:eastAsia="바탕" w:hAnsi="Times New Roman"/>
          <w:color w:val="000000" w:themeColor="text1"/>
          <w:sz w:val="22"/>
          <w:szCs w:val="22"/>
          <w:vertAlign w:val="subscript"/>
          <w:lang w:eastAsia="ko-KR"/>
        </w:rPr>
        <w:t>T</w:t>
      </w:r>
      <w:r w:rsidRPr="0015183E">
        <w:rPr>
          <w:rFonts w:ascii="Times New Roman" w:eastAsia="바탕" w:hAnsi="Times New Roman"/>
          <w:color w:val="000000" w:themeColor="text1"/>
          <w:sz w:val="22"/>
          <w:szCs w:val="22"/>
          <w:lang w:eastAsia="ko-KR"/>
        </w:rPr>
        <w:t xml:space="preserve"> and upper-layer p-type V</w:t>
      </w:r>
      <w:r w:rsidRPr="0015183E">
        <w:rPr>
          <w:rFonts w:ascii="Times New Roman" w:eastAsia="바탕" w:hAnsi="Times New Roman"/>
          <w:color w:val="000000" w:themeColor="text1"/>
          <w:sz w:val="22"/>
          <w:szCs w:val="22"/>
          <w:vertAlign w:val="subscript"/>
          <w:lang w:eastAsia="ko-KR"/>
        </w:rPr>
        <w:t>T</w:t>
      </w:r>
      <w:r w:rsidRPr="0015183E">
        <w:rPr>
          <w:rFonts w:ascii="Times New Roman" w:eastAsia="바탕" w:hAnsi="Times New Roman"/>
          <w:color w:val="000000" w:themeColor="text1"/>
          <w:sz w:val="22"/>
          <w:szCs w:val="22"/>
          <w:lang w:eastAsia="ko-KR"/>
        </w:rPr>
        <w:t>, respectively, extracted from the isolated transfer characteristics in Fig. 3</w:t>
      </w:r>
      <w:r w:rsidR="00F951E5" w:rsidRPr="0015183E">
        <w:rPr>
          <w:rFonts w:ascii="Times New Roman" w:eastAsia="바탕" w:hAnsi="Times New Roman" w:hint="eastAsia"/>
          <w:color w:val="000000" w:themeColor="text1"/>
          <w:sz w:val="22"/>
          <w:szCs w:val="22"/>
          <w:lang w:eastAsia="ko-KR"/>
        </w:rPr>
        <w:t>b</w:t>
      </w:r>
      <w:r w:rsidRPr="0015183E">
        <w:rPr>
          <w:rFonts w:ascii="Times New Roman" w:eastAsia="바탕" w:hAnsi="Times New Roman"/>
          <w:color w:val="000000" w:themeColor="text1"/>
          <w:sz w:val="22"/>
          <w:szCs w:val="22"/>
          <w:lang w:eastAsia="ko-KR"/>
        </w:rPr>
        <w:t xml:space="preserve"> using the constant-current method (CCM). The lower-layer V</w:t>
      </w:r>
      <w:r w:rsidRPr="0015183E">
        <w:rPr>
          <w:rFonts w:ascii="Times New Roman" w:eastAsia="바탕" w:hAnsi="Times New Roman"/>
          <w:color w:val="000000" w:themeColor="text1"/>
          <w:sz w:val="22"/>
          <w:szCs w:val="22"/>
          <w:vertAlign w:val="subscript"/>
          <w:lang w:eastAsia="ko-KR"/>
        </w:rPr>
        <w:t>T</w:t>
      </w:r>
      <w:r w:rsidRPr="0015183E">
        <w:rPr>
          <w:rFonts w:ascii="Times New Roman" w:eastAsia="바탕" w:hAnsi="Times New Roman"/>
          <w:color w:val="000000" w:themeColor="text1"/>
          <w:sz w:val="22"/>
          <w:szCs w:val="22"/>
          <w:lang w:eastAsia="ko-KR"/>
        </w:rPr>
        <w:t xml:space="preserve"> was extracted at |I</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 10</w:t>
      </w:r>
      <w:r w:rsidRPr="0015183E">
        <w:rPr>
          <w:rFonts w:ascii="Times New Roman" w:hAnsi="Times New Roman"/>
          <w:color w:val="000000" w:themeColor="text1"/>
          <w:sz w:val="22"/>
          <w:szCs w:val="22"/>
          <w:vertAlign w:val="superscript"/>
        </w:rPr>
        <w:t>–</w:t>
      </w:r>
      <w:r w:rsidRPr="0015183E">
        <w:rPr>
          <w:rFonts w:ascii="Times New Roman" w:eastAsia="바탕" w:hAnsi="Times New Roman"/>
          <w:color w:val="000000" w:themeColor="text1"/>
          <w:sz w:val="22"/>
          <w:szCs w:val="22"/>
          <w:vertAlign w:val="superscript"/>
          <w:lang w:eastAsia="ko-KR"/>
        </w:rPr>
        <w:t>10</w:t>
      </w:r>
      <w:r w:rsidRPr="0015183E">
        <w:rPr>
          <w:rFonts w:ascii="Times New Roman" w:eastAsia="바탕" w:hAnsi="Times New Roman"/>
          <w:color w:val="000000" w:themeColor="text1"/>
          <w:sz w:val="22"/>
          <w:szCs w:val="22"/>
          <w:lang w:eastAsia="ko-KR"/>
        </w:rPr>
        <w:t xml:space="preserve"> A during a </w:t>
      </w:r>
      <w:proofErr w:type="spellStart"/>
      <w:r w:rsidRPr="0015183E">
        <w:rPr>
          <w:rFonts w:ascii="Times New Roman" w:eastAsia="바탕" w:hAnsi="Times New Roman"/>
          <w:color w:val="000000" w:themeColor="text1"/>
          <w:sz w:val="22"/>
          <w:szCs w:val="22"/>
          <w:lang w:eastAsia="ko-KR"/>
        </w:rPr>
        <w:t>V</w:t>
      </w:r>
      <w:r w:rsidRPr="0015183E">
        <w:rPr>
          <w:rFonts w:ascii="Times New Roman" w:eastAsia="바탕" w:hAnsi="Times New Roman"/>
          <w:color w:val="000000" w:themeColor="text1"/>
          <w:sz w:val="22"/>
          <w:szCs w:val="22"/>
          <w:vertAlign w:val="subscript"/>
          <w:lang w:eastAsia="ko-KR"/>
        </w:rPr>
        <w:t>Top</w:t>
      </w:r>
      <w:proofErr w:type="spellEnd"/>
      <w:r w:rsidRPr="0015183E">
        <w:rPr>
          <w:rFonts w:ascii="Times New Roman" w:eastAsia="바탕" w:hAnsi="Times New Roman"/>
          <w:color w:val="000000" w:themeColor="text1"/>
          <w:sz w:val="22"/>
          <w:szCs w:val="22"/>
          <w:vertAlign w:val="subscript"/>
          <w:lang w:eastAsia="ko-KR"/>
        </w:rPr>
        <w:t xml:space="preserve">-gate </w:t>
      </w:r>
      <w:r w:rsidRPr="0015183E">
        <w:rPr>
          <w:rFonts w:ascii="Times New Roman" w:eastAsia="바탕" w:hAnsi="Times New Roman"/>
          <w:color w:val="000000" w:themeColor="text1"/>
          <w:sz w:val="22"/>
          <w:szCs w:val="22"/>
          <w:lang w:eastAsia="ko-KR"/>
        </w:rPr>
        <w:t>sweep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w:t>
      </w:r>
      <w:r w:rsidR="00BE4595" w:rsidRPr="0015183E">
        <w:rPr>
          <w:rFonts w:ascii="Times New Roman" w:eastAsia="바탕" w:hAnsi="Times New Roman"/>
          <w:color w:val="000000" w:themeColor="text1"/>
          <w:sz w:val="22"/>
          <w:szCs w:val="22"/>
          <w:lang w:eastAsia="ko-KR"/>
        </w:rPr>
        <w:t>+</w:t>
      </w:r>
      <w:r w:rsidRPr="0015183E">
        <w:rPr>
          <w:rFonts w:ascii="Times New Roman" w:eastAsia="바탕" w:hAnsi="Times New Roman"/>
          <w:color w:val="000000" w:themeColor="text1"/>
          <w:sz w:val="22"/>
          <w:szCs w:val="22"/>
          <w:lang w:eastAsia="ko-KR"/>
        </w:rPr>
        <w:t>0.1 V, whereas the upper-layer V</w:t>
      </w:r>
      <w:r w:rsidRPr="0015183E">
        <w:rPr>
          <w:rFonts w:ascii="Times New Roman" w:eastAsia="바탕" w:hAnsi="Times New Roman"/>
          <w:color w:val="000000" w:themeColor="text1"/>
          <w:sz w:val="22"/>
          <w:szCs w:val="22"/>
          <w:vertAlign w:val="subscript"/>
          <w:lang w:eastAsia="ko-KR"/>
        </w:rPr>
        <w:t>T</w:t>
      </w:r>
      <w:r w:rsidRPr="0015183E">
        <w:rPr>
          <w:rFonts w:ascii="Times New Roman" w:eastAsia="바탕" w:hAnsi="Times New Roman"/>
          <w:color w:val="000000" w:themeColor="text1"/>
          <w:sz w:val="22"/>
          <w:szCs w:val="22"/>
          <w:lang w:eastAsia="ko-KR"/>
        </w:rPr>
        <w:t xml:space="preserve"> was extracted at |I</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 10</w:t>
      </w:r>
      <w:r w:rsidRPr="0015183E">
        <w:rPr>
          <w:rFonts w:ascii="Times New Roman" w:hAnsi="Times New Roman"/>
          <w:color w:val="000000" w:themeColor="text1"/>
          <w:sz w:val="22"/>
          <w:szCs w:val="22"/>
          <w:vertAlign w:val="superscript"/>
        </w:rPr>
        <w:t>–</w:t>
      </w:r>
      <w:r w:rsidRPr="0015183E">
        <w:rPr>
          <w:rFonts w:ascii="Times New Roman" w:eastAsia="바탕" w:hAnsi="Times New Roman"/>
          <w:color w:val="000000" w:themeColor="text1"/>
          <w:sz w:val="22"/>
          <w:szCs w:val="22"/>
          <w:vertAlign w:val="superscript"/>
          <w:lang w:eastAsia="ko-KR"/>
        </w:rPr>
        <w:t>9</w:t>
      </w:r>
      <w:r w:rsidRPr="0015183E">
        <w:rPr>
          <w:rFonts w:ascii="Times New Roman" w:eastAsia="바탕" w:hAnsi="Times New Roman"/>
          <w:color w:val="000000" w:themeColor="text1"/>
          <w:sz w:val="22"/>
          <w:szCs w:val="22"/>
          <w:lang w:eastAsia="ko-KR"/>
        </w:rPr>
        <w:t xml:space="preserve"> A during a </w:t>
      </w:r>
      <w:proofErr w:type="spellStart"/>
      <w:r w:rsidRPr="0015183E">
        <w:rPr>
          <w:rFonts w:ascii="Times New Roman" w:eastAsia="바탕" w:hAnsi="Times New Roman"/>
          <w:color w:val="000000" w:themeColor="text1"/>
          <w:sz w:val="22"/>
          <w:szCs w:val="22"/>
          <w:lang w:eastAsia="ko-KR"/>
        </w:rPr>
        <w:t>V</w:t>
      </w:r>
      <w:r w:rsidRPr="0015183E">
        <w:rPr>
          <w:rFonts w:ascii="Times New Roman" w:eastAsia="바탕" w:hAnsi="Times New Roman"/>
          <w:color w:val="000000" w:themeColor="text1"/>
          <w:sz w:val="22"/>
          <w:szCs w:val="22"/>
          <w:vertAlign w:val="subscript"/>
          <w:lang w:eastAsia="ko-KR"/>
        </w:rPr>
        <w:t>Bottom</w:t>
      </w:r>
      <w:proofErr w:type="spellEnd"/>
      <w:r w:rsidRPr="0015183E">
        <w:rPr>
          <w:rFonts w:ascii="Times New Roman" w:eastAsia="바탕" w:hAnsi="Times New Roman"/>
          <w:color w:val="000000" w:themeColor="text1"/>
          <w:sz w:val="22"/>
          <w:szCs w:val="22"/>
          <w:vertAlign w:val="subscript"/>
          <w:lang w:eastAsia="ko-KR"/>
        </w:rPr>
        <w:t>-gate</w:t>
      </w:r>
      <w:r w:rsidRPr="0015183E">
        <w:rPr>
          <w:rFonts w:ascii="Times New Roman" w:eastAsia="바탕" w:hAnsi="Times New Roman"/>
          <w:color w:val="000000" w:themeColor="text1"/>
          <w:sz w:val="22"/>
          <w:szCs w:val="22"/>
          <w:lang w:eastAsia="ko-KR"/>
        </w:rPr>
        <w:t xml:space="preserve"> sweep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w:t>
      </w:r>
      <w:r w:rsidRPr="0015183E">
        <w:rPr>
          <w:rFonts w:ascii="Times New Roman" w:hAnsi="Times New Roman"/>
          <w:color w:val="000000" w:themeColor="text1"/>
          <w:sz w:val="22"/>
          <w:szCs w:val="22"/>
        </w:rPr>
        <w:t>–</w:t>
      </w:r>
      <w:r w:rsidRPr="0015183E">
        <w:rPr>
          <w:rFonts w:ascii="Times New Roman" w:eastAsia="바탕" w:hAnsi="Times New Roman"/>
          <w:color w:val="000000" w:themeColor="text1"/>
          <w:sz w:val="22"/>
          <w:szCs w:val="22"/>
          <w:lang w:eastAsia="ko-KR"/>
        </w:rPr>
        <w:t xml:space="preserve">0.1 V. The channel lengths of both layers were varied together among 30, 20, 10, 5, 4 and 3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while maintaining </w:t>
      </w:r>
      <w:proofErr w:type="spellStart"/>
      <w:r w:rsidRPr="0015183E">
        <w:rPr>
          <w:rFonts w:ascii="Times New Roman" w:eastAsia="바탕" w:hAnsi="Times New Roman"/>
          <w:color w:val="000000" w:themeColor="text1"/>
          <w:sz w:val="22"/>
          <w:szCs w:val="22"/>
          <w:lang w:eastAsia="ko-KR"/>
        </w:rPr>
        <w:t>W</w:t>
      </w:r>
      <w:r w:rsidRPr="0015183E">
        <w:rPr>
          <w:rFonts w:ascii="Times New Roman" w:eastAsia="바탕" w:hAnsi="Times New Roman"/>
          <w:color w:val="000000" w:themeColor="text1"/>
          <w:sz w:val="22"/>
          <w:szCs w:val="22"/>
          <w:vertAlign w:val="subscript"/>
          <w:lang w:eastAsia="ko-KR"/>
        </w:rPr>
        <w:t>ch</w:t>
      </w:r>
      <w:proofErr w:type="spellEnd"/>
      <w:r w:rsidRPr="0015183E">
        <w:rPr>
          <w:rFonts w:ascii="Times New Roman" w:eastAsia="바탕" w:hAnsi="Times New Roman"/>
          <w:color w:val="000000" w:themeColor="text1"/>
          <w:sz w:val="22"/>
          <w:szCs w:val="22"/>
          <w:lang w:eastAsia="ko-KR"/>
        </w:rPr>
        <w:t xml:space="preserve"> = 20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The lower- and upper-layer CNT network densities were </w:t>
      </w:r>
      <w:r w:rsidR="002055A8" w:rsidRPr="0015183E">
        <w:rPr>
          <w:rFonts w:ascii="Times New Roman" w:eastAsia="바탕" w:hAnsi="Times New Roman" w:hint="eastAsia"/>
          <w:color w:val="000000" w:themeColor="text1"/>
          <w:sz w:val="22"/>
          <w:szCs w:val="22"/>
          <w:lang w:eastAsia="ko-KR"/>
        </w:rPr>
        <w:t>5</w:t>
      </w:r>
      <w:r w:rsidRPr="0015183E">
        <w:rPr>
          <w:rFonts w:ascii="Times New Roman" w:eastAsia="바탕" w:hAnsi="Times New Roman"/>
          <w:color w:val="000000" w:themeColor="text1"/>
          <w:sz w:val="22"/>
          <w:szCs w:val="22"/>
          <w:lang w:eastAsia="ko-KR"/>
        </w:rPr>
        <w:t>–</w:t>
      </w:r>
      <w:r w:rsidR="002055A8" w:rsidRPr="0015183E">
        <w:rPr>
          <w:rFonts w:ascii="Times New Roman" w:eastAsia="바탕" w:hAnsi="Times New Roman" w:hint="eastAsia"/>
          <w:color w:val="000000" w:themeColor="text1"/>
          <w:sz w:val="22"/>
          <w:szCs w:val="22"/>
          <w:lang w:eastAsia="ko-KR"/>
        </w:rPr>
        <w:t>7</w:t>
      </w:r>
      <w:r w:rsidRPr="0015183E">
        <w:rPr>
          <w:rFonts w:ascii="Times New Roman" w:eastAsia="바탕" w:hAnsi="Times New Roman"/>
          <w:color w:val="000000" w:themeColor="text1"/>
          <w:sz w:val="22"/>
          <w:szCs w:val="22"/>
          <w:lang w:eastAsia="ko-KR"/>
        </w:rPr>
        <w:t xml:space="preserve"> and 1</w:t>
      </w:r>
      <w:r w:rsidR="002055A8" w:rsidRPr="0015183E">
        <w:rPr>
          <w:rFonts w:ascii="Times New Roman" w:eastAsia="바탕" w:hAnsi="Times New Roman" w:hint="eastAsia"/>
          <w:color w:val="000000" w:themeColor="text1"/>
          <w:sz w:val="22"/>
          <w:szCs w:val="22"/>
          <w:lang w:eastAsia="ko-KR"/>
        </w:rPr>
        <w:t>1</w:t>
      </w:r>
      <w:r w:rsidRPr="0015183E">
        <w:rPr>
          <w:rFonts w:ascii="Times New Roman" w:eastAsia="바탕" w:hAnsi="Times New Roman"/>
          <w:color w:val="000000" w:themeColor="text1"/>
          <w:sz w:val="22"/>
          <w:szCs w:val="22"/>
          <w:lang w:eastAsia="ko-KR"/>
        </w:rPr>
        <w:t>–13 tubes/</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respectively.</w:t>
      </w:r>
    </w:p>
    <w:p w14:paraId="4873ADDF" w14:textId="77777777" w:rsidR="009B58A8" w:rsidRPr="0015183E" w:rsidRDefault="009B58A8" w:rsidP="003711F9">
      <w:pPr>
        <w:rPr>
          <w:rFonts w:ascii="Times New Roman" w:hAnsi="Times New Roman"/>
          <w:b/>
          <w:bCs/>
          <w:color w:val="000000" w:themeColor="text1"/>
          <w:sz w:val="24"/>
          <w:szCs w:val="24"/>
          <w:lang w:eastAsia="ko-KR"/>
        </w:rPr>
      </w:pPr>
      <w:r w:rsidRPr="0015183E">
        <w:rPr>
          <w:rFonts w:ascii="Times New Roman" w:hAnsi="Times New Roman"/>
          <w:b/>
          <w:bCs/>
          <w:color w:val="000000" w:themeColor="text1"/>
          <w:sz w:val="24"/>
          <w:szCs w:val="24"/>
          <w:lang w:eastAsia="ko-KR"/>
        </w:rPr>
        <w:br w:type="page"/>
      </w:r>
    </w:p>
    <w:p w14:paraId="1F73405D" w14:textId="77777777" w:rsidR="00E81BD2" w:rsidRPr="0015183E" w:rsidRDefault="00E81BD2" w:rsidP="00986E60">
      <w:pPr>
        <w:pStyle w:val="VAFigureCaption"/>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lastRenderedPageBreak/>
        <w:t>Channel-width-dependent control of the NTC response</w:t>
      </w:r>
    </w:p>
    <w:p w14:paraId="2378E74F" w14:textId="77777777" w:rsidR="00E81BD2" w:rsidRPr="0015183E" w:rsidRDefault="00E81BD2" w:rsidP="007411B7">
      <w:pPr>
        <w:pStyle w:val="VAFigureCaption"/>
        <w:ind w:firstLineChars="100" w:firstLine="220"/>
        <w:rPr>
          <w:rFonts w:ascii="New York" w:eastAsia="바탕" w:hAnsi="New York"/>
          <w:color w:val="000000" w:themeColor="text1"/>
          <w:sz w:val="20"/>
        </w:rPr>
      </w:pP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6</w:t>
      </w:r>
      <w:r w:rsidRPr="0015183E">
        <w:rPr>
          <w:rFonts w:ascii="Times New Roman" w:hAnsi="Times New Roman"/>
          <w:color w:val="000000" w:themeColor="text1"/>
          <w:sz w:val="22"/>
          <w:szCs w:val="22"/>
        </w:rPr>
        <w:t xml:space="preserve"> examines channel width as an additional geometric parameter for adjusting the nonmonotonic response of the vertically stacked NTC transistor. The widths of the lower and upper channels were increased together from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10 to 20 and 60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was fixed at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and both layers retained the MD CNT network density condition of 1</w:t>
      </w:r>
      <w:r w:rsidRPr="0015183E">
        <w:rPr>
          <w:rFonts w:ascii="Times New Roman" w:hAnsi="Times New Roman" w:hint="eastAsia"/>
          <w:color w:val="000000" w:themeColor="text1"/>
          <w:sz w:val="22"/>
          <w:szCs w:val="22"/>
          <w:lang w:eastAsia="ko-KR"/>
        </w:rPr>
        <w:t>1</w:t>
      </w:r>
      <w:r w:rsidRPr="0015183E">
        <w:rPr>
          <w:rFonts w:ascii="Times New Roman" w:hAnsi="Times New Roman"/>
          <w:color w:val="000000" w:themeColor="text1"/>
          <w:sz w:val="22"/>
          <w:szCs w:val="22"/>
        </w:rPr>
        <w:t>–13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common-gate transfer characteristics were measured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The common gate, dielectric stack and series connection were unchanged.</w:t>
      </w:r>
      <w:r w:rsidRPr="0015183E">
        <w:rPr>
          <w:rFonts w:ascii="New York" w:eastAsia="바탕" w:hAnsi="New York"/>
          <w:color w:val="000000" w:themeColor="text1"/>
          <w:sz w:val="20"/>
        </w:rPr>
        <w:t xml:space="preserve"> </w:t>
      </w:r>
    </w:p>
    <w:p w14:paraId="704E8C07" w14:textId="77777777" w:rsidR="00E81BD2" w:rsidRPr="0015183E" w:rsidRDefault="00E81BD2" w:rsidP="007411B7">
      <w:pPr>
        <w:pStyle w:val="VAFigureCaption"/>
        <w:ind w:firstLineChars="100" w:firstLine="220"/>
        <w:rPr>
          <w:rFonts w:ascii="New York" w:eastAsia="바탕" w:hAnsi="New York"/>
          <w:color w:val="000000" w:themeColor="text1"/>
          <w:sz w:val="20"/>
        </w:rPr>
      </w:pPr>
      <w:r w:rsidRPr="0015183E">
        <w:rPr>
          <w:rFonts w:ascii="Times New Roman" w:hAnsi="Times New Roman"/>
          <w:color w:val="000000" w:themeColor="text1"/>
          <w:sz w:val="22"/>
          <w:szCs w:val="22"/>
        </w:rPr>
        <w:t xml:space="preserve">All three transfer characteristics retain a current valley followed by a current peak and a subsequent reduction in current. Increasing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raises the current magnitude throughout the measured gate-voltage range. However, the relative increase in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is larger than that in the preceding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resulting in a larger PVR. Here, PVR =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follows the definition given in Methods. The width dependence therefore involves a change in the peak-to-valley current contrast rather than a uniform multiplication of the entire transfer curve, which would leave PVR unchanged.</w:t>
      </w:r>
      <w:r w:rsidRPr="0015183E">
        <w:rPr>
          <w:rFonts w:ascii="New York" w:eastAsia="바탕" w:hAnsi="New York"/>
          <w:color w:val="000000" w:themeColor="text1"/>
          <w:sz w:val="20"/>
        </w:rPr>
        <w:t xml:space="preserve"> </w:t>
      </w:r>
    </w:p>
    <w:p w14:paraId="105EC994" w14:textId="77777777" w:rsidR="00E81BD2" w:rsidRPr="0015183E" w:rsidRDefault="00E81BD2" w:rsidP="007411B7">
      <w:pPr>
        <w:pStyle w:val="VAFigureCaption"/>
        <w:ind w:firstLineChars="100" w:firstLine="220"/>
        <w:rPr>
          <w:rFonts w:ascii="New York" w:eastAsia="바탕" w:hAnsi="New York"/>
          <w:color w:val="000000" w:themeColor="text1"/>
          <w:sz w:val="20"/>
        </w:rPr>
      </w:pPr>
      <w:r w:rsidRPr="0015183E">
        <w:rPr>
          <w:rFonts w:ascii="Times New Roman" w:hAnsi="Times New Roman"/>
          <w:color w:val="000000" w:themeColor="text1"/>
          <w:sz w:val="22"/>
          <w:szCs w:val="22"/>
        </w:rPr>
        <w:t xml:space="preserve">The overall current increase is consistent with wider CNT networks containing a larger statistical population of parallel percolation paths. The unequal changes in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indicate that the current enhancement differs between the peak-forming and valley conditions. Thus, the measured width dependence provides a complementary means of adjusting the current level and PVR without changing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the CNT network density condition or the gate-stack parameters.</w:t>
      </w:r>
      <w:r w:rsidRPr="0015183E">
        <w:rPr>
          <w:rFonts w:ascii="New York" w:eastAsia="바탕" w:hAnsi="New York"/>
          <w:color w:val="000000" w:themeColor="text1"/>
          <w:sz w:val="20"/>
        </w:rPr>
        <w:t xml:space="preserve"> </w:t>
      </w:r>
    </w:p>
    <w:p w14:paraId="1F67EEEF" w14:textId="77777777" w:rsidR="00E81BD2" w:rsidRPr="0015183E" w:rsidRDefault="00E81BD2"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Width-dependent modulation of an NTC response has also been reported by Lee et al. in mixed-dimensional CNT/MoS</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transistors [8]. In that study, changing the source-electrode width modified the printed CNT p-channel characteristics and the voltage range of the NTC interval. The width variation was accompanied by changes in the printed CNT network morphology associated with ink confinement [8]. The present comparison instead varies the widths of both constituent channels together while maintaining the same nominal CNT network density condition. The cited study therefore provides a precedent for width-</w:t>
      </w:r>
      <w:r w:rsidRPr="0015183E">
        <w:rPr>
          <w:rFonts w:ascii="Times New Roman" w:hAnsi="Times New Roman"/>
          <w:color w:val="000000" w:themeColor="text1"/>
          <w:sz w:val="22"/>
          <w:szCs w:val="22"/>
        </w:rPr>
        <w:lastRenderedPageBreak/>
        <w:t xml:space="preserve">based control of NTC characteristics, whereas </w:t>
      </w: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6</w:t>
      </w:r>
      <w:r w:rsidRPr="0015183E">
        <w:rPr>
          <w:rFonts w:ascii="Times New Roman" w:hAnsi="Times New Roman"/>
          <w:color w:val="000000" w:themeColor="text1"/>
          <w:sz w:val="22"/>
          <w:szCs w:val="22"/>
        </w:rPr>
        <w:t xml:space="preserve"> shows the corresponding geometric tunability within the single-semiconductor vertically stacked device.</w:t>
      </w:r>
    </w:p>
    <w:p w14:paraId="6BA870C6" w14:textId="7F816882" w:rsidR="0061302D" w:rsidRPr="0015183E" w:rsidRDefault="0061302D" w:rsidP="003711F9">
      <w:pPr>
        <w:pStyle w:val="VAFigureCaption"/>
        <w:spacing w:line="360" w:lineRule="auto"/>
        <w:jc w:val="center"/>
        <w:rPr>
          <w:rFonts w:ascii="Times New Roman" w:eastAsia="바탕" w:hAnsi="Times New Roman"/>
          <w:color w:val="000000" w:themeColor="text1"/>
          <w:sz w:val="22"/>
          <w:szCs w:val="22"/>
          <w:lang w:eastAsia="ko-KR"/>
        </w:rPr>
      </w:pPr>
      <w:r w:rsidRPr="0015183E">
        <w:rPr>
          <w:rFonts w:ascii="Times New Roman" w:eastAsia="바탕" w:hAnsi="Times New Roman"/>
          <w:noProof/>
          <w:color w:val="000000" w:themeColor="text1"/>
          <w:sz w:val="22"/>
          <w:szCs w:val="22"/>
          <w:lang w:eastAsia="ko-KR"/>
        </w:rPr>
        <w:drawing>
          <wp:inline distT="0" distB="0" distL="0" distR="0" wp14:anchorId="2A805F4C" wp14:editId="19D4BAFB">
            <wp:extent cx="2066925" cy="1947863"/>
            <wp:effectExtent l="0" t="0" r="0" b="0"/>
            <wp:docPr id="265920950" name="그림 8">
              <a:extLst xmlns:a="http://schemas.openxmlformats.org/drawingml/2006/main">
                <a:ext uri="{FF2B5EF4-FFF2-40B4-BE49-F238E27FC236}">
                  <a16:creationId xmlns:a16="http://schemas.microsoft.com/office/drawing/2014/main" id="{46AE4B08-5040-8161-788B-70151BF4F6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46AE4B08-5040-8161-788B-70151BF4F641}"/>
                        </a:ext>
                      </a:extLst>
                    </pic:cNvPr>
                    <pic:cNvPicPr>
                      <a:picLocks noChangeAspect="1"/>
                    </pic:cNvPicPr>
                  </pic:nvPicPr>
                  <pic:blipFill>
                    <a:blip r:embed="rId23"/>
                    <a:srcRect l="7342" t="5676" r="8887" b="11166"/>
                    <a:stretch>
                      <a:fillRect/>
                    </a:stretch>
                  </pic:blipFill>
                  <pic:spPr>
                    <a:xfrm>
                      <a:off x="0" y="0"/>
                      <a:ext cx="2066925" cy="1947863"/>
                    </a:xfrm>
                    <a:prstGeom prst="rect">
                      <a:avLst/>
                    </a:prstGeom>
                  </pic:spPr>
                </pic:pic>
              </a:graphicData>
            </a:graphic>
          </wp:inline>
        </w:drawing>
      </w:r>
    </w:p>
    <w:p w14:paraId="37FB58FC" w14:textId="1FB4F70C" w:rsidR="0061302D" w:rsidRPr="0015183E" w:rsidRDefault="0061302D"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Pr="0015183E">
        <w:rPr>
          <w:rStyle w:val="selected"/>
          <w:rFonts w:ascii="Times New Roman" w:hAnsi="Times New Roman" w:hint="eastAsia"/>
          <w:b/>
          <w:color w:val="000000" w:themeColor="text1"/>
          <w:sz w:val="22"/>
          <w:szCs w:val="22"/>
          <w:lang w:eastAsia="ko-KR"/>
        </w:rPr>
        <w:t>6</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 xml:space="preserve">Channel-width-dependent transfer characteristics of the vertically stacked NTC transistor. Measured common-gate transfer characteristics are shown for </w:t>
      </w:r>
      <w:proofErr w:type="spellStart"/>
      <w:r w:rsidRPr="0015183E">
        <w:rPr>
          <w:rFonts w:ascii="Times New Roman" w:eastAsia="바탕" w:hAnsi="Times New Roman"/>
          <w:color w:val="000000" w:themeColor="text1"/>
          <w:sz w:val="22"/>
          <w:szCs w:val="22"/>
          <w:lang w:eastAsia="ko-KR"/>
        </w:rPr>
        <w:t>W</w:t>
      </w:r>
      <w:r w:rsidRPr="0015183E">
        <w:rPr>
          <w:rFonts w:ascii="Times New Roman" w:eastAsia="바탕" w:hAnsi="Times New Roman"/>
          <w:color w:val="000000" w:themeColor="text1"/>
          <w:sz w:val="22"/>
          <w:szCs w:val="22"/>
          <w:vertAlign w:val="subscript"/>
          <w:lang w:eastAsia="ko-KR"/>
        </w:rPr>
        <w:t>ch</w:t>
      </w:r>
      <w:proofErr w:type="spellEnd"/>
      <w:r w:rsidRPr="0015183E">
        <w:rPr>
          <w:rFonts w:ascii="Times New Roman" w:eastAsia="바탕" w:hAnsi="Times New Roman"/>
          <w:color w:val="000000" w:themeColor="text1"/>
          <w:sz w:val="22"/>
          <w:szCs w:val="22"/>
          <w:lang w:eastAsia="ko-KR"/>
        </w:rPr>
        <w:t xml:space="preserve"> = 10, 20 and 60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represented by progressively darker red curves. The widths of the lower and upper channels were varied together while maintaining </w:t>
      </w:r>
      <w:proofErr w:type="spellStart"/>
      <w:r w:rsidRPr="0015183E">
        <w:rPr>
          <w:rFonts w:ascii="Times New Roman" w:eastAsia="바탕" w:hAnsi="Times New Roman"/>
          <w:color w:val="000000" w:themeColor="text1"/>
          <w:sz w:val="22"/>
          <w:szCs w:val="22"/>
          <w:lang w:eastAsia="ko-KR"/>
        </w:rPr>
        <w:t>L</w:t>
      </w:r>
      <w:r w:rsidRPr="0015183E">
        <w:rPr>
          <w:rFonts w:ascii="Times New Roman" w:eastAsia="바탕" w:hAnsi="Times New Roman"/>
          <w:color w:val="000000" w:themeColor="text1"/>
          <w:sz w:val="22"/>
          <w:szCs w:val="22"/>
          <w:vertAlign w:val="subscript"/>
          <w:lang w:eastAsia="ko-KR"/>
        </w:rPr>
        <w:t>ch</w:t>
      </w:r>
      <w:proofErr w:type="spellEnd"/>
      <w:r w:rsidRPr="0015183E">
        <w:rPr>
          <w:rFonts w:ascii="Times New Roman" w:eastAsia="바탕" w:hAnsi="Times New Roman"/>
          <w:color w:val="000000" w:themeColor="text1"/>
          <w:sz w:val="22"/>
          <w:szCs w:val="22"/>
          <w:lang w:eastAsia="ko-KR"/>
        </w:rPr>
        <w:t xml:space="preserve"> = 4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and medium-density (MD) CNT networks of 1</w:t>
      </w:r>
      <w:r w:rsidRPr="0015183E">
        <w:rPr>
          <w:rFonts w:ascii="Times New Roman" w:eastAsia="바탕" w:hAnsi="Times New Roman" w:hint="eastAsia"/>
          <w:color w:val="000000" w:themeColor="text1"/>
          <w:sz w:val="22"/>
          <w:szCs w:val="22"/>
          <w:lang w:eastAsia="ko-KR"/>
        </w:rPr>
        <w:t>1</w:t>
      </w:r>
      <w:r w:rsidRPr="0015183E">
        <w:rPr>
          <w:rFonts w:ascii="Times New Roman" w:eastAsia="바탕" w:hAnsi="Times New Roman"/>
          <w:color w:val="000000" w:themeColor="text1"/>
          <w:sz w:val="22"/>
          <w:szCs w:val="22"/>
          <w:lang w:eastAsia="ko-KR"/>
        </w:rPr>
        <w:t>–13 tubes/</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in both layers. The gate-stack parameters were unchanged. The curves show the drain-current magnitude over </w:t>
      </w:r>
      <w:proofErr w:type="spellStart"/>
      <w:r w:rsidRPr="0015183E">
        <w:rPr>
          <w:rFonts w:ascii="Times New Roman" w:eastAsia="바탕" w:hAnsi="Times New Roman"/>
          <w:color w:val="000000" w:themeColor="text1"/>
          <w:sz w:val="22"/>
          <w:szCs w:val="22"/>
          <w:lang w:eastAsia="ko-KR"/>
        </w:rPr>
        <w:t>V</w:t>
      </w:r>
      <w:r w:rsidRPr="0015183E">
        <w:rPr>
          <w:rFonts w:ascii="Times New Roman" w:eastAsia="바탕" w:hAnsi="Times New Roman"/>
          <w:color w:val="000000" w:themeColor="text1"/>
          <w:sz w:val="22"/>
          <w:szCs w:val="22"/>
          <w:vertAlign w:val="subscript"/>
          <w:lang w:eastAsia="ko-KR"/>
        </w:rPr>
        <w:t>Common</w:t>
      </w:r>
      <w:proofErr w:type="spellEnd"/>
      <w:r w:rsidRPr="0015183E">
        <w:rPr>
          <w:rFonts w:ascii="Times New Roman" w:eastAsia="바탕" w:hAnsi="Times New Roman"/>
          <w:color w:val="000000" w:themeColor="text1"/>
          <w:sz w:val="22"/>
          <w:szCs w:val="22"/>
          <w:vertAlign w:val="subscript"/>
          <w:lang w:eastAsia="ko-KR"/>
        </w:rPr>
        <w:t>-gate</w:t>
      </w:r>
      <w:r w:rsidRPr="0015183E">
        <w:rPr>
          <w:rFonts w:ascii="Times New Roman" w:eastAsia="바탕" w:hAnsi="Times New Roman"/>
          <w:color w:val="000000" w:themeColor="text1"/>
          <w:sz w:val="22"/>
          <w:szCs w:val="22"/>
          <w:lang w:eastAsia="ko-KR"/>
        </w:rPr>
        <w:t xml:space="preserve"> = –3 to 3 V.</w:t>
      </w:r>
      <w:r w:rsidRPr="0015183E">
        <w:rPr>
          <w:rFonts w:ascii="New York" w:eastAsia="바탕" w:hAnsi="New York"/>
          <w:color w:val="000000" w:themeColor="text1"/>
          <w:sz w:val="20"/>
        </w:rPr>
        <w:t xml:space="preserve"> </w:t>
      </w:r>
      <w:r w:rsidRPr="0015183E">
        <w:rPr>
          <w:rFonts w:ascii="Times New Roman" w:eastAsia="바탕" w:hAnsi="Times New Roman"/>
          <w:color w:val="000000" w:themeColor="text1"/>
          <w:sz w:val="22"/>
          <w:szCs w:val="22"/>
          <w:lang w:eastAsia="ko-KR"/>
        </w:rPr>
        <w:t>Measurements were performed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w:t>
      </w:r>
    </w:p>
    <w:p w14:paraId="40919B88" w14:textId="77777777" w:rsidR="0061302D" w:rsidRPr="0015183E" w:rsidRDefault="0061302D" w:rsidP="003711F9">
      <w:pPr>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br w:type="page"/>
      </w:r>
    </w:p>
    <w:p w14:paraId="496EAFFD" w14:textId="77777777" w:rsidR="00E81BD2" w:rsidRPr="0015183E" w:rsidRDefault="00E81BD2" w:rsidP="00986E60">
      <w:pPr>
        <w:pStyle w:val="VAFigureCaption"/>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lastRenderedPageBreak/>
        <w:t>Density-dependent morphology of the upper-layer CNT networks</w:t>
      </w:r>
    </w:p>
    <w:p w14:paraId="2B5338DD" w14:textId="77777777" w:rsidR="00D67BDB" w:rsidRPr="0015183E" w:rsidRDefault="00E81BD2" w:rsidP="00D67BDB">
      <w:pPr>
        <w:pStyle w:val="VAFigureCaption"/>
        <w:ind w:firstLineChars="100" w:firstLine="216"/>
        <w:rPr>
          <w:rFonts w:ascii="Times New Roman" w:eastAsia="바탕" w:hAnsi="Times New Roman"/>
          <w:color w:val="000000" w:themeColor="text1"/>
          <w:sz w:val="22"/>
          <w:szCs w:val="22"/>
        </w:rPr>
      </w:pPr>
      <w:r w:rsidRPr="0015183E">
        <w:rPr>
          <w:rFonts w:ascii="Times New Roman" w:eastAsia="바탕" w:hAnsi="Times New Roman"/>
          <w:b/>
          <w:bCs/>
          <w:color w:val="000000" w:themeColor="text1"/>
          <w:sz w:val="22"/>
          <w:szCs w:val="22"/>
        </w:rPr>
        <w:t xml:space="preserve">Supplementary Fig. </w:t>
      </w:r>
      <w:r w:rsidRPr="0015183E">
        <w:rPr>
          <w:rFonts w:ascii="Times New Roman" w:eastAsia="바탕" w:hAnsi="Times New Roman"/>
          <w:b/>
          <w:bCs/>
          <w:color w:val="000000" w:themeColor="text1"/>
          <w:sz w:val="22"/>
          <w:szCs w:val="22"/>
          <w:lang w:eastAsia="ko-KR"/>
        </w:rPr>
        <w:t>7</w:t>
      </w:r>
      <w:r w:rsidRPr="0015183E">
        <w:rPr>
          <w:rFonts w:ascii="Times New Roman" w:eastAsia="바탕" w:hAnsi="Times New Roman"/>
          <w:color w:val="000000" w:themeColor="text1"/>
          <w:sz w:val="22"/>
          <w:szCs w:val="22"/>
        </w:rPr>
        <w:t xml:space="preserve"> compares the upper-layer CNT networks used for the LD, MD and HD conditions. As </w:t>
      </w:r>
      <w:proofErr w:type="spellStart"/>
      <w:r w:rsidRPr="0015183E">
        <w:rPr>
          <w:rFonts w:ascii="Times New Roman" w:eastAsia="바탕" w:hAnsi="Times New Roman"/>
          <w:color w:val="000000" w:themeColor="text1"/>
          <w:sz w:val="22"/>
          <w:szCs w:val="22"/>
        </w:rPr>
        <w:t>ρ</w:t>
      </w:r>
      <w:r w:rsidRPr="0015183E">
        <w:rPr>
          <w:rFonts w:ascii="Times New Roman" w:eastAsia="바탕" w:hAnsi="Times New Roman"/>
          <w:color w:val="000000" w:themeColor="text1"/>
          <w:sz w:val="22"/>
          <w:szCs w:val="22"/>
          <w:vertAlign w:val="subscript"/>
        </w:rPr>
        <w:t>CNT</w:t>
      </w:r>
      <w:proofErr w:type="spellEnd"/>
      <w:r w:rsidRPr="0015183E">
        <w:rPr>
          <w:rFonts w:ascii="Times New Roman" w:eastAsia="바탕" w:hAnsi="Times New Roman"/>
          <w:color w:val="000000" w:themeColor="text1"/>
          <w:sz w:val="22"/>
          <w:szCs w:val="22"/>
        </w:rPr>
        <w:t xml:space="preserve"> increases from 5–7 to 18–20 tubes/</w:t>
      </w:r>
      <w:proofErr w:type="spellStart"/>
      <w:r w:rsidRPr="0015183E">
        <w:rPr>
          <w:rFonts w:ascii="Times New Roman" w:eastAsia="바탕" w:hAnsi="Times New Roman"/>
          <w:color w:val="000000" w:themeColor="text1"/>
          <w:sz w:val="22"/>
          <w:szCs w:val="22"/>
        </w:rPr>
        <w:t>μm</w:t>
      </w:r>
      <w:proofErr w:type="spellEnd"/>
      <w:r w:rsidRPr="0015183E">
        <w:rPr>
          <w:rFonts w:ascii="Times New Roman" w:eastAsia="바탕" w:hAnsi="Times New Roman"/>
          <w:color w:val="000000" w:themeColor="text1"/>
          <w:sz w:val="22"/>
          <w:szCs w:val="22"/>
        </w:rPr>
        <w:t>, the AFM images show progressively denser nanotube coverage, consistent with the intended variation in CNT network density. The corresponding height profiles further reflect the increasing frequency of CNT-related surface features.</w:t>
      </w:r>
    </w:p>
    <w:p w14:paraId="526E372E" w14:textId="32B94795" w:rsidR="0061302D" w:rsidRPr="0015183E" w:rsidRDefault="0061302D" w:rsidP="00D67BDB">
      <w:pPr>
        <w:pStyle w:val="VAFigureCaption"/>
        <w:ind w:firstLineChars="100" w:firstLine="220"/>
        <w:jc w:val="center"/>
        <w:rPr>
          <w:rFonts w:ascii="Times New Roman" w:hAnsi="Times New Roman"/>
          <w:color w:val="000000" w:themeColor="text1"/>
          <w:sz w:val="22"/>
          <w:szCs w:val="22"/>
          <w:lang w:eastAsia="ko-KR"/>
        </w:rPr>
      </w:pPr>
      <w:r w:rsidRPr="0015183E">
        <w:rPr>
          <w:rFonts w:ascii="Times New Roman" w:hAnsi="Times New Roman"/>
          <w:noProof/>
          <w:color w:val="000000" w:themeColor="text1"/>
          <w:sz w:val="22"/>
          <w:szCs w:val="22"/>
        </w:rPr>
        <w:drawing>
          <wp:inline distT="0" distB="0" distL="0" distR="0" wp14:anchorId="0E79E420" wp14:editId="75315605">
            <wp:extent cx="4343400" cy="2157856"/>
            <wp:effectExtent l="0" t="0" r="0" b="0"/>
            <wp:docPr id="6" name="그림 5">
              <a:extLst xmlns:a="http://schemas.openxmlformats.org/drawingml/2006/main">
                <a:ext uri="{FF2B5EF4-FFF2-40B4-BE49-F238E27FC236}">
                  <a16:creationId xmlns:a16="http://schemas.microsoft.com/office/drawing/2014/main" id="{206C5682-F783-F5F9-33D2-2C492BC260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206C5682-F783-F5F9-33D2-2C492BC26042}"/>
                        </a:ext>
                      </a:extLst>
                    </pic:cNvPr>
                    <pic:cNvPicPr>
                      <a:picLocks noChangeAspect="1"/>
                    </pic:cNvPicPr>
                  </pic:nvPicPr>
                  <pic:blipFill>
                    <a:blip r:embed="rId24"/>
                    <a:srcRect l="4286" r="5238" b="1398"/>
                    <a:stretch>
                      <a:fillRect/>
                    </a:stretch>
                  </pic:blipFill>
                  <pic:spPr>
                    <a:xfrm>
                      <a:off x="0" y="0"/>
                      <a:ext cx="4343400" cy="2157856"/>
                    </a:xfrm>
                    <a:prstGeom prst="rect">
                      <a:avLst/>
                    </a:prstGeom>
                  </pic:spPr>
                </pic:pic>
              </a:graphicData>
            </a:graphic>
          </wp:inline>
        </w:drawing>
      </w:r>
    </w:p>
    <w:p w14:paraId="4C2F8E91" w14:textId="34C3C887" w:rsidR="0061302D" w:rsidRPr="0015183E" w:rsidRDefault="0061302D"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Pr="0015183E">
        <w:rPr>
          <w:rStyle w:val="selected"/>
          <w:rFonts w:ascii="Times New Roman" w:hAnsi="Times New Roman" w:hint="eastAsia"/>
          <w:b/>
          <w:color w:val="000000" w:themeColor="text1"/>
          <w:sz w:val="22"/>
          <w:szCs w:val="22"/>
          <w:lang w:eastAsia="ko-KR"/>
        </w:rPr>
        <w:t>7</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00323FAF" w:rsidRPr="0015183E">
        <w:rPr>
          <w:rFonts w:ascii="Times New Roman" w:eastAsia="바탕" w:hAnsi="Times New Roman"/>
          <w:color w:val="000000" w:themeColor="text1"/>
          <w:sz w:val="22"/>
          <w:szCs w:val="22"/>
          <w:lang w:eastAsia="ko-KR"/>
        </w:rPr>
        <w:t>Atomic force microscopy (AFM) characterization of the upper-layer CNT networks with different CNT densities. AFM images of the low-density (LD, 5–7 tubes/</w:t>
      </w:r>
      <w:proofErr w:type="spellStart"/>
      <w:r w:rsidR="00323FAF" w:rsidRPr="0015183E">
        <w:rPr>
          <w:rFonts w:ascii="Times New Roman" w:eastAsia="바탕" w:hAnsi="Times New Roman"/>
          <w:color w:val="000000" w:themeColor="text1"/>
          <w:sz w:val="22"/>
          <w:szCs w:val="22"/>
          <w:lang w:eastAsia="ko-KR"/>
        </w:rPr>
        <w:t>μm</w:t>
      </w:r>
      <w:proofErr w:type="spellEnd"/>
      <w:r w:rsidR="00323FAF" w:rsidRPr="0015183E">
        <w:rPr>
          <w:rFonts w:ascii="Times New Roman" w:eastAsia="바탕" w:hAnsi="Times New Roman"/>
          <w:color w:val="000000" w:themeColor="text1"/>
          <w:sz w:val="22"/>
          <w:szCs w:val="22"/>
          <w:lang w:eastAsia="ko-KR"/>
        </w:rPr>
        <w:t>), medium-density (MD, 11–13 tubes/</w:t>
      </w:r>
      <w:proofErr w:type="spellStart"/>
      <w:r w:rsidR="00323FAF" w:rsidRPr="0015183E">
        <w:rPr>
          <w:rFonts w:ascii="Times New Roman" w:eastAsia="바탕" w:hAnsi="Times New Roman"/>
          <w:color w:val="000000" w:themeColor="text1"/>
          <w:sz w:val="22"/>
          <w:szCs w:val="22"/>
          <w:lang w:eastAsia="ko-KR"/>
        </w:rPr>
        <w:t>μm</w:t>
      </w:r>
      <w:proofErr w:type="spellEnd"/>
      <w:r w:rsidR="00323FAF" w:rsidRPr="0015183E">
        <w:rPr>
          <w:rFonts w:ascii="Times New Roman" w:eastAsia="바탕" w:hAnsi="Times New Roman"/>
          <w:color w:val="000000" w:themeColor="text1"/>
          <w:sz w:val="22"/>
          <w:szCs w:val="22"/>
          <w:lang w:eastAsia="ko-KR"/>
        </w:rPr>
        <w:t>) and high-density (HD, 18–20 tubes/</w:t>
      </w:r>
      <w:proofErr w:type="spellStart"/>
      <w:r w:rsidR="00323FAF" w:rsidRPr="0015183E">
        <w:rPr>
          <w:rFonts w:ascii="Times New Roman" w:eastAsia="바탕" w:hAnsi="Times New Roman"/>
          <w:color w:val="000000" w:themeColor="text1"/>
          <w:sz w:val="22"/>
          <w:szCs w:val="22"/>
          <w:lang w:eastAsia="ko-KR"/>
        </w:rPr>
        <w:t>μm</w:t>
      </w:r>
      <w:proofErr w:type="spellEnd"/>
      <w:r w:rsidR="00323FAF" w:rsidRPr="0015183E">
        <w:rPr>
          <w:rFonts w:ascii="Times New Roman" w:eastAsia="바탕" w:hAnsi="Times New Roman"/>
          <w:color w:val="000000" w:themeColor="text1"/>
          <w:sz w:val="22"/>
          <w:szCs w:val="22"/>
          <w:lang w:eastAsia="ko-KR"/>
        </w:rPr>
        <w:t xml:space="preserve">) CNT networks are shown from left to right. The corresponding height profiles extracted along the indicated regions are shown below each AFM image. Scale bars, 1 </w:t>
      </w:r>
      <w:proofErr w:type="spellStart"/>
      <w:r w:rsidR="00323FAF" w:rsidRPr="0015183E">
        <w:rPr>
          <w:rFonts w:ascii="Times New Roman" w:eastAsia="바탕" w:hAnsi="Times New Roman"/>
          <w:color w:val="000000" w:themeColor="text1"/>
          <w:sz w:val="22"/>
          <w:szCs w:val="22"/>
          <w:lang w:eastAsia="ko-KR"/>
        </w:rPr>
        <w:t>μm</w:t>
      </w:r>
      <w:proofErr w:type="spellEnd"/>
      <w:r w:rsidR="00323FAF" w:rsidRPr="0015183E">
        <w:rPr>
          <w:rFonts w:ascii="Times New Roman" w:eastAsia="바탕" w:hAnsi="Times New Roman"/>
          <w:color w:val="000000" w:themeColor="text1"/>
          <w:sz w:val="22"/>
          <w:szCs w:val="22"/>
          <w:lang w:eastAsia="ko-KR"/>
        </w:rPr>
        <w:t>.</w:t>
      </w:r>
    </w:p>
    <w:p w14:paraId="72E217C0" w14:textId="591F317A" w:rsidR="003616EC" w:rsidRPr="0015183E" w:rsidRDefault="0061302D" w:rsidP="00986E60">
      <w:pPr>
        <w:pStyle w:val="VAFigureCaption"/>
        <w:rPr>
          <w:rFonts w:ascii="Times New Roman" w:hAnsi="Times New Roman"/>
          <w:b/>
          <w:bCs/>
          <w:color w:val="000000" w:themeColor="text1"/>
          <w:sz w:val="22"/>
          <w:szCs w:val="22"/>
          <w:lang w:eastAsia="ko-KR"/>
        </w:rPr>
      </w:pPr>
      <w:r w:rsidRPr="0015183E">
        <w:rPr>
          <w:rFonts w:ascii="Times New Roman" w:eastAsia="바탕" w:hAnsi="Times New Roman"/>
          <w:color w:val="000000" w:themeColor="text1"/>
          <w:sz w:val="22"/>
          <w:szCs w:val="22"/>
          <w:lang w:eastAsia="ko-KR"/>
        </w:rPr>
        <w:br w:type="page"/>
      </w:r>
      <w:r w:rsidR="003616EC" w:rsidRPr="0015183E">
        <w:rPr>
          <w:rFonts w:ascii="Times New Roman" w:hAnsi="Times New Roman"/>
          <w:b/>
          <w:bCs/>
          <w:color w:val="000000" w:themeColor="text1"/>
          <w:sz w:val="22"/>
          <w:szCs w:val="22"/>
        </w:rPr>
        <w:lastRenderedPageBreak/>
        <w:t>Density-dependent shift of the upper-layer threshold voltage</w:t>
      </w:r>
    </w:p>
    <w:p w14:paraId="66B620CD" w14:textId="77777777"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8</w:t>
      </w:r>
      <w:r w:rsidRPr="0015183E">
        <w:rPr>
          <w:rFonts w:ascii="Times New Roman" w:hAnsi="Times New Roman"/>
          <w:color w:val="000000" w:themeColor="text1"/>
          <w:sz w:val="22"/>
          <w:szCs w:val="22"/>
        </w:rPr>
        <w:t xml:space="preserve"> quantifies the density-dependent shift of the upper-layer p-type transfer characteristic shown in </w:t>
      </w:r>
      <w:r w:rsidRPr="0015183E">
        <w:rPr>
          <w:rFonts w:ascii="Times New Roman" w:hAnsi="Times New Roman"/>
          <w:b/>
          <w:bCs/>
          <w:color w:val="000000" w:themeColor="text1"/>
          <w:sz w:val="22"/>
          <w:szCs w:val="22"/>
        </w:rPr>
        <w:t>Fig. 4</w:t>
      </w:r>
      <w:r w:rsidRPr="0015183E">
        <w:rPr>
          <w:rFonts w:ascii="Times New Roman" w:hAnsi="Times New Roman"/>
          <w:b/>
          <w:bCs/>
          <w:color w:val="000000" w:themeColor="text1"/>
          <w:sz w:val="22"/>
          <w:szCs w:val="22"/>
          <w:lang w:eastAsia="ko-KR"/>
        </w:rPr>
        <w:t>b</w:t>
      </w:r>
      <w:r w:rsidRPr="0015183E">
        <w:rPr>
          <w:rFonts w:ascii="Times New Roman" w:hAnsi="Times New Roman"/>
          <w:color w:val="000000" w:themeColor="text1"/>
          <w:sz w:val="22"/>
          <w:szCs w:val="22"/>
        </w:rPr>
        <w:t xml:space="preserve">. The upper-layer transistor was measured independently within each vertically stacked device. Upper-layer </w:t>
      </w:r>
      <w:proofErr w:type="spellStart"/>
      <w:r w:rsidRPr="0015183E">
        <w:rPr>
          <w:rFonts w:ascii="Calibri" w:eastAsia="바탕" w:hAnsi="Calibri" w:cs="Calibri"/>
          <w:color w:val="000000" w:themeColor="text1"/>
          <w:sz w:val="22"/>
          <w:szCs w:val="22"/>
          <w:lang w:eastAsia="ko-KR"/>
        </w:rPr>
        <w:t>ρ</w:t>
      </w:r>
      <w:r w:rsidRPr="0015183E">
        <w:rPr>
          <w:rFonts w:ascii="Times New Roman" w:eastAsia="바탕" w:hAnsi="Times New Roman" w:hint="eastAsia"/>
          <w:color w:val="000000" w:themeColor="text1"/>
          <w:sz w:val="22"/>
          <w:szCs w:val="22"/>
          <w:vertAlign w:val="subscript"/>
          <w:lang w:eastAsia="ko-KR"/>
        </w:rPr>
        <w:t>CNT</w:t>
      </w:r>
      <w:proofErr w:type="spellEnd"/>
      <w:r w:rsidRPr="0015183E">
        <w:rPr>
          <w:rFonts w:ascii="Times New Roman" w:hAnsi="Times New Roman"/>
          <w:color w:val="000000" w:themeColor="text1"/>
          <w:sz w:val="22"/>
          <w:szCs w:val="22"/>
        </w:rPr>
        <w:t xml:space="preserve"> was varied among the LD, MD and HD conditions while maintaining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lower-layer CNT network density was maintained at 1</w:t>
      </w:r>
      <w:r w:rsidRPr="0015183E">
        <w:rPr>
          <w:rFonts w:ascii="Times New Roman" w:hAnsi="Times New Roman" w:hint="eastAsia"/>
          <w:color w:val="000000" w:themeColor="text1"/>
          <w:sz w:val="22"/>
          <w:szCs w:val="22"/>
          <w:lang w:eastAsia="ko-KR"/>
        </w:rPr>
        <w:t>1</w:t>
      </w:r>
      <w:r w:rsidRPr="0015183E">
        <w:rPr>
          <w:rFonts w:ascii="Times New Roman" w:hAnsi="Times New Roman"/>
          <w:color w:val="000000" w:themeColor="text1"/>
          <w:sz w:val="22"/>
          <w:szCs w:val="22"/>
        </w:rPr>
        <w:t>–13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and the lower-layer fabrication conditions were unchanged.</w:t>
      </w:r>
    </w:p>
    <w:p w14:paraId="741542A5" w14:textId="3C803A0D"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was extracted using CCM from the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Bottom</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sweep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It was defined as the gate voltage at which the hole-current magnitude reached |I</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 10</w:t>
      </w:r>
      <w:r w:rsidRPr="0015183E">
        <w:rPr>
          <w:rFonts w:ascii="Times New Roman" w:hAnsi="Times New Roman"/>
          <w:color w:val="000000" w:themeColor="text1"/>
          <w:sz w:val="22"/>
          <w:szCs w:val="22"/>
          <w:vertAlign w:val="superscript"/>
        </w:rPr>
        <w:t>–9</w:t>
      </w:r>
      <w:r w:rsidRPr="0015183E">
        <w:rPr>
          <w:rFonts w:ascii="Times New Roman" w:hAnsi="Times New Roman"/>
          <w:color w:val="000000" w:themeColor="text1"/>
          <w:sz w:val="22"/>
          <w:szCs w:val="22"/>
        </w:rPr>
        <w:t xml:space="preserve"> A, with the same current criterion applied to all three density conditions. The extracted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shifts from –1.00 V for LD to –0.76 V for MD and 0.29 V for HD, quantifying the systematic movement of the p-type transition toward more positive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Bottom</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The positive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under the HD condition still describes the upper-layer p-type response rather than a change in carrier polarity.</w:t>
      </w:r>
      <w:r w:rsidR="00BE4595" w:rsidRPr="0015183E">
        <w:rPr>
          <w:rFonts w:ascii="Times New Roman" w:hAnsi="Times New Roman" w:hint="eastAsia"/>
          <w:color w:val="000000" w:themeColor="text1"/>
          <w:sz w:val="22"/>
          <w:szCs w:val="22"/>
          <w:lang w:eastAsia="ko-KR"/>
        </w:rPr>
        <w:t xml:space="preserve"> </w:t>
      </w:r>
      <w:r w:rsidR="00BE4595" w:rsidRPr="0015183E">
        <w:rPr>
          <w:rFonts w:ascii="Times New Roman" w:hAnsi="Times New Roman"/>
          <w:color w:val="000000" w:themeColor="text1"/>
          <w:sz w:val="22"/>
          <w:szCs w:val="22"/>
          <w:lang w:eastAsia="ko-KR"/>
        </w:rPr>
        <w:t xml:space="preserve">Because increasing </w:t>
      </w:r>
      <w:proofErr w:type="spellStart"/>
      <w:r w:rsidR="00BE4595" w:rsidRPr="0015183E">
        <w:rPr>
          <w:rFonts w:ascii="Times New Roman" w:hAnsi="Times New Roman"/>
          <w:color w:val="000000" w:themeColor="text1"/>
          <w:sz w:val="22"/>
          <w:szCs w:val="22"/>
          <w:lang w:eastAsia="ko-KR"/>
        </w:rPr>
        <w:t>ρ</w:t>
      </w:r>
      <w:r w:rsidR="00BE4595" w:rsidRPr="0015183E">
        <w:rPr>
          <w:rFonts w:ascii="Times New Roman" w:hAnsi="Times New Roman"/>
          <w:color w:val="000000" w:themeColor="text1"/>
          <w:sz w:val="22"/>
          <w:szCs w:val="22"/>
          <w:vertAlign w:val="subscript"/>
          <w:lang w:eastAsia="ko-KR"/>
        </w:rPr>
        <w:t>CNT</w:t>
      </w:r>
      <w:proofErr w:type="spellEnd"/>
      <w:r w:rsidR="00BE4595" w:rsidRPr="0015183E">
        <w:rPr>
          <w:rFonts w:ascii="Times New Roman" w:hAnsi="Times New Roman"/>
          <w:color w:val="000000" w:themeColor="text1"/>
          <w:sz w:val="22"/>
          <w:szCs w:val="22"/>
          <w:lang w:eastAsia="ko-KR"/>
        </w:rPr>
        <w:t xml:space="preserve"> raises the hole-current magnitude, the positive shift of the fixed-current V</w:t>
      </w:r>
      <w:r w:rsidR="00BE4595" w:rsidRPr="0015183E">
        <w:rPr>
          <w:rFonts w:ascii="Times New Roman" w:hAnsi="Times New Roman"/>
          <w:color w:val="000000" w:themeColor="text1"/>
          <w:sz w:val="22"/>
          <w:szCs w:val="22"/>
          <w:vertAlign w:val="subscript"/>
          <w:lang w:eastAsia="ko-KR"/>
        </w:rPr>
        <w:t>T</w:t>
      </w:r>
      <w:r w:rsidR="00BE4595" w:rsidRPr="0015183E">
        <w:rPr>
          <w:rFonts w:ascii="Times New Roman" w:hAnsi="Times New Roman"/>
          <w:color w:val="000000" w:themeColor="text1"/>
          <w:sz w:val="22"/>
          <w:szCs w:val="22"/>
          <w:lang w:eastAsia="ko-KR"/>
        </w:rPr>
        <w:t xml:space="preserve"> also reflects the more positive </w:t>
      </w:r>
      <w:proofErr w:type="spellStart"/>
      <w:r w:rsidR="00BE4595" w:rsidRPr="0015183E">
        <w:rPr>
          <w:rFonts w:ascii="Times New Roman" w:hAnsi="Times New Roman"/>
          <w:color w:val="000000" w:themeColor="text1"/>
          <w:sz w:val="22"/>
          <w:szCs w:val="22"/>
          <w:lang w:eastAsia="ko-KR"/>
        </w:rPr>
        <w:t>V</w:t>
      </w:r>
      <w:r w:rsidR="00BE4595" w:rsidRPr="0015183E">
        <w:rPr>
          <w:rFonts w:ascii="Times New Roman" w:hAnsi="Times New Roman"/>
          <w:color w:val="000000" w:themeColor="text1"/>
          <w:sz w:val="22"/>
          <w:szCs w:val="22"/>
          <w:vertAlign w:val="subscript"/>
          <w:lang w:eastAsia="ko-KR"/>
        </w:rPr>
        <w:t>Bottom</w:t>
      </w:r>
      <w:proofErr w:type="spellEnd"/>
      <w:r w:rsidR="00BE4595" w:rsidRPr="0015183E">
        <w:rPr>
          <w:rFonts w:ascii="Times New Roman" w:hAnsi="Times New Roman"/>
          <w:color w:val="000000" w:themeColor="text1"/>
          <w:sz w:val="22"/>
          <w:szCs w:val="22"/>
          <w:vertAlign w:val="subscript"/>
          <w:lang w:eastAsia="ko-KR"/>
        </w:rPr>
        <w:t>-gate</w:t>
      </w:r>
      <w:r w:rsidR="00BE4595" w:rsidRPr="0015183E">
        <w:rPr>
          <w:rFonts w:ascii="Times New Roman" w:hAnsi="Times New Roman"/>
          <w:color w:val="000000" w:themeColor="text1"/>
          <w:sz w:val="22"/>
          <w:szCs w:val="22"/>
          <w:lang w:eastAsia="ko-KR"/>
        </w:rPr>
        <w:t xml:space="preserve"> required to suppress the current to the same CCM criterion.</w:t>
      </w:r>
    </w:p>
    <w:p w14:paraId="6EAA9C8A" w14:textId="40BD98B3"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This positive shift is consistent with hole conduction in the upper channel persisting to a higher gate voltage. During a common-gate sweep, the upper channel can therefore retain appreciable hole conduction while the lower channel enters its rising electron branch. The extracted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trend supports the interpretation that increasing upper-layer</w:t>
      </w:r>
      <w:r w:rsidRPr="0015183E">
        <w:rPr>
          <w:rFonts w:ascii="Times New Roman" w:hAnsi="Times New Roman" w:hint="eastAsia"/>
          <w:color w:val="000000" w:themeColor="text1"/>
          <w:sz w:val="22"/>
          <w:szCs w:val="22"/>
          <w:lang w:eastAsia="ko-KR"/>
        </w:rPr>
        <w:t xml:space="preserve"> </w:t>
      </w:r>
      <w:proofErr w:type="spellStart"/>
      <w:r w:rsidRPr="0015183E">
        <w:rPr>
          <w:rFonts w:ascii="Calibri" w:eastAsia="바탕" w:hAnsi="Calibri" w:cs="Calibri"/>
          <w:color w:val="000000" w:themeColor="text1"/>
          <w:sz w:val="22"/>
          <w:szCs w:val="22"/>
          <w:lang w:eastAsia="ko-KR"/>
        </w:rPr>
        <w:t>ρ</w:t>
      </w:r>
      <w:r w:rsidRPr="0015183E">
        <w:rPr>
          <w:rFonts w:ascii="Times New Roman" w:eastAsia="바탕" w:hAnsi="Times New Roman" w:hint="eastAsia"/>
          <w:color w:val="000000" w:themeColor="text1"/>
          <w:sz w:val="22"/>
          <w:szCs w:val="22"/>
          <w:vertAlign w:val="subscript"/>
          <w:lang w:eastAsia="ko-KR"/>
        </w:rPr>
        <w:t>CNT</w:t>
      </w:r>
      <w:proofErr w:type="spellEnd"/>
      <w:r w:rsidRPr="0015183E">
        <w:rPr>
          <w:rFonts w:ascii="Times New Roman" w:hAnsi="Times New Roman"/>
          <w:color w:val="000000" w:themeColor="text1"/>
          <w:sz w:val="22"/>
          <w:szCs w:val="22"/>
        </w:rPr>
        <w:t xml:space="preserve"> adjusts the relative alignment of the constituent-channel responses, contributing to the increase in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relative to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and the larger PVR </w:t>
      </w:r>
      <w:r w:rsidR="00BE4595" w:rsidRPr="0015183E">
        <w:rPr>
          <w:rFonts w:ascii="Times New Roman" w:hAnsi="Times New Roman"/>
          <w:color w:val="000000" w:themeColor="text1"/>
          <w:sz w:val="22"/>
          <w:szCs w:val="22"/>
        </w:rPr>
        <w:t>extracted from the transfer characteristics in</w:t>
      </w:r>
      <w:r w:rsidR="00BE4595" w:rsidRPr="0015183E">
        <w:rPr>
          <w:rFonts w:ascii="Times New Roman" w:hAnsi="Times New Roman" w:hint="eastAsia"/>
          <w:color w:val="000000" w:themeColor="text1"/>
          <w:sz w:val="22"/>
          <w:szCs w:val="22"/>
          <w:lang w:eastAsia="ko-KR"/>
        </w:rPr>
        <w:t xml:space="preserve"> </w:t>
      </w:r>
      <w:r w:rsidRPr="0015183E">
        <w:rPr>
          <w:rFonts w:ascii="Times New Roman" w:hAnsi="Times New Roman"/>
          <w:b/>
          <w:bCs/>
          <w:color w:val="000000" w:themeColor="text1"/>
          <w:sz w:val="22"/>
          <w:szCs w:val="22"/>
        </w:rPr>
        <w:t>Fig. 4</w:t>
      </w:r>
      <w:r w:rsidRPr="0015183E">
        <w:rPr>
          <w:rFonts w:ascii="Times New Roman" w:hAnsi="Times New Roman"/>
          <w:b/>
          <w:bCs/>
          <w:color w:val="000000" w:themeColor="text1"/>
          <w:sz w:val="22"/>
          <w:szCs w:val="22"/>
          <w:lang w:eastAsia="ko-KR"/>
        </w:rPr>
        <w:t>c</w:t>
      </w:r>
      <w:r w:rsidRPr="0015183E">
        <w:rPr>
          <w:rFonts w:ascii="Times New Roman" w:hAnsi="Times New Roman"/>
          <w:color w:val="000000" w:themeColor="text1"/>
          <w:sz w:val="22"/>
          <w:szCs w:val="22"/>
        </w:rPr>
        <w:t>.</w:t>
      </w:r>
    </w:p>
    <w:p w14:paraId="61744567" w14:textId="224449DA" w:rsidR="00323FAF" w:rsidRPr="0015183E" w:rsidRDefault="00323FAF" w:rsidP="003711F9">
      <w:pPr>
        <w:pStyle w:val="VAFigureCaption"/>
        <w:rPr>
          <w:rFonts w:ascii="New York" w:eastAsia="바탕" w:hAnsi="New York"/>
          <w:color w:val="000000" w:themeColor="text1"/>
          <w:sz w:val="20"/>
        </w:rPr>
      </w:pPr>
    </w:p>
    <w:p w14:paraId="021387CA" w14:textId="1DCB64BA" w:rsidR="009B58A8" w:rsidRPr="0015183E" w:rsidRDefault="00323FAF" w:rsidP="003711F9">
      <w:pPr>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br w:type="page"/>
      </w:r>
    </w:p>
    <w:p w14:paraId="24B0C5B7" w14:textId="77777777" w:rsidR="009B58A8" w:rsidRPr="0015183E" w:rsidRDefault="009B58A8" w:rsidP="003711F9">
      <w:pPr>
        <w:tabs>
          <w:tab w:val="right" w:leader="dot" w:pos="400"/>
          <w:tab w:val="right" w:leader="dot" w:pos="8000"/>
          <w:tab w:val="right" w:leader="dot" w:pos="10000"/>
          <w:tab w:val="right" w:leader="dot" w:pos="12000"/>
        </w:tabs>
        <w:spacing w:line="480" w:lineRule="auto"/>
        <w:jc w:val="center"/>
        <w:rPr>
          <w:rFonts w:ascii="Times New Roman" w:hAnsi="Times New Roman"/>
          <w:b/>
          <w:bCs/>
          <w:color w:val="000000" w:themeColor="text1"/>
          <w:sz w:val="24"/>
          <w:szCs w:val="24"/>
          <w:lang w:eastAsia="ko-KR"/>
        </w:rPr>
      </w:pPr>
      <w:r w:rsidRPr="0015183E">
        <w:rPr>
          <w:rFonts w:ascii="Times New Roman" w:hAnsi="Times New Roman"/>
          <w:b/>
          <w:bCs/>
          <w:noProof/>
          <w:color w:val="000000" w:themeColor="text1"/>
          <w:sz w:val="24"/>
          <w:szCs w:val="24"/>
          <w:lang w:eastAsia="ko-KR"/>
        </w:rPr>
        <w:lastRenderedPageBreak/>
        <w:drawing>
          <wp:inline distT="0" distB="0" distL="0" distR="0" wp14:anchorId="02B7AD01" wp14:editId="5B74A101">
            <wp:extent cx="2495550" cy="2124074"/>
            <wp:effectExtent l="0" t="0" r="0" b="0"/>
            <wp:docPr id="5" name="그림 4">
              <a:extLst xmlns:a="http://schemas.openxmlformats.org/drawingml/2006/main">
                <a:ext uri="{FF2B5EF4-FFF2-40B4-BE49-F238E27FC236}">
                  <a16:creationId xmlns:a16="http://schemas.microsoft.com/office/drawing/2014/main" id="{67F50A43-FC78-B440-964A-356BB8817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67F50A43-FC78-B440-964A-356BB8817088}"/>
                        </a:ext>
                      </a:extLst>
                    </pic:cNvPr>
                    <pic:cNvPicPr>
                      <a:picLocks noChangeAspect="1"/>
                    </pic:cNvPicPr>
                  </pic:nvPicPr>
                  <pic:blipFill>
                    <a:blip r:embed="rId25"/>
                    <a:srcRect l="9399" t="3206" r="3408" b="6054"/>
                    <a:stretch>
                      <a:fillRect/>
                    </a:stretch>
                  </pic:blipFill>
                  <pic:spPr>
                    <a:xfrm>
                      <a:off x="0" y="0"/>
                      <a:ext cx="2495550" cy="2124074"/>
                    </a:xfrm>
                    <a:prstGeom prst="rect">
                      <a:avLst/>
                    </a:prstGeom>
                  </pic:spPr>
                </pic:pic>
              </a:graphicData>
            </a:graphic>
          </wp:inline>
        </w:drawing>
      </w:r>
    </w:p>
    <w:p w14:paraId="2C9DD5AC" w14:textId="6575F0C9"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0061302D" w:rsidRPr="0015183E">
        <w:rPr>
          <w:rStyle w:val="selected"/>
          <w:rFonts w:ascii="Times New Roman" w:hAnsi="Times New Roman" w:hint="eastAsia"/>
          <w:b/>
          <w:color w:val="000000" w:themeColor="text1"/>
          <w:sz w:val="22"/>
          <w:szCs w:val="22"/>
          <w:lang w:eastAsia="ko-KR"/>
        </w:rPr>
        <w:t>8</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Dependence of the upper-layer threshold voltage on CNT network density</w:t>
      </w:r>
      <w:r w:rsidRPr="0015183E">
        <w:rPr>
          <w:rFonts w:ascii="Times New Roman" w:eastAsia="바탕" w:hAnsi="Times New Roman" w:hint="eastAsia"/>
          <w:color w:val="000000" w:themeColor="text1"/>
          <w:sz w:val="22"/>
          <w:szCs w:val="22"/>
          <w:lang w:eastAsia="ko-KR"/>
        </w:rPr>
        <w:t xml:space="preserve">, </w:t>
      </w:r>
      <w:proofErr w:type="spellStart"/>
      <w:r w:rsidRPr="0015183E">
        <w:rPr>
          <w:rFonts w:ascii="Calibri" w:eastAsia="바탕" w:hAnsi="Calibri" w:cs="Calibri"/>
          <w:color w:val="000000" w:themeColor="text1"/>
          <w:sz w:val="22"/>
          <w:szCs w:val="22"/>
          <w:lang w:eastAsia="ko-KR"/>
        </w:rPr>
        <w:t>ρ</w:t>
      </w:r>
      <w:r w:rsidRPr="0015183E">
        <w:rPr>
          <w:rFonts w:ascii="Times New Roman" w:eastAsia="바탕" w:hAnsi="Times New Roman" w:hint="eastAsia"/>
          <w:color w:val="000000" w:themeColor="text1"/>
          <w:sz w:val="22"/>
          <w:szCs w:val="22"/>
          <w:vertAlign w:val="subscript"/>
          <w:lang w:eastAsia="ko-KR"/>
        </w:rPr>
        <w:t>CNT</w:t>
      </w:r>
      <w:proofErr w:type="spellEnd"/>
      <w:r w:rsidRPr="0015183E">
        <w:rPr>
          <w:rFonts w:ascii="Times New Roman" w:eastAsia="바탕" w:hAnsi="Times New Roman"/>
          <w:color w:val="000000" w:themeColor="text1"/>
          <w:sz w:val="22"/>
          <w:szCs w:val="22"/>
          <w:lang w:eastAsia="ko-KR"/>
        </w:rPr>
        <w:t>. The upper-layer p-type V</w:t>
      </w:r>
      <w:r w:rsidRPr="0015183E">
        <w:rPr>
          <w:rFonts w:ascii="Times New Roman" w:eastAsia="바탕" w:hAnsi="Times New Roman"/>
          <w:color w:val="000000" w:themeColor="text1"/>
          <w:sz w:val="22"/>
          <w:szCs w:val="22"/>
          <w:vertAlign w:val="subscript"/>
          <w:lang w:eastAsia="ko-KR"/>
        </w:rPr>
        <w:t>T</w:t>
      </w:r>
      <w:r w:rsidRPr="0015183E">
        <w:rPr>
          <w:rFonts w:ascii="Times New Roman" w:eastAsia="바탕" w:hAnsi="Times New Roman"/>
          <w:color w:val="000000" w:themeColor="text1"/>
          <w:sz w:val="22"/>
          <w:szCs w:val="22"/>
          <w:lang w:eastAsia="ko-KR"/>
        </w:rPr>
        <w:t xml:space="preserve"> was extracted from the isolated transfer characteristics in Fig. 4</w:t>
      </w:r>
      <w:r w:rsidR="004657C9" w:rsidRPr="0015183E">
        <w:rPr>
          <w:rFonts w:ascii="Times New Roman" w:eastAsia="바탕" w:hAnsi="Times New Roman" w:hint="eastAsia"/>
          <w:color w:val="000000" w:themeColor="text1"/>
          <w:sz w:val="22"/>
          <w:szCs w:val="22"/>
          <w:lang w:eastAsia="ko-KR"/>
        </w:rPr>
        <w:t>b</w:t>
      </w:r>
      <w:r w:rsidRPr="0015183E">
        <w:rPr>
          <w:rFonts w:ascii="Times New Roman" w:eastAsia="바탕" w:hAnsi="Times New Roman"/>
          <w:color w:val="000000" w:themeColor="text1"/>
          <w:sz w:val="22"/>
          <w:szCs w:val="22"/>
          <w:lang w:eastAsia="ko-KR"/>
        </w:rPr>
        <w:t xml:space="preserve"> using the constant-current method (CCM) at |I</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 10</w:t>
      </w:r>
      <w:r w:rsidRPr="0015183E">
        <w:rPr>
          <w:rFonts w:ascii="Times New Roman" w:eastAsia="바탕" w:hAnsi="Times New Roman"/>
          <w:color w:val="000000" w:themeColor="text1"/>
          <w:sz w:val="22"/>
          <w:szCs w:val="22"/>
          <w:vertAlign w:val="superscript"/>
          <w:lang w:eastAsia="ko-KR"/>
        </w:rPr>
        <w:t>–9</w:t>
      </w:r>
      <w:r w:rsidRPr="0015183E">
        <w:rPr>
          <w:rFonts w:ascii="Times New Roman" w:eastAsia="바탕" w:hAnsi="Times New Roman"/>
          <w:color w:val="000000" w:themeColor="text1"/>
          <w:sz w:val="22"/>
          <w:szCs w:val="22"/>
          <w:lang w:eastAsia="ko-KR"/>
        </w:rPr>
        <w:t xml:space="preserve"> A. Measurements were performed by sweeping </w:t>
      </w:r>
      <w:proofErr w:type="spellStart"/>
      <w:r w:rsidRPr="0015183E">
        <w:rPr>
          <w:rFonts w:ascii="Times New Roman" w:eastAsia="바탕" w:hAnsi="Times New Roman"/>
          <w:color w:val="000000" w:themeColor="text1"/>
          <w:sz w:val="22"/>
          <w:szCs w:val="22"/>
          <w:lang w:eastAsia="ko-KR"/>
        </w:rPr>
        <w:t>V</w:t>
      </w:r>
      <w:r w:rsidRPr="0015183E">
        <w:rPr>
          <w:rFonts w:ascii="Times New Roman" w:eastAsia="바탕" w:hAnsi="Times New Roman"/>
          <w:color w:val="000000" w:themeColor="text1"/>
          <w:sz w:val="22"/>
          <w:szCs w:val="22"/>
          <w:vertAlign w:val="subscript"/>
          <w:lang w:eastAsia="ko-KR"/>
        </w:rPr>
        <w:t>Bottom</w:t>
      </w:r>
      <w:proofErr w:type="spellEnd"/>
      <w:r w:rsidRPr="0015183E">
        <w:rPr>
          <w:rFonts w:ascii="Times New Roman" w:eastAsia="바탕" w:hAnsi="Times New Roman"/>
          <w:color w:val="000000" w:themeColor="text1"/>
          <w:sz w:val="22"/>
          <w:szCs w:val="22"/>
          <w:vertAlign w:val="subscript"/>
          <w:lang w:eastAsia="ko-KR"/>
        </w:rPr>
        <w:t>-gate</w:t>
      </w:r>
      <w:r w:rsidRPr="0015183E">
        <w:rPr>
          <w:rFonts w:ascii="Times New Roman" w:eastAsia="바탕" w:hAnsi="Times New Roman"/>
          <w:color w:val="000000" w:themeColor="text1"/>
          <w:sz w:val="22"/>
          <w:szCs w:val="22"/>
          <w:lang w:eastAsia="ko-KR"/>
        </w:rPr>
        <w:t xml:space="preserve">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Low-density (LD), medium-density (MD) and high-density (HD) conditions correspond to upper-layer CNT network densities of </w:t>
      </w:r>
      <w:r w:rsidR="002055A8" w:rsidRPr="0015183E">
        <w:rPr>
          <w:rFonts w:ascii="Times New Roman" w:eastAsia="바탕" w:hAnsi="Times New Roman" w:hint="eastAsia"/>
          <w:color w:val="000000" w:themeColor="text1"/>
          <w:sz w:val="22"/>
          <w:szCs w:val="22"/>
          <w:lang w:eastAsia="ko-KR"/>
        </w:rPr>
        <w:t>5</w:t>
      </w:r>
      <w:r w:rsidRPr="0015183E">
        <w:rPr>
          <w:rFonts w:ascii="Times New Roman" w:eastAsia="바탕" w:hAnsi="Times New Roman"/>
          <w:color w:val="000000" w:themeColor="text1"/>
          <w:sz w:val="22"/>
          <w:szCs w:val="22"/>
          <w:lang w:eastAsia="ko-KR"/>
        </w:rPr>
        <w:t>–</w:t>
      </w:r>
      <w:r w:rsidR="002055A8" w:rsidRPr="0015183E">
        <w:rPr>
          <w:rFonts w:ascii="Times New Roman" w:eastAsia="바탕" w:hAnsi="Times New Roman" w:hint="eastAsia"/>
          <w:color w:val="000000" w:themeColor="text1"/>
          <w:sz w:val="22"/>
          <w:szCs w:val="22"/>
          <w:lang w:eastAsia="ko-KR"/>
        </w:rPr>
        <w:t>7</w:t>
      </w:r>
      <w:r w:rsidRPr="0015183E">
        <w:rPr>
          <w:rFonts w:ascii="Times New Roman" w:eastAsia="바탕" w:hAnsi="Times New Roman"/>
          <w:color w:val="000000" w:themeColor="text1"/>
          <w:sz w:val="22"/>
          <w:szCs w:val="22"/>
          <w:lang w:eastAsia="ko-KR"/>
        </w:rPr>
        <w:t>, 1</w:t>
      </w:r>
      <w:r w:rsidR="002055A8" w:rsidRPr="0015183E">
        <w:rPr>
          <w:rFonts w:ascii="Times New Roman" w:eastAsia="바탕" w:hAnsi="Times New Roman" w:hint="eastAsia"/>
          <w:color w:val="000000" w:themeColor="text1"/>
          <w:sz w:val="22"/>
          <w:szCs w:val="22"/>
          <w:lang w:eastAsia="ko-KR"/>
        </w:rPr>
        <w:t>1</w:t>
      </w:r>
      <w:r w:rsidRPr="0015183E">
        <w:rPr>
          <w:rFonts w:ascii="Times New Roman" w:eastAsia="바탕" w:hAnsi="Times New Roman"/>
          <w:color w:val="000000" w:themeColor="text1"/>
          <w:sz w:val="22"/>
          <w:szCs w:val="22"/>
          <w:lang w:eastAsia="ko-KR"/>
        </w:rPr>
        <w:t>–13 and 1</w:t>
      </w:r>
      <w:r w:rsidR="002055A8" w:rsidRPr="0015183E">
        <w:rPr>
          <w:rFonts w:ascii="Times New Roman" w:eastAsia="바탕" w:hAnsi="Times New Roman" w:hint="eastAsia"/>
          <w:color w:val="000000" w:themeColor="text1"/>
          <w:sz w:val="22"/>
          <w:szCs w:val="22"/>
          <w:lang w:eastAsia="ko-KR"/>
        </w:rPr>
        <w:t>8</w:t>
      </w:r>
      <w:r w:rsidRPr="0015183E">
        <w:rPr>
          <w:rFonts w:ascii="Times New Roman" w:eastAsia="바탕" w:hAnsi="Times New Roman"/>
          <w:color w:val="000000" w:themeColor="text1"/>
          <w:sz w:val="22"/>
          <w:szCs w:val="22"/>
          <w:lang w:eastAsia="ko-KR"/>
        </w:rPr>
        <w:t>–20 tubes/</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respectively. </w:t>
      </w:r>
      <w:proofErr w:type="spellStart"/>
      <w:r w:rsidRPr="0015183E">
        <w:rPr>
          <w:rFonts w:ascii="Times New Roman" w:eastAsia="바탕" w:hAnsi="Times New Roman"/>
          <w:color w:val="000000" w:themeColor="text1"/>
          <w:sz w:val="22"/>
          <w:szCs w:val="22"/>
          <w:lang w:eastAsia="ko-KR"/>
        </w:rPr>
        <w:t>W</w:t>
      </w:r>
      <w:r w:rsidRPr="0015183E">
        <w:rPr>
          <w:rFonts w:ascii="Times New Roman" w:eastAsia="바탕" w:hAnsi="Times New Roman"/>
          <w:color w:val="000000" w:themeColor="text1"/>
          <w:sz w:val="22"/>
          <w:szCs w:val="22"/>
          <w:vertAlign w:val="subscript"/>
          <w:lang w:eastAsia="ko-KR"/>
        </w:rPr>
        <w:t>ch</w:t>
      </w:r>
      <w:proofErr w:type="spellEnd"/>
      <w:r w:rsidRPr="0015183E">
        <w:rPr>
          <w:rFonts w:ascii="Times New Roman" w:eastAsia="바탕" w:hAnsi="Times New Roman"/>
          <w:color w:val="000000" w:themeColor="text1"/>
          <w:sz w:val="22"/>
          <w:szCs w:val="22"/>
          <w:lang w:eastAsia="ko-KR"/>
        </w:rPr>
        <w:t xml:space="preserve"> and </w:t>
      </w:r>
      <w:proofErr w:type="spellStart"/>
      <w:r w:rsidRPr="0015183E">
        <w:rPr>
          <w:rFonts w:ascii="Times New Roman" w:eastAsia="바탕" w:hAnsi="Times New Roman"/>
          <w:color w:val="000000" w:themeColor="text1"/>
          <w:sz w:val="22"/>
          <w:szCs w:val="22"/>
          <w:lang w:eastAsia="ko-KR"/>
        </w:rPr>
        <w:t>L</w:t>
      </w:r>
      <w:r w:rsidRPr="0015183E">
        <w:rPr>
          <w:rFonts w:ascii="Times New Roman" w:eastAsia="바탕" w:hAnsi="Times New Roman"/>
          <w:color w:val="000000" w:themeColor="text1"/>
          <w:sz w:val="22"/>
          <w:szCs w:val="22"/>
          <w:vertAlign w:val="subscript"/>
          <w:lang w:eastAsia="ko-KR"/>
        </w:rPr>
        <w:t>ch</w:t>
      </w:r>
      <w:proofErr w:type="spellEnd"/>
      <w:r w:rsidRPr="0015183E">
        <w:rPr>
          <w:rFonts w:ascii="Times New Roman" w:eastAsia="바탕" w:hAnsi="Times New Roman"/>
          <w:color w:val="000000" w:themeColor="text1"/>
          <w:sz w:val="22"/>
          <w:szCs w:val="22"/>
          <w:lang w:eastAsia="ko-KR"/>
        </w:rPr>
        <w:t xml:space="preserve"> were fixed at 20 and 4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respectively.</w:t>
      </w:r>
    </w:p>
    <w:p w14:paraId="3E1AF94E" w14:textId="77777777" w:rsidR="009B58A8" w:rsidRPr="0015183E" w:rsidRDefault="009B58A8" w:rsidP="003711F9">
      <w:pPr>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br w:type="page"/>
      </w:r>
    </w:p>
    <w:p w14:paraId="456CE839" w14:textId="6DC0C91E" w:rsidR="0007714D" w:rsidRPr="0015183E" w:rsidRDefault="0007714D" w:rsidP="00986E60">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Device-to-device reproducibility of the peak-to-valley current contrast</w:t>
      </w:r>
    </w:p>
    <w:p w14:paraId="6F6F48CC" w14:textId="77777777" w:rsidR="0007714D" w:rsidRPr="0015183E" w:rsidRDefault="0007714D" w:rsidP="0007714D">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9</w:t>
      </w:r>
      <w:r w:rsidRPr="0015183E">
        <w:rPr>
          <w:rFonts w:ascii="Times New Roman" w:hAnsi="Times New Roman"/>
          <w:color w:val="000000" w:themeColor="text1"/>
          <w:sz w:val="22"/>
          <w:szCs w:val="22"/>
        </w:rPr>
        <w:t xml:space="preserve"> examines the distribution of the measured NTC response in the HD and MD device conditions. Both constituent channels had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lower-layer CNT network density was maintained at 11–13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while the upper-layer density was 11–13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for MD and 18–20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for HD. Each density and integration-setting dataset contains 30 device records. The common-gate transfer characteristics were measured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over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Common</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 −3 to +3 V using 0.05 V steps and integration settings of 1 and 5 power-line cycles (PLC). All records in each dataset were included in the analysis without selection by PVR rank.</w:t>
      </w:r>
    </w:p>
    <w:p w14:paraId="1B489DC4" w14:textId="77777777" w:rsidR="0007714D" w:rsidRPr="0015183E" w:rsidRDefault="0007714D" w:rsidP="0007714D">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 same peak/pre-rise extraction described in Methods was applied throughout.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was determined from three raw current-magnitude readings around the central local maximum, and the operational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was calculated from five raw readings in the curve-relative pre-rise window. The resulting PVR values and central peak voltages are shown against the original device indices. Statistics were calculated separately for each density and PLC setting rather than pooling repeated-setting records as additional independent devices.</w:t>
      </w:r>
    </w:p>
    <w:p w14:paraId="17F0653C" w14:textId="29A36868" w:rsidR="0007714D" w:rsidRPr="0015183E" w:rsidRDefault="0007714D" w:rsidP="0007714D">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 HD median PVR is 6.42 × 10</w:t>
      </w:r>
      <w:r w:rsidRPr="0015183E">
        <w:rPr>
          <w:rFonts w:ascii="Times New Roman" w:hAnsi="Times New Roman"/>
          <w:color w:val="000000" w:themeColor="text1"/>
          <w:sz w:val="22"/>
          <w:szCs w:val="22"/>
          <w:vertAlign w:val="superscript"/>
        </w:rPr>
        <w:t>3</w:t>
      </w:r>
      <w:r w:rsidRPr="0015183E">
        <w:rPr>
          <w:rFonts w:ascii="Times New Roman" w:hAnsi="Times New Roman"/>
          <w:color w:val="000000" w:themeColor="text1"/>
          <w:sz w:val="22"/>
          <w:szCs w:val="22"/>
        </w:rPr>
        <w:t xml:space="preserve"> at PLC = 1 and 5.95 × 10</w:t>
      </w:r>
      <w:r w:rsidRPr="0015183E">
        <w:rPr>
          <w:rFonts w:ascii="Times New Roman" w:hAnsi="Times New Roman"/>
          <w:color w:val="000000" w:themeColor="text1"/>
          <w:sz w:val="22"/>
          <w:szCs w:val="22"/>
          <w:vertAlign w:val="superscript"/>
        </w:rPr>
        <w:t>3</w:t>
      </w:r>
      <w:r w:rsidRPr="0015183E">
        <w:rPr>
          <w:rFonts w:ascii="Times New Roman" w:hAnsi="Times New Roman"/>
          <w:color w:val="000000" w:themeColor="text1"/>
          <w:sz w:val="22"/>
          <w:szCs w:val="22"/>
        </w:rPr>
        <w:t xml:space="preserve"> at PLC = 5, compared with 4.16 × 10</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and 4.94 × 10</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for MD, respectively. The full distributions are summarized in </w:t>
      </w:r>
      <w:r w:rsidRPr="0015183E">
        <w:rPr>
          <w:rFonts w:ascii="Times New Roman" w:hAnsi="Times New Roman"/>
          <w:b/>
          <w:bCs/>
          <w:color w:val="000000" w:themeColor="text1"/>
          <w:sz w:val="22"/>
          <w:szCs w:val="22"/>
        </w:rPr>
        <w:t>Supplementary Table 3</w:t>
      </w:r>
      <w:r w:rsidRPr="0015183E">
        <w:rPr>
          <w:rFonts w:ascii="Times New Roman" w:hAnsi="Times New Roman"/>
          <w:color w:val="000000" w:themeColor="text1"/>
          <w:sz w:val="22"/>
          <w:szCs w:val="22"/>
        </w:rPr>
        <w:t xml:space="preserve">. These results show that large current contrast persists across the </w:t>
      </w:r>
      <w:proofErr w:type="spellStart"/>
      <w:r w:rsidRPr="0015183E">
        <w:rPr>
          <w:rFonts w:ascii="Times New Roman" w:hAnsi="Times New Roman"/>
          <w:color w:val="000000" w:themeColor="text1"/>
          <w:sz w:val="22"/>
          <w:szCs w:val="22"/>
        </w:rPr>
        <w:t>analysed</w:t>
      </w:r>
      <w:proofErr w:type="spellEnd"/>
      <w:r w:rsidRPr="0015183E">
        <w:rPr>
          <w:rFonts w:ascii="Times New Roman" w:hAnsi="Times New Roman"/>
          <w:color w:val="000000" w:themeColor="text1"/>
          <w:sz w:val="22"/>
          <w:szCs w:val="22"/>
        </w:rPr>
        <w:t xml:space="preserve"> records at both integration settings. The maximum HD values are 1.84 × 10</w:t>
      </w:r>
      <w:r w:rsidRPr="0015183E">
        <w:rPr>
          <w:rFonts w:ascii="Times New Roman" w:hAnsi="Times New Roman"/>
          <w:color w:val="000000" w:themeColor="text1"/>
          <w:sz w:val="22"/>
          <w:szCs w:val="22"/>
          <w:vertAlign w:val="superscript"/>
        </w:rPr>
        <w:t>4</w:t>
      </w:r>
      <w:r w:rsidRPr="0015183E">
        <w:rPr>
          <w:rFonts w:ascii="Times New Roman" w:hAnsi="Times New Roman"/>
          <w:color w:val="000000" w:themeColor="text1"/>
          <w:sz w:val="22"/>
          <w:szCs w:val="22"/>
        </w:rPr>
        <w:t xml:space="preserve"> and 9.10 × 10</w:t>
      </w:r>
      <w:r w:rsidRPr="0015183E">
        <w:rPr>
          <w:rFonts w:ascii="Times New Roman" w:hAnsi="Times New Roman"/>
          <w:color w:val="000000" w:themeColor="text1"/>
          <w:sz w:val="22"/>
          <w:szCs w:val="22"/>
          <w:vertAlign w:val="superscript"/>
        </w:rPr>
        <w:t>3</w:t>
      </w:r>
      <w:r w:rsidRPr="0015183E">
        <w:rPr>
          <w:rFonts w:ascii="Times New Roman" w:hAnsi="Times New Roman"/>
          <w:color w:val="000000" w:themeColor="text1"/>
          <w:sz w:val="22"/>
          <w:szCs w:val="22"/>
        </w:rPr>
        <w:t xml:space="preserve"> for PLC = 1 and 5. Accordingly, the original representative value of approximately 1.6 × 10</w:t>
      </w:r>
      <w:r w:rsidRPr="0015183E">
        <w:rPr>
          <w:rFonts w:ascii="Times New Roman" w:hAnsi="Times New Roman"/>
          <w:color w:val="000000" w:themeColor="text1"/>
          <w:sz w:val="22"/>
          <w:szCs w:val="22"/>
          <w:vertAlign w:val="superscript"/>
        </w:rPr>
        <w:t>4</w:t>
      </w:r>
      <w:r w:rsidRPr="0015183E">
        <w:rPr>
          <w:rFonts w:ascii="Times New Roman" w:hAnsi="Times New Roman"/>
          <w:color w:val="000000" w:themeColor="text1"/>
          <w:sz w:val="22"/>
          <w:szCs w:val="22"/>
        </w:rPr>
        <w:t xml:space="preserve"> in </w:t>
      </w:r>
      <w:r w:rsidRPr="0015183E">
        <w:rPr>
          <w:rFonts w:ascii="Times New Roman" w:hAnsi="Times New Roman"/>
          <w:b/>
          <w:bCs/>
          <w:color w:val="000000" w:themeColor="text1"/>
          <w:sz w:val="22"/>
          <w:szCs w:val="22"/>
        </w:rPr>
        <w:t>Fig. 4</w:t>
      </w:r>
      <w:r w:rsidRPr="0015183E">
        <w:rPr>
          <w:rFonts w:ascii="Times New Roman" w:hAnsi="Times New Roman"/>
          <w:color w:val="000000" w:themeColor="text1"/>
          <w:sz w:val="22"/>
          <w:szCs w:val="22"/>
        </w:rPr>
        <w:t xml:space="preserve"> lies in the upper performance range and is distinguished from the population median. The low-current background and fixed-bias measurements in </w:t>
      </w:r>
      <w:r w:rsidRPr="0015183E">
        <w:rPr>
          <w:rFonts w:ascii="Times New Roman" w:hAnsi="Times New Roman"/>
          <w:b/>
          <w:bCs/>
          <w:color w:val="000000" w:themeColor="text1"/>
          <w:sz w:val="22"/>
          <w:szCs w:val="22"/>
        </w:rPr>
        <w:t>Supplementary Fig. 10</w:t>
      </w:r>
      <w:r w:rsidRPr="0015183E">
        <w:rPr>
          <w:rFonts w:ascii="Times New Roman" w:hAnsi="Times New Roman"/>
          <w:color w:val="000000" w:themeColor="text1"/>
          <w:sz w:val="22"/>
          <w:szCs w:val="22"/>
        </w:rPr>
        <w:t xml:space="preserve"> provide complementary information for interpreting the denominator of the measured ratio.</w:t>
      </w:r>
    </w:p>
    <w:p w14:paraId="7CE92EA0" w14:textId="2E6B5968" w:rsidR="00933CCC" w:rsidRPr="0015183E" w:rsidRDefault="00EF6281" w:rsidP="00933CCC">
      <w:pPr>
        <w:pStyle w:val="10"/>
        <w:rPr>
          <w:color w:val="000000" w:themeColor="text1"/>
          <w:lang w:eastAsia="ko-KR"/>
        </w:rPr>
      </w:pPr>
      <w:r w:rsidRPr="0015183E">
        <w:rPr>
          <w:noProof/>
          <w:color w:val="000000" w:themeColor="text1"/>
        </w:rPr>
        <w:lastRenderedPageBreak/>
        <w:drawing>
          <wp:inline distT="0" distB="0" distL="0" distR="0" wp14:anchorId="6751BDBA" wp14:editId="51B65D90">
            <wp:extent cx="5943600" cy="4937936"/>
            <wp:effectExtent l="0" t="0" r="0" b="0"/>
            <wp:docPr id="1" name="Picture 4" descr="Figure 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3_transfer_statistics.png"/>
                    <pic:cNvPicPr/>
                  </pic:nvPicPr>
                  <pic:blipFill>
                    <a:blip r:embed="rId26"/>
                    <a:stretch>
                      <a:fillRect/>
                    </a:stretch>
                  </pic:blipFill>
                  <pic:spPr>
                    <a:xfrm>
                      <a:off x="0" y="0"/>
                      <a:ext cx="5943600" cy="4937936"/>
                    </a:xfrm>
                    <a:prstGeom prst="rect">
                      <a:avLst/>
                    </a:prstGeom>
                  </pic:spPr>
                </pic:pic>
              </a:graphicData>
            </a:graphic>
          </wp:inline>
        </w:drawing>
      </w:r>
    </w:p>
    <w:p w14:paraId="325F8CB4" w14:textId="67A57595" w:rsidR="00933CCC" w:rsidRPr="0015183E" w:rsidRDefault="00933CCC" w:rsidP="00933CCC">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color w:val="000000" w:themeColor="text1"/>
          <w:sz w:val="22"/>
          <w:szCs w:val="22"/>
          <w:lang w:eastAsia="ko-KR"/>
        </w:rPr>
        <w:t>Supplementary Figure 9.</w:t>
      </w:r>
      <w:r w:rsidRPr="0015183E">
        <w:rPr>
          <w:rFonts w:ascii="Times New Roman" w:eastAsia="바탕" w:hAnsi="Times New Roman"/>
          <w:color w:val="000000" w:themeColor="text1"/>
          <w:sz w:val="22"/>
          <w:szCs w:val="22"/>
          <w:lang w:eastAsia="ko-KR"/>
        </w:rPr>
        <w:t xml:space="preserve"> Device-to-device transfer characteristics and PVR distributions. </w:t>
      </w:r>
      <w:proofErr w:type="spellStart"/>
      <w:proofErr w:type="gramStart"/>
      <w:r w:rsidRPr="0015183E">
        <w:rPr>
          <w:rFonts w:ascii="Times New Roman" w:eastAsia="바탕" w:hAnsi="Times New Roman"/>
          <w:b/>
          <w:bCs/>
          <w:color w:val="000000" w:themeColor="text1"/>
          <w:sz w:val="22"/>
          <w:szCs w:val="22"/>
          <w:lang w:eastAsia="ko-KR"/>
        </w:rPr>
        <w:t>a,b</w:t>
      </w:r>
      <w:proofErr w:type="spellEnd"/>
      <w:proofErr w:type="gramEnd"/>
      <w:r w:rsidRPr="0015183E">
        <w:rPr>
          <w:rFonts w:ascii="Times New Roman" w:eastAsia="바탕" w:hAnsi="Times New Roman"/>
          <w:color w:val="000000" w:themeColor="text1"/>
          <w:sz w:val="22"/>
          <w:szCs w:val="22"/>
          <w:lang w:eastAsia="ko-KR"/>
        </w:rPr>
        <w:t xml:space="preserve"> HD transfer curves at PLC = 1 and 5. </w:t>
      </w:r>
      <w:proofErr w:type="spellStart"/>
      <w:r w:rsidRPr="0015183E">
        <w:rPr>
          <w:rFonts w:ascii="Times New Roman" w:eastAsia="바탕" w:hAnsi="Times New Roman"/>
          <w:b/>
          <w:bCs/>
          <w:color w:val="000000" w:themeColor="text1"/>
          <w:sz w:val="22"/>
          <w:szCs w:val="22"/>
          <w:lang w:eastAsia="ko-KR"/>
        </w:rPr>
        <w:t>d,e</w:t>
      </w:r>
      <w:proofErr w:type="spellEnd"/>
      <w:r w:rsidRPr="0015183E">
        <w:rPr>
          <w:rFonts w:ascii="Times New Roman" w:eastAsia="바탕" w:hAnsi="Times New Roman"/>
          <w:color w:val="000000" w:themeColor="text1"/>
          <w:sz w:val="22"/>
          <w:szCs w:val="22"/>
          <w:lang w:eastAsia="ko-KR"/>
        </w:rPr>
        <w:t xml:space="preserve"> Corresponding MD curves. Drain-current magnitudes are solid and gate-current magnitudes are dashed. </w:t>
      </w:r>
      <w:proofErr w:type="spellStart"/>
      <w:proofErr w:type="gramStart"/>
      <w:r w:rsidRPr="0015183E">
        <w:rPr>
          <w:rFonts w:ascii="Times New Roman" w:eastAsia="바탕" w:hAnsi="Times New Roman"/>
          <w:b/>
          <w:bCs/>
          <w:color w:val="000000" w:themeColor="text1"/>
          <w:sz w:val="22"/>
          <w:szCs w:val="22"/>
          <w:lang w:eastAsia="ko-KR"/>
        </w:rPr>
        <w:t>c,f</w:t>
      </w:r>
      <w:proofErr w:type="spellEnd"/>
      <w:proofErr w:type="gramEnd"/>
      <w:r w:rsidRPr="0015183E">
        <w:rPr>
          <w:rFonts w:ascii="Times New Roman" w:eastAsia="바탕" w:hAnsi="Times New Roman"/>
          <w:color w:val="000000" w:themeColor="text1"/>
          <w:sz w:val="22"/>
          <w:szCs w:val="22"/>
          <w:lang w:eastAsia="ko-KR"/>
        </w:rPr>
        <w:t xml:space="preserve"> Central peak voltage and PVR versus device index for HD and MD, with open and filled markers denoting PLC = 1 and 5. Each group contains 30 records. Measurements were performed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and the same peak/pre-rise extraction was applied to all curves.</w:t>
      </w:r>
    </w:p>
    <w:p w14:paraId="50593472" w14:textId="093DE191" w:rsidR="001D2C8E" w:rsidRPr="0015183E" w:rsidRDefault="001D2C8E">
      <w:pPr>
        <w:rPr>
          <w:rFonts w:ascii="Times" w:hAnsi="Times"/>
          <w:color w:val="000000" w:themeColor="text1"/>
          <w:sz w:val="24"/>
          <w:lang w:eastAsia="ko-KR"/>
        </w:rPr>
      </w:pPr>
      <w:r w:rsidRPr="0015183E">
        <w:rPr>
          <w:color w:val="000000" w:themeColor="text1"/>
          <w:lang w:eastAsia="ko-KR"/>
        </w:rPr>
        <w:br w:type="page"/>
      </w:r>
    </w:p>
    <w:p w14:paraId="26033D96" w14:textId="24D39943" w:rsidR="001D2C8E" w:rsidRPr="0015183E" w:rsidRDefault="001D2C8E" w:rsidP="001D2C8E">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Low-current background and fixed-bias current–time characterization</w:t>
      </w:r>
    </w:p>
    <w:p w14:paraId="42C6CC22" w14:textId="77777777" w:rsidR="001D2C8E" w:rsidRPr="0015183E" w:rsidRDefault="001D2C8E" w:rsidP="001D2C8E">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10</w:t>
      </w:r>
      <w:r w:rsidRPr="0015183E">
        <w:rPr>
          <w:rFonts w:ascii="Times New Roman" w:hAnsi="Times New Roman"/>
          <w:color w:val="000000" w:themeColor="text1"/>
          <w:sz w:val="22"/>
          <w:szCs w:val="22"/>
        </w:rPr>
        <w:t xml:space="preserve"> combines fixed-bias current–time measurements with an open-contact control to assess the low-current observations underlying the PVR analysis. Current–time measurements were performed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for 30 indexed devices in each density group. The high-conduction gate biases were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Common</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 0 V for HD and −0.65 V for MD, while the low-conduction bias was −1.3 V for both groups. Each trace contains 1,201 readings over approximately 120 s. These fixed biases were selected from the representative-device characteristics and do not coincide with the exact transfer extrema of every device.</w:t>
      </w:r>
    </w:p>
    <w:p w14:paraId="5F921515" w14:textId="77777777" w:rsidR="001D2C8E" w:rsidRPr="0015183E" w:rsidRDefault="001D2C8E" w:rsidP="001D2C8E">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Figs. 10a and 10b</w:t>
      </w:r>
      <w:r w:rsidRPr="0015183E">
        <w:rPr>
          <w:rFonts w:ascii="Times New Roman" w:hAnsi="Times New Roman"/>
          <w:color w:val="000000" w:themeColor="text1"/>
          <w:sz w:val="22"/>
          <w:szCs w:val="22"/>
        </w:rPr>
        <w:t xml:space="preserve"> show the complete current-magnitude traces. Signed-current means and temporal standard deviations were calculated over the common interval of 60–120 s and are summarized in </w:t>
      </w:r>
      <w:r w:rsidRPr="0015183E">
        <w:rPr>
          <w:rFonts w:ascii="Times New Roman" w:hAnsi="Times New Roman"/>
          <w:b/>
          <w:bCs/>
          <w:color w:val="000000" w:themeColor="text1"/>
          <w:sz w:val="22"/>
          <w:szCs w:val="22"/>
        </w:rPr>
        <w:t>Supplementary Figs. 10c and 10d</w:t>
      </w:r>
      <w:r w:rsidRPr="0015183E">
        <w:rPr>
          <w:rFonts w:ascii="Times New Roman" w:hAnsi="Times New Roman"/>
          <w:color w:val="000000" w:themeColor="text1"/>
          <w:sz w:val="22"/>
          <w:szCs w:val="22"/>
        </w:rPr>
        <w:t xml:space="preserve">. The median magnitudes of the signed high-bias means are 3.85 </w:t>
      </w:r>
      <w:proofErr w:type="spellStart"/>
      <w:r w:rsidRPr="0015183E">
        <w:rPr>
          <w:rFonts w:ascii="Times New Roman" w:hAnsi="Times New Roman"/>
          <w:color w:val="000000" w:themeColor="text1"/>
          <w:sz w:val="22"/>
          <w:szCs w:val="22"/>
        </w:rPr>
        <w:t>nA</w:t>
      </w:r>
      <w:proofErr w:type="spellEnd"/>
      <w:r w:rsidRPr="0015183E">
        <w:rPr>
          <w:rFonts w:ascii="Times New Roman" w:hAnsi="Times New Roman"/>
          <w:color w:val="000000" w:themeColor="text1"/>
          <w:sz w:val="22"/>
          <w:szCs w:val="22"/>
        </w:rPr>
        <w:t xml:space="preserve"> for HD and 52.5 </w:t>
      </w:r>
      <w:proofErr w:type="spellStart"/>
      <w:r w:rsidRPr="0015183E">
        <w:rPr>
          <w:rFonts w:ascii="Times New Roman" w:hAnsi="Times New Roman"/>
          <w:color w:val="000000" w:themeColor="text1"/>
          <w:sz w:val="22"/>
          <w:szCs w:val="22"/>
        </w:rPr>
        <w:t>pA</w:t>
      </w:r>
      <w:proofErr w:type="spellEnd"/>
      <w:r w:rsidRPr="0015183E">
        <w:rPr>
          <w:rFonts w:ascii="Times New Roman" w:hAnsi="Times New Roman"/>
          <w:color w:val="000000" w:themeColor="text1"/>
          <w:sz w:val="22"/>
          <w:szCs w:val="22"/>
        </w:rPr>
        <w:t xml:space="preserve"> for MD; the corresponding low-bias values are 0.410 and 0.462 </w:t>
      </w:r>
      <w:proofErr w:type="spellStart"/>
      <w:r w:rsidRPr="0015183E">
        <w:rPr>
          <w:rFonts w:ascii="Times New Roman" w:hAnsi="Times New Roman"/>
          <w:color w:val="000000" w:themeColor="text1"/>
          <w:sz w:val="22"/>
          <w:szCs w:val="22"/>
        </w:rPr>
        <w:t>pA.</w:t>
      </w:r>
      <w:proofErr w:type="spellEnd"/>
      <w:r w:rsidRPr="0015183E">
        <w:rPr>
          <w:rFonts w:ascii="Times New Roman" w:hAnsi="Times New Roman"/>
          <w:color w:val="000000" w:themeColor="text1"/>
          <w:sz w:val="22"/>
          <w:szCs w:val="22"/>
        </w:rPr>
        <w:t xml:space="preserve"> All low-bias traces retain a negative signed mean in successive non-overlapping 5 s blocks within this interval. The median within-trace standard deviation is approximately 0.32 </w:t>
      </w:r>
      <w:proofErr w:type="spellStart"/>
      <w:r w:rsidRPr="0015183E">
        <w:rPr>
          <w:rFonts w:ascii="Times New Roman" w:hAnsi="Times New Roman"/>
          <w:color w:val="000000" w:themeColor="text1"/>
          <w:sz w:val="22"/>
          <w:szCs w:val="22"/>
        </w:rPr>
        <w:t>pA</w:t>
      </w:r>
      <w:proofErr w:type="spellEnd"/>
      <w:r w:rsidRPr="0015183E">
        <w:rPr>
          <w:rFonts w:ascii="Times New Roman" w:hAnsi="Times New Roman"/>
          <w:color w:val="000000" w:themeColor="text1"/>
          <w:sz w:val="22"/>
          <w:szCs w:val="22"/>
        </w:rPr>
        <w:t xml:space="preserve"> for both density groups. This scatter describes temporal fluctuations rather than the accuracy of the current measurement.</w:t>
      </w:r>
    </w:p>
    <w:p w14:paraId="023FB394" w14:textId="77777777" w:rsidR="001D2C8E" w:rsidRPr="0015183E" w:rsidRDefault="001D2C8E" w:rsidP="001D2C8E">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High-current relaxation is visible in the complete traces. The median ratio of the current magnitude averaged over 110–120 s to that averaged over 10–20 s is approximately 0.48 for HD and 0.47 for MD. Thus, the high- and low-conduction levels remain separated, but the high-current response is not described as perfectly stationary. </w:t>
      </w:r>
      <w:r w:rsidRPr="0015183E">
        <w:rPr>
          <w:rFonts w:ascii="Times New Roman" w:hAnsi="Times New Roman"/>
          <w:b/>
          <w:bCs/>
          <w:color w:val="000000" w:themeColor="text1"/>
          <w:sz w:val="22"/>
          <w:szCs w:val="22"/>
        </w:rPr>
        <w:t>Supplementary Figs. 10g and 10h</w:t>
      </w:r>
      <w:r w:rsidRPr="0015183E">
        <w:rPr>
          <w:rFonts w:ascii="Times New Roman" w:hAnsi="Times New Roman"/>
          <w:color w:val="000000" w:themeColor="text1"/>
          <w:sz w:val="22"/>
          <w:szCs w:val="22"/>
        </w:rPr>
        <w:t xml:space="preserve"> retain the signed low-bias readings, including zero crossings and positive values, without smoothing or conversion to current magnitude. These panels display the same measurements as the magnitude plots rather than additional independent datasets.</w:t>
      </w:r>
    </w:p>
    <w:p w14:paraId="60D8EC49" w14:textId="77777777" w:rsidR="001D2C8E" w:rsidRPr="0015183E" w:rsidRDefault="001D2C8E" w:rsidP="001D2C8E">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 open-contact control in </w:t>
      </w:r>
      <w:r w:rsidRPr="0015183E">
        <w:rPr>
          <w:rFonts w:ascii="Times New Roman" w:hAnsi="Times New Roman"/>
          <w:b/>
          <w:bCs/>
          <w:color w:val="000000" w:themeColor="text1"/>
          <w:sz w:val="22"/>
          <w:szCs w:val="22"/>
        </w:rPr>
        <w:t>Supplementary Fig. 10e</w:t>
      </w:r>
      <w:r w:rsidRPr="0015183E">
        <w:rPr>
          <w:rFonts w:ascii="Times New Roman" w:hAnsi="Times New Roman"/>
          <w:color w:val="000000" w:themeColor="text1"/>
          <w:sz w:val="22"/>
          <w:szCs w:val="22"/>
        </w:rPr>
        <w:t xml:space="preserve"> was acquired at PLC = 1 with all probe contacts disconnected. The programmed gate sweep and drain bias matched the PLC = 1 transfer conditions. Across the 121-point sweep, the signed drain current has a mean of −14.9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a standard deviation of 18.4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and </w:t>
      </w:r>
      <w:r w:rsidRPr="0015183E">
        <w:rPr>
          <w:rFonts w:ascii="Times New Roman" w:hAnsi="Times New Roman"/>
          <w:color w:val="000000" w:themeColor="text1"/>
          <w:sz w:val="22"/>
          <w:szCs w:val="22"/>
        </w:rPr>
        <w:lastRenderedPageBreak/>
        <w:t xml:space="preserve">a range of −55 to +47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The corresponding source- and gate-channel statistics are listed in </w:t>
      </w:r>
      <w:r w:rsidRPr="0015183E">
        <w:rPr>
          <w:rFonts w:ascii="Times New Roman" w:hAnsi="Times New Roman"/>
          <w:b/>
          <w:bCs/>
          <w:color w:val="000000" w:themeColor="text1"/>
          <w:sz w:val="22"/>
          <w:szCs w:val="22"/>
        </w:rPr>
        <w:t>Supplementary Table 4</w:t>
      </w:r>
      <w:r w:rsidRPr="0015183E">
        <w:rPr>
          <w:rFonts w:ascii="Times New Roman" w:hAnsi="Times New Roman"/>
          <w:color w:val="000000" w:themeColor="text1"/>
          <w:sz w:val="22"/>
          <w:szCs w:val="22"/>
        </w:rPr>
        <w:t xml:space="preserve">. In </w:t>
      </w:r>
      <w:r w:rsidRPr="0015183E">
        <w:rPr>
          <w:rFonts w:ascii="Times New Roman" w:hAnsi="Times New Roman"/>
          <w:b/>
          <w:bCs/>
          <w:color w:val="000000" w:themeColor="text1"/>
          <w:sz w:val="22"/>
          <w:szCs w:val="22"/>
        </w:rPr>
        <w:t>Supplementary Fig. 10f</w:t>
      </w:r>
      <w:r w:rsidRPr="0015183E">
        <w:rPr>
          <w:rFonts w:ascii="Times New Roman" w:hAnsi="Times New Roman"/>
          <w:color w:val="000000" w:themeColor="text1"/>
          <w:sz w:val="22"/>
          <w:szCs w:val="22"/>
        </w:rPr>
        <w:t xml:space="preserve">, the operational pre-rise currents extracted at PLC = 1 are compared with the observed open-contact drain-current magnitude range of 0–55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Their medians are 660 </w:t>
      </w:r>
      <w:proofErr w:type="spellStart"/>
      <w:proofErr w:type="gramStart"/>
      <w:r w:rsidRPr="0015183E">
        <w:rPr>
          <w:rFonts w:ascii="Times New Roman" w:hAnsi="Times New Roman"/>
          <w:color w:val="000000" w:themeColor="text1"/>
          <w:sz w:val="22"/>
          <w:szCs w:val="22"/>
        </w:rPr>
        <w:t>fA</w:t>
      </w:r>
      <w:proofErr w:type="spellEnd"/>
      <w:proofErr w:type="gramEnd"/>
      <w:r w:rsidRPr="0015183E">
        <w:rPr>
          <w:rFonts w:ascii="Times New Roman" w:hAnsi="Times New Roman"/>
          <w:color w:val="000000" w:themeColor="text1"/>
          <w:sz w:val="22"/>
          <w:szCs w:val="22"/>
        </w:rPr>
        <w:t xml:space="preserve"> for HD and 260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for MD, supporting a distinction between these operational current levels and the observed open-contact baseline.</w:t>
      </w:r>
    </w:p>
    <w:p w14:paraId="64AB7295" w14:textId="365E0DC9" w:rsidR="001D2C8E" w:rsidRPr="0015183E" w:rsidRDefault="001D2C8E" w:rsidP="001D2C8E">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No background subtraction was applied. In particular, the nonzero open-contact gate-current baseline shows that the entire sub-</w:t>
      </w:r>
      <w:proofErr w:type="spellStart"/>
      <w:r w:rsidRPr="0015183E">
        <w:rPr>
          <w:rFonts w:ascii="Times New Roman" w:hAnsi="Times New Roman"/>
          <w:color w:val="000000" w:themeColor="text1"/>
          <w:sz w:val="22"/>
          <w:szCs w:val="22"/>
        </w:rPr>
        <w:t>pA</w:t>
      </w:r>
      <w:proofErr w:type="spellEnd"/>
      <w:r w:rsidRPr="0015183E">
        <w:rPr>
          <w:rFonts w:ascii="Times New Roman" w:hAnsi="Times New Roman"/>
          <w:color w:val="000000" w:themeColor="text1"/>
          <w:sz w:val="22"/>
          <w:szCs w:val="22"/>
        </w:rPr>
        <w:t xml:space="preserve"> gate-current reading cannot be assigned directly to device leakage. The control characterizes the observed open-contact background under PLC = 1 rather than a complete uncertainty bound for a contacted device or a calibration at PLC = 5. Likewise, the fixed-bias time records do not independently determine each device’s transfer-curve valley. The measurements therefore complement the reproducibility analysis while preserving the distinction between operational PVR and an uncertainty-free intrinsic current ratio.</w:t>
      </w:r>
    </w:p>
    <w:p w14:paraId="2EA27CA2" w14:textId="77777777" w:rsidR="00EF6281" w:rsidRPr="0015183E" w:rsidRDefault="00EF6281" w:rsidP="001D2C8E">
      <w:pPr>
        <w:pStyle w:val="VAFigureCaption"/>
        <w:spacing w:line="360" w:lineRule="auto"/>
        <w:rPr>
          <w:rFonts w:ascii="Times New Roman" w:eastAsia="바탕" w:hAnsi="Times New Roman"/>
          <w:b/>
          <w:bCs/>
          <w:color w:val="000000" w:themeColor="text1"/>
          <w:sz w:val="22"/>
          <w:szCs w:val="22"/>
          <w:lang w:eastAsia="ko-KR"/>
        </w:rPr>
      </w:pPr>
      <w:r w:rsidRPr="0015183E">
        <w:rPr>
          <w:noProof/>
          <w:color w:val="000000" w:themeColor="text1"/>
        </w:rPr>
        <w:lastRenderedPageBreak/>
        <w:drawing>
          <wp:inline distT="0" distB="0" distL="0" distR="0" wp14:anchorId="714DD410" wp14:editId="7095E7C7">
            <wp:extent cx="5621315" cy="4629150"/>
            <wp:effectExtent l="0" t="0" r="0" b="0"/>
            <wp:docPr id="2" name="Picture 5" descr="Figure 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4abcd_time_statistics.png"/>
                    <pic:cNvPicPr/>
                  </pic:nvPicPr>
                  <pic:blipFill>
                    <a:blip r:embed="rId27"/>
                    <a:stretch>
                      <a:fillRect/>
                    </a:stretch>
                  </pic:blipFill>
                  <pic:spPr>
                    <a:xfrm>
                      <a:off x="0" y="0"/>
                      <a:ext cx="5627641" cy="4634360"/>
                    </a:xfrm>
                    <a:prstGeom prst="rect">
                      <a:avLst/>
                    </a:prstGeom>
                  </pic:spPr>
                </pic:pic>
              </a:graphicData>
            </a:graphic>
          </wp:inline>
        </w:drawing>
      </w:r>
    </w:p>
    <w:p w14:paraId="4E12F7B9" w14:textId="77777777" w:rsidR="00EF6281" w:rsidRPr="0015183E" w:rsidRDefault="00EF6281" w:rsidP="001D2C8E">
      <w:pPr>
        <w:pStyle w:val="VAFigureCaption"/>
        <w:spacing w:line="360" w:lineRule="auto"/>
        <w:rPr>
          <w:rFonts w:ascii="Times New Roman" w:eastAsia="바탕" w:hAnsi="Times New Roman"/>
          <w:b/>
          <w:bCs/>
          <w:color w:val="000000" w:themeColor="text1"/>
          <w:sz w:val="22"/>
          <w:szCs w:val="22"/>
          <w:lang w:eastAsia="ko-KR"/>
        </w:rPr>
      </w:pPr>
      <w:r w:rsidRPr="0015183E">
        <w:rPr>
          <w:noProof/>
          <w:color w:val="000000" w:themeColor="text1"/>
        </w:rPr>
        <w:drawing>
          <wp:inline distT="0" distB="0" distL="0" distR="0" wp14:anchorId="103BA2B8" wp14:editId="1D2874BE">
            <wp:extent cx="5624513" cy="3018671"/>
            <wp:effectExtent l="0" t="0" r="0" b="0"/>
            <wp:docPr id="3" name="Picture 6" descr="Figure R4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4ef_background_prerise.png"/>
                    <pic:cNvPicPr/>
                  </pic:nvPicPr>
                  <pic:blipFill>
                    <a:blip r:embed="rId28"/>
                    <a:stretch>
                      <a:fillRect/>
                    </a:stretch>
                  </pic:blipFill>
                  <pic:spPr>
                    <a:xfrm>
                      <a:off x="0" y="0"/>
                      <a:ext cx="5627323" cy="3020179"/>
                    </a:xfrm>
                    <a:prstGeom prst="rect">
                      <a:avLst/>
                    </a:prstGeom>
                  </pic:spPr>
                </pic:pic>
              </a:graphicData>
            </a:graphic>
          </wp:inline>
        </w:drawing>
      </w:r>
    </w:p>
    <w:p w14:paraId="3FB36CB8" w14:textId="7FA83CC5" w:rsidR="001D2C8E" w:rsidRPr="0015183E" w:rsidRDefault="00EF6281" w:rsidP="001D2C8E">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noProof/>
          <w:color w:val="000000" w:themeColor="text1"/>
          <w:sz w:val="22"/>
          <w:szCs w:val="22"/>
          <w:lang w:eastAsia="ko-KR"/>
        </w:rPr>
        <w:lastRenderedPageBreak/>
        <w:drawing>
          <wp:inline distT="0" distB="0" distL="0" distR="0" wp14:anchorId="5AC888C7" wp14:editId="4ADE00F5">
            <wp:extent cx="5943600" cy="2840990"/>
            <wp:effectExtent l="0" t="0" r="0" b="0"/>
            <wp:docPr id="7" name="그림 5">
              <a:extLst xmlns:a="http://schemas.openxmlformats.org/drawingml/2006/main">
                <a:ext uri="{FF2B5EF4-FFF2-40B4-BE49-F238E27FC236}">
                  <a16:creationId xmlns:a16="http://schemas.microsoft.com/office/drawing/2014/main" id="{8A44D07C-442F-4CA1-B906-AF60816D7A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8A44D07C-442F-4CA1-B906-AF60816D7A47}"/>
                        </a:ext>
                      </a:extLst>
                    </pic:cNvPr>
                    <pic:cNvPicPr>
                      <a:picLocks noChangeAspect="1"/>
                    </pic:cNvPicPr>
                  </pic:nvPicPr>
                  <pic:blipFill>
                    <a:blip r:embed="rId29"/>
                    <a:stretch>
                      <a:fillRect/>
                    </a:stretch>
                  </pic:blipFill>
                  <pic:spPr>
                    <a:xfrm>
                      <a:off x="0" y="0"/>
                      <a:ext cx="5943600" cy="2840990"/>
                    </a:xfrm>
                    <a:prstGeom prst="rect">
                      <a:avLst/>
                    </a:prstGeom>
                  </pic:spPr>
                </pic:pic>
              </a:graphicData>
            </a:graphic>
          </wp:inline>
        </w:drawing>
      </w:r>
      <w:r w:rsidR="001D2C8E" w:rsidRPr="0015183E">
        <w:rPr>
          <w:rFonts w:ascii="Times New Roman" w:eastAsia="바탕" w:hAnsi="Times New Roman"/>
          <w:b/>
          <w:bCs/>
          <w:color w:val="000000" w:themeColor="text1"/>
          <w:sz w:val="22"/>
          <w:szCs w:val="22"/>
          <w:lang w:eastAsia="ko-KR"/>
        </w:rPr>
        <w:t xml:space="preserve">Supplementary Figure 10. </w:t>
      </w:r>
      <w:r w:rsidR="001D2C8E" w:rsidRPr="0015183E">
        <w:rPr>
          <w:rFonts w:ascii="Times New Roman" w:eastAsia="바탕" w:hAnsi="Times New Roman"/>
          <w:color w:val="000000" w:themeColor="text1"/>
          <w:sz w:val="22"/>
          <w:szCs w:val="22"/>
          <w:lang w:eastAsia="ko-KR"/>
        </w:rPr>
        <w:t xml:space="preserve">Fixed-bias currents and open-contact background. </w:t>
      </w:r>
      <w:proofErr w:type="spellStart"/>
      <w:proofErr w:type="gramStart"/>
      <w:r w:rsidR="001D2C8E" w:rsidRPr="0015183E">
        <w:rPr>
          <w:rFonts w:ascii="Times New Roman" w:eastAsia="바탕" w:hAnsi="Times New Roman"/>
          <w:b/>
          <w:bCs/>
          <w:color w:val="000000" w:themeColor="text1"/>
          <w:sz w:val="22"/>
          <w:szCs w:val="22"/>
          <w:lang w:eastAsia="ko-KR"/>
        </w:rPr>
        <w:t>a,b</w:t>
      </w:r>
      <w:proofErr w:type="spellEnd"/>
      <w:proofErr w:type="gramEnd"/>
      <w:r w:rsidR="001D2C8E" w:rsidRPr="0015183E">
        <w:rPr>
          <w:rFonts w:ascii="Times New Roman" w:eastAsia="바탕" w:hAnsi="Times New Roman"/>
          <w:color w:val="000000" w:themeColor="text1"/>
          <w:sz w:val="22"/>
          <w:szCs w:val="22"/>
          <w:lang w:eastAsia="ko-KR"/>
        </w:rPr>
        <w:t xml:space="preserve"> HD and MD current–time traces at high- and low-conduction biases. High </w:t>
      </w:r>
      <w:proofErr w:type="spellStart"/>
      <w:r w:rsidR="001D2C8E" w:rsidRPr="0015183E">
        <w:rPr>
          <w:rFonts w:ascii="Times New Roman" w:eastAsia="바탕" w:hAnsi="Times New Roman"/>
          <w:color w:val="000000" w:themeColor="text1"/>
          <w:sz w:val="22"/>
          <w:szCs w:val="22"/>
          <w:lang w:eastAsia="ko-KR"/>
        </w:rPr>
        <w:t>V</w:t>
      </w:r>
      <w:r w:rsidR="001D2C8E" w:rsidRPr="0015183E">
        <w:rPr>
          <w:rFonts w:ascii="Times New Roman" w:eastAsia="바탕" w:hAnsi="Times New Roman"/>
          <w:color w:val="000000" w:themeColor="text1"/>
          <w:sz w:val="22"/>
          <w:szCs w:val="22"/>
          <w:vertAlign w:val="subscript"/>
          <w:lang w:eastAsia="ko-KR"/>
        </w:rPr>
        <w:t>Common</w:t>
      </w:r>
      <w:proofErr w:type="spellEnd"/>
      <w:r w:rsidR="001D2C8E" w:rsidRPr="0015183E">
        <w:rPr>
          <w:rFonts w:ascii="Times New Roman" w:eastAsia="바탕" w:hAnsi="Times New Roman"/>
          <w:color w:val="000000" w:themeColor="text1"/>
          <w:sz w:val="22"/>
          <w:szCs w:val="22"/>
          <w:vertAlign w:val="subscript"/>
          <w:lang w:eastAsia="ko-KR"/>
        </w:rPr>
        <w:t>-gate</w:t>
      </w:r>
      <w:r w:rsidR="001D2C8E" w:rsidRPr="0015183E">
        <w:rPr>
          <w:rFonts w:ascii="Times New Roman" w:eastAsia="바탕" w:hAnsi="Times New Roman"/>
          <w:color w:val="000000" w:themeColor="text1"/>
          <w:sz w:val="22"/>
          <w:szCs w:val="22"/>
          <w:lang w:eastAsia="ko-KR"/>
        </w:rPr>
        <w:t xml:space="preserve"> is 0 V for HD and −0.65 V for MD; low </w:t>
      </w:r>
      <w:proofErr w:type="spellStart"/>
      <w:r w:rsidR="001D2C8E" w:rsidRPr="0015183E">
        <w:rPr>
          <w:rFonts w:ascii="Times New Roman" w:eastAsia="바탕" w:hAnsi="Times New Roman"/>
          <w:color w:val="000000" w:themeColor="text1"/>
          <w:sz w:val="22"/>
          <w:szCs w:val="22"/>
          <w:lang w:eastAsia="ko-KR"/>
        </w:rPr>
        <w:t>V</w:t>
      </w:r>
      <w:r w:rsidR="001D2C8E" w:rsidRPr="0015183E">
        <w:rPr>
          <w:rFonts w:ascii="Times New Roman" w:eastAsia="바탕" w:hAnsi="Times New Roman"/>
          <w:color w:val="000000" w:themeColor="text1"/>
          <w:sz w:val="22"/>
          <w:szCs w:val="22"/>
          <w:vertAlign w:val="subscript"/>
          <w:lang w:eastAsia="ko-KR"/>
        </w:rPr>
        <w:t>Common</w:t>
      </w:r>
      <w:proofErr w:type="spellEnd"/>
      <w:r w:rsidR="001D2C8E" w:rsidRPr="0015183E">
        <w:rPr>
          <w:rFonts w:ascii="Times New Roman" w:eastAsia="바탕" w:hAnsi="Times New Roman"/>
          <w:color w:val="000000" w:themeColor="text1"/>
          <w:sz w:val="22"/>
          <w:szCs w:val="22"/>
          <w:vertAlign w:val="subscript"/>
          <w:lang w:eastAsia="ko-KR"/>
        </w:rPr>
        <w:t>-gate</w:t>
      </w:r>
      <w:r w:rsidR="001D2C8E" w:rsidRPr="0015183E">
        <w:rPr>
          <w:rFonts w:ascii="Times New Roman" w:eastAsia="바탕" w:hAnsi="Times New Roman"/>
          <w:color w:val="000000" w:themeColor="text1"/>
          <w:sz w:val="22"/>
          <w:szCs w:val="22"/>
          <w:lang w:eastAsia="ko-KR"/>
        </w:rPr>
        <w:t xml:space="preserve"> is −1.3 V for both. </w:t>
      </w:r>
      <w:proofErr w:type="spellStart"/>
      <w:proofErr w:type="gramStart"/>
      <w:r w:rsidR="001D2C8E" w:rsidRPr="0015183E">
        <w:rPr>
          <w:rFonts w:ascii="Times New Roman" w:eastAsia="바탕" w:hAnsi="Times New Roman"/>
          <w:b/>
          <w:bCs/>
          <w:color w:val="000000" w:themeColor="text1"/>
          <w:sz w:val="22"/>
          <w:szCs w:val="22"/>
          <w:lang w:eastAsia="ko-KR"/>
        </w:rPr>
        <w:t>c,d</w:t>
      </w:r>
      <w:proofErr w:type="spellEnd"/>
      <w:proofErr w:type="gramEnd"/>
      <w:r w:rsidR="001D2C8E" w:rsidRPr="0015183E">
        <w:rPr>
          <w:rFonts w:ascii="Times New Roman" w:eastAsia="바탕" w:hAnsi="Times New Roman"/>
          <w:color w:val="000000" w:themeColor="text1"/>
          <w:sz w:val="22"/>
          <w:szCs w:val="22"/>
          <w:lang w:eastAsia="ko-KR"/>
        </w:rPr>
        <w:t xml:space="preserve"> Signed low-bias I</w:t>
      </w:r>
      <w:r w:rsidR="001D2C8E" w:rsidRPr="0015183E">
        <w:rPr>
          <w:rFonts w:ascii="Times New Roman" w:eastAsia="바탕" w:hAnsi="Times New Roman"/>
          <w:color w:val="000000" w:themeColor="text1"/>
          <w:sz w:val="22"/>
          <w:szCs w:val="22"/>
          <w:vertAlign w:val="subscript"/>
          <w:lang w:eastAsia="ko-KR"/>
        </w:rPr>
        <w:t>D</w:t>
      </w:r>
      <w:r w:rsidR="001D2C8E" w:rsidRPr="0015183E">
        <w:rPr>
          <w:rFonts w:ascii="Times New Roman" w:eastAsia="바탕" w:hAnsi="Times New Roman"/>
          <w:color w:val="000000" w:themeColor="text1"/>
          <w:sz w:val="22"/>
          <w:szCs w:val="22"/>
          <w:lang w:eastAsia="ko-KR"/>
        </w:rPr>
        <w:t xml:space="preserve"> means with ±1 temporal SD over 60–120 s and the corresponding I</w:t>
      </w:r>
      <w:r w:rsidR="001D2C8E" w:rsidRPr="0015183E">
        <w:rPr>
          <w:rFonts w:ascii="Times New Roman" w:eastAsia="바탕" w:hAnsi="Times New Roman"/>
          <w:color w:val="000000" w:themeColor="text1"/>
          <w:sz w:val="22"/>
          <w:szCs w:val="22"/>
          <w:vertAlign w:val="subscript"/>
          <w:lang w:eastAsia="ko-KR"/>
        </w:rPr>
        <w:t>G</w:t>
      </w:r>
      <w:r w:rsidR="001D2C8E" w:rsidRPr="0015183E">
        <w:rPr>
          <w:rFonts w:ascii="Times New Roman" w:eastAsia="바탕" w:hAnsi="Times New Roman"/>
          <w:color w:val="000000" w:themeColor="text1"/>
          <w:sz w:val="22"/>
          <w:szCs w:val="22"/>
          <w:lang w:eastAsia="ko-KR"/>
        </w:rPr>
        <w:t xml:space="preserve"> means. </w:t>
      </w:r>
      <w:r w:rsidR="001D2C8E" w:rsidRPr="0015183E">
        <w:rPr>
          <w:rFonts w:ascii="Times New Roman" w:eastAsia="바탕" w:hAnsi="Times New Roman"/>
          <w:b/>
          <w:bCs/>
          <w:color w:val="000000" w:themeColor="text1"/>
          <w:sz w:val="22"/>
          <w:szCs w:val="22"/>
          <w:lang w:eastAsia="ko-KR"/>
        </w:rPr>
        <w:t>e</w:t>
      </w:r>
      <w:r w:rsidR="001D2C8E" w:rsidRPr="0015183E">
        <w:rPr>
          <w:rFonts w:ascii="Times New Roman" w:eastAsia="바탕" w:hAnsi="Times New Roman"/>
          <w:color w:val="000000" w:themeColor="text1"/>
          <w:sz w:val="22"/>
          <w:szCs w:val="22"/>
          <w:lang w:eastAsia="ko-KR"/>
        </w:rPr>
        <w:t xml:space="preserve"> Open-contact currents at PLC = 1. </w:t>
      </w:r>
      <w:r w:rsidR="001D2C8E" w:rsidRPr="0015183E">
        <w:rPr>
          <w:rFonts w:ascii="Times New Roman" w:eastAsia="바탕" w:hAnsi="Times New Roman"/>
          <w:b/>
          <w:bCs/>
          <w:color w:val="000000" w:themeColor="text1"/>
          <w:sz w:val="22"/>
          <w:szCs w:val="22"/>
          <w:lang w:eastAsia="ko-KR"/>
        </w:rPr>
        <w:t>f</w:t>
      </w:r>
      <w:r w:rsidR="001D2C8E" w:rsidRPr="0015183E">
        <w:rPr>
          <w:rFonts w:ascii="Times New Roman" w:eastAsia="바탕" w:hAnsi="Times New Roman"/>
          <w:color w:val="000000" w:themeColor="text1"/>
          <w:sz w:val="22"/>
          <w:szCs w:val="22"/>
          <w:lang w:eastAsia="ko-KR"/>
        </w:rPr>
        <w:t xml:space="preserve"> Operational pre-rise currents at PLC = 1 compared with the observed open-contact |I</w:t>
      </w:r>
      <w:r w:rsidR="001D2C8E" w:rsidRPr="0015183E">
        <w:rPr>
          <w:rFonts w:ascii="Times New Roman" w:eastAsia="바탕" w:hAnsi="Times New Roman"/>
          <w:color w:val="000000" w:themeColor="text1"/>
          <w:sz w:val="22"/>
          <w:szCs w:val="22"/>
          <w:vertAlign w:val="subscript"/>
          <w:lang w:eastAsia="ko-KR"/>
        </w:rPr>
        <w:t>D</w:t>
      </w:r>
      <w:r w:rsidR="001D2C8E" w:rsidRPr="0015183E">
        <w:rPr>
          <w:rFonts w:ascii="Times New Roman" w:eastAsia="바탕" w:hAnsi="Times New Roman"/>
          <w:color w:val="000000" w:themeColor="text1"/>
          <w:sz w:val="22"/>
          <w:szCs w:val="22"/>
          <w:lang w:eastAsia="ko-KR"/>
        </w:rPr>
        <w:t xml:space="preserve">| range. </w:t>
      </w:r>
      <w:proofErr w:type="spellStart"/>
      <w:proofErr w:type="gramStart"/>
      <w:r w:rsidR="001D2C8E" w:rsidRPr="0015183E">
        <w:rPr>
          <w:rFonts w:ascii="Times New Roman" w:eastAsia="바탕" w:hAnsi="Times New Roman"/>
          <w:b/>
          <w:bCs/>
          <w:color w:val="000000" w:themeColor="text1"/>
          <w:sz w:val="22"/>
          <w:szCs w:val="22"/>
          <w:lang w:eastAsia="ko-KR"/>
        </w:rPr>
        <w:t>g,h</w:t>
      </w:r>
      <w:proofErr w:type="spellEnd"/>
      <w:proofErr w:type="gramEnd"/>
      <w:r w:rsidR="001D2C8E" w:rsidRPr="0015183E">
        <w:rPr>
          <w:rFonts w:ascii="Times New Roman" w:eastAsia="바탕" w:hAnsi="Times New Roman"/>
          <w:color w:val="000000" w:themeColor="text1"/>
          <w:sz w:val="22"/>
          <w:szCs w:val="22"/>
          <w:lang w:eastAsia="ko-KR"/>
        </w:rPr>
        <w:t xml:space="preserve"> Full signed low-bias traces. V</w:t>
      </w:r>
      <w:r w:rsidR="001D2C8E" w:rsidRPr="0015183E">
        <w:rPr>
          <w:rFonts w:ascii="Times New Roman" w:eastAsia="바탕" w:hAnsi="Times New Roman"/>
          <w:color w:val="000000" w:themeColor="text1"/>
          <w:sz w:val="22"/>
          <w:szCs w:val="22"/>
          <w:vertAlign w:val="subscript"/>
          <w:lang w:eastAsia="ko-KR"/>
        </w:rPr>
        <w:t>D</w:t>
      </w:r>
      <w:r w:rsidR="001D2C8E" w:rsidRPr="0015183E">
        <w:rPr>
          <w:rFonts w:ascii="Times New Roman" w:eastAsia="바탕" w:hAnsi="Times New Roman"/>
          <w:color w:val="000000" w:themeColor="text1"/>
          <w:sz w:val="22"/>
          <w:szCs w:val="22"/>
          <w:lang w:eastAsia="ko-KR"/>
        </w:rPr>
        <w:t xml:space="preserve"> = −0.1 V throughout; n = 30 per density and bias condition.</w:t>
      </w:r>
    </w:p>
    <w:p w14:paraId="212A414B" w14:textId="77777777" w:rsidR="0007714D" w:rsidRPr="0015183E" w:rsidRDefault="0007714D">
      <w:pPr>
        <w:rPr>
          <w:rFonts w:ascii="Times New Roman" w:eastAsiaTheme="minorEastAsia" w:hAnsi="Times New Roman"/>
          <w:b/>
          <w:bCs/>
          <w:color w:val="000000" w:themeColor="text1"/>
          <w:sz w:val="22"/>
          <w:szCs w:val="22"/>
        </w:rPr>
      </w:pPr>
      <w:r w:rsidRPr="0015183E">
        <w:rPr>
          <w:rFonts w:ascii="Times New Roman" w:hAnsi="Times New Roman"/>
          <w:b/>
          <w:bCs/>
          <w:color w:val="000000" w:themeColor="text1"/>
          <w:sz w:val="22"/>
          <w:szCs w:val="22"/>
        </w:rPr>
        <w:br w:type="page"/>
      </w:r>
    </w:p>
    <w:p w14:paraId="2C0B2568" w14:textId="7E15B0BD" w:rsidR="003616EC" w:rsidRPr="0015183E" w:rsidRDefault="003616EC" w:rsidP="00986E60">
      <w:pPr>
        <w:pStyle w:val="VAFigureCaption"/>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lastRenderedPageBreak/>
        <w:t xml:space="preserve">Compact-model calibration and electrostatic control of the </w:t>
      </w:r>
      <w:r w:rsidRPr="0015183E">
        <w:rPr>
          <w:rFonts w:ascii="Times New Roman" w:hAnsi="Times New Roman" w:hint="eastAsia"/>
          <w:b/>
          <w:bCs/>
          <w:color w:val="000000" w:themeColor="text1"/>
          <w:sz w:val="22"/>
          <w:szCs w:val="22"/>
          <w:lang w:eastAsia="ko-KR"/>
        </w:rPr>
        <w:t>PVR</w:t>
      </w:r>
      <w:r w:rsidRPr="0015183E">
        <w:rPr>
          <w:rFonts w:ascii="Times New Roman" w:hAnsi="Times New Roman"/>
          <w:b/>
          <w:bCs/>
          <w:color w:val="000000" w:themeColor="text1"/>
          <w:sz w:val="22"/>
          <w:szCs w:val="22"/>
        </w:rPr>
        <w:t xml:space="preserve"> response</w:t>
      </w:r>
    </w:p>
    <w:p w14:paraId="42A6BFCD" w14:textId="30E55CC8"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 xml:space="preserve">Supplementary Fig. </w:t>
      </w:r>
      <w:r w:rsidR="0007714D" w:rsidRPr="0015183E">
        <w:rPr>
          <w:rFonts w:ascii="Times New Roman" w:hAnsi="Times New Roman"/>
          <w:b/>
          <w:bCs/>
          <w:color w:val="000000" w:themeColor="text1"/>
          <w:sz w:val="22"/>
          <w:szCs w:val="22"/>
          <w:lang w:eastAsia="ko-KR"/>
        </w:rPr>
        <w:t>11</w:t>
      </w:r>
      <w:r w:rsidRPr="0015183E">
        <w:rPr>
          <w:rFonts w:ascii="Times New Roman" w:hAnsi="Times New Roman"/>
          <w:color w:val="000000" w:themeColor="text1"/>
          <w:sz w:val="22"/>
          <w:szCs w:val="22"/>
        </w:rPr>
        <w:t xml:space="preserve"> examines how common-gate and layer-selective parameter changes affect the operating voltage window and current contrast of the vertically stacked NTC transistor. The compact-model approach was motivated by Cao et al., who described CNT network transistors using a Level 3 p-channel MOSFET model combined with a parallel voltage-controlled current source to account for ambipolar conduction [5]. In the present work, the electron and hole branches of the lower-layer transistor were parameterized separately using HSPICE Level 3 models and combined to describe its electron-dominant ambipolar response. A separate p-type model was used for the upper-layer transistor. The reference model parameters are summarized in </w:t>
      </w:r>
      <w:r w:rsidRPr="0015183E">
        <w:rPr>
          <w:rFonts w:ascii="Times New Roman" w:hAnsi="Times New Roman"/>
          <w:b/>
          <w:bCs/>
          <w:color w:val="000000" w:themeColor="text1"/>
          <w:sz w:val="22"/>
          <w:szCs w:val="22"/>
        </w:rPr>
        <w:t>Supplementary Table 2</w:t>
      </w:r>
      <w:r w:rsidRPr="0015183E">
        <w:rPr>
          <w:rFonts w:ascii="Times New Roman" w:hAnsi="Times New Roman"/>
          <w:color w:val="000000" w:themeColor="text1"/>
          <w:sz w:val="22"/>
          <w:szCs w:val="22"/>
        </w:rPr>
        <w:t xml:space="preserve">. The model dimensions were W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L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reference KP was 20 × 10</w:t>
      </w:r>
      <w:r w:rsidRPr="0015183E">
        <w:rPr>
          <w:rFonts w:ascii="Times New Roman" w:hAnsi="Times New Roman"/>
          <w:color w:val="000000" w:themeColor="text1"/>
          <w:sz w:val="22"/>
          <w:szCs w:val="22"/>
          <w:vertAlign w:val="superscript"/>
        </w:rPr>
        <w:t>–6</w:t>
      </w:r>
      <w:r w:rsidRPr="0015183E">
        <w:rPr>
          <w:rFonts w:ascii="Times New Roman" w:hAnsi="Times New Roman"/>
          <w:color w:val="000000" w:themeColor="text1"/>
          <w:sz w:val="22"/>
          <w:szCs w:val="22"/>
        </w:rPr>
        <w:t xml:space="preserve"> A</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for each branch model. In HSPICE, KP is the intrinsic transconductance parameter, whereas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specifies the model threshold-voltage parameter [6].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is therefore distinguished from the constant-current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extracted from the measured transfer characteristics. The isolated lower- and upper-layer responses were evaluated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and –0.1 V, respectively, and the series-connected stack was simulated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over a common-gate voltage range of –3 to 3 V.</w:t>
      </w:r>
    </w:p>
    <w:p w14:paraId="1218FE15" w14:textId="5234848C"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 xml:space="preserve">Supplementary Fig. </w:t>
      </w:r>
      <w:r w:rsidR="0007714D" w:rsidRPr="0015183E">
        <w:rPr>
          <w:rFonts w:ascii="Times New Roman" w:hAnsi="Times New Roman"/>
          <w:b/>
          <w:bCs/>
          <w:color w:val="000000" w:themeColor="text1"/>
          <w:sz w:val="22"/>
          <w:szCs w:val="22"/>
          <w:lang w:eastAsia="ko-KR"/>
        </w:rPr>
        <w:t>11</w:t>
      </w:r>
      <w:r w:rsidRPr="0015183E">
        <w:rPr>
          <w:rFonts w:ascii="Times New Roman" w:hAnsi="Times New Roman"/>
          <w:b/>
          <w:bCs/>
          <w:color w:val="000000" w:themeColor="text1"/>
          <w:sz w:val="22"/>
          <w:szCs w:val="22"/>
        </w:rPr>
        <w:t>a</w:t>
      </w:r>
      <w:r w:rsidRPr="0015183E">
        <w:rPr>
          <w:rFonts w:ascii="Times New Roman" w:hAnsi="Times New Roman"/>
          <w:color w:val="000000" w:themeColor="text1"/>
          <w:sz w:val="22"/>
          <w:szCs w:val="22"/>
        </w:rPr>
        <w:t xml:space="preserve"> compares the measured transfer characteristics with the fitted constituent-channel responses and shows the simulated response of the series-connected stack. The models capture the upper-layer p-type response and the lower-layer conductance minimum followed by the rising electron branch. A discrepancy remains near the transition from subthreshold to on-state electron conduction in the lower-layer transistor. In this more positive gate-voltage region, however, the upper channel increasingly limits the current through the complete device. The lower-layer fitting discrepancy is therefore expected to have a reduced influence on the stack response in this region, although its quantitative contribution was not separately evaluated. Connecting the fitted models in series produces a current valley, a subsequent current peak and a decreasing post-peak response, consistent with the principal features of the measured nonmonotonic transfer characteristic. </w:t>
      </w:r>
    </w:p>
    <w:p w14:paraId="63D8209A" w14:textId="512B323A" w:rsidR="003616EC" w:rsidRPr="0015183E" w:rsidRDefault="003616EC" w:rsidP="007411B7">
      <w:pPr>
        <w:pStyle w:val="VAFigureCaption"/>
        <w:ind w:firstLineChars="100" w:firstLine="220"/>
        <w:rPr>
          <w:rFonts w:ascii="굴림" w:eastAsia="굴림" w:hAnsi="굴림" w:cs="굴림"/>
          <w:color w:val="000000" w:themeColor="text1"/>
          <w:szCs w:val="24"/>
          <w:lang w:eastAsia="ko-KR"/>
        </w:rPr>
      </w:pPr>
      <w:r w:rsidRPr="0015183E">
        <w:rPr>
          <w:rFonts w:ascii="Times New Roman" w:hAnsi="Times New Roman"/>
          <w:color w:val="000000" w:themeColor="text1"/>
          <w:sz w:val="22"/>
          <w:szCs w:val="22"/>
        </w:rPr>
        <w:lastRenderedPageBreak/>
        <w:t xml:space="preserve">In </w:t>
      </w:r>
      <w:r w:rsidRPr="0015183E">
        <w:rPr>
          <w:rFonts w:ascii="Times New Roman" w:hAnsi="Times New Roman"/>
          <w:b/>
          <w:bCs/>
          <w:color w:val="000000" w:themeColor="text1"/>
          <w:sz w:val="22"/>
          <w:szCs w:val="22"/>
        </w:rPr>
        <w:t xml:space="preserve">Supplementary Fig. </w:t>
      </w:r>
      <w:r w:rsidR="0007714D" w:rsidRPr="0015183E">
        <w:rPr>
          <w:rFonts w:ascii="Times New Roman" w:hAnsi="Times New Roman"/>
          <w:b/>
          <w:bCs/>
          <w:color w:val="000000" w:themeColor="text1"/>
          <w:sz w:val="22"/>
          <w:szCs w:val="22"/>
          <w:lang w:eastAsia="ko-KR"/>
        </w:rPr>
        <w:t>11</w:t>
      </w:r>
      <w:r w:rsidRPr="0015183E">
        <w:rPr>
          <w:rFonts w:ascii="Times New Roman" w:hAnsi="Times New Roman"/>
          <w:b/>
          <w:bCs/>
          <w:color w:val="000000" w:themeColor="text1"/>
          <w:sz w:val="22"/>
          <w:szCs w:val="22"/>
        </w:rPr>
        <w:t>b</w:t>
      </w:r>
      <w:r w:rsidRPr="0015183E">
        <w:rPr>
          <w:rFonts w:ascii="Times New Roman" w:hAnsi="Times New Roman"/>
          <w:color w:val="000000" w:themeColor="text1"/>
          <w:sz w:val="22"/>
          <w:szCs w:val="22"/>
        </w:rPr>
        <w:t>, the common-gate work-function variation was represented by coordinated changes in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for the lower-layer electron and hole branches and the upper-layer p-type model. The reference condition and work-function offsets of </w:t>
      </w:r>
      <w:proofErr w:type="spellStart"/>
      <w:r w:rsidRPr="0015183E">
        <w:rPr>
          <w:rFonts w:ascii="Times New Roman" w:hAnsi="Times New Roman"/>
          <w:color w:val="000000" w:themeColor="text1"/>
          <w:sz w:val="22"/>
          <w:szCs w:val="22"/>
        </w:rPr>
        <w:t>Δφ</w:t>
      </w:r>
      <w:r w:rsidRPr="0015183E">
        <w:rPr>
          <w:rFonts w:ascii="Times New Roman" w:hAnsi="Times New Roman"/>
          <w:color w:val="000000" w:themeColor="text1"/>
          <w:sz w:val="22"/>
          <w:szCs w:val="22"/>
          <w:vertAlign w:val="subscript"/>
          <w:lang w:eastAsia="ko-KR"/>
        </w:rPr>
        <w:t>m</w:t>
      </w:r>
      <w:proofErr w:type="spellEnd"/>
      <w:r w:rsidRPr="0015183E">
        <w:rPr>
          <w:rFonts w:ascii="Times New Roman" w:hAnsi="Times New Roman"/>
          <w:color w:val="000000" w:themeColor="text1"/>
          <w:sz w:val="22"/>
          <w:szCs w:val="22"/>
        </w:rPr>
        <w:t xml:space="preserve"> = –1.0 and +0.7 eV were represented by the corresponding threshold-voltage shifts rather than by explicitly introducing different gate metals. The lower-work-function condition shifts the current valley, current peak and NTC interval toward more negative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Common</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whereas the higher-work-function condition shifts these features toward more positive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Common</w:t>
      </w:r>
      <w:proofErr w:type="spellEnd"/>
      <w:r w:rsidRPr="0015183E">
        <w:rPr>
          <w:rFonts w:ascii="Times New Roman" w:hAnsi="Times New Roman"/>
          <w:color w:val="000000" w:themeColor="text1"/>
          <w:sz w:val="22"/>
          <w:szCs w:val="22"/>
          <w:vertAlign w:val="subscript"/>
        </w:rPr>
        <w:t>-gate</w:t>
      </w:r>
      <w:r w:rsidRPr="0015183E">
        <w:rPr>
          <w:rFonts w:ascii="Times New Roman" w:hAnsi="Times New Roman"/>
          <w:color w:val="000000" w:themeColor="text1"/>
          <w:sz w:val="22"/>
          <w:szCs w:val="22"/>
        </w:rPr>
        <w:t xml:space="preserve">. Because the constituent-channel responses shift together, their relative alignment is largely preserved, and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and PVR remain nearly unchanged.</w:t>
      </w:r>
      <w:r w:rsidRPr="0015183E">
        <w:rPr>
          <w:rFonts w:ascii="굴림" w:eastAsia="굴림" w:hAnsi="굴림" w:cs="굴림"/>
          <w:color w:val="000000" w:themeColor="text1"/>
          <w:szCs w:val="24"/>
          <w:lang w:eastAsia="ko-KR"/>
        </w:rPr>
        <w:t xml:space="preserve"> </w:t>
      </w:r>
    </w:p>
    <w:p w14:paraId="75679DE4" w14:textId="3B24B8C1"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In </w:t>
      </w:r>
      <w:r w:rsidRPr="0015183E">
        <w:rPr>
          <w:rFonts w:ascii="Times New Roman" w:hAnsi="Times New Roman"/>
          <w:b/>
          <w:bCs/>
          <w:color w:val="000000" w:themeColor="text1"/>
          <w:sz w:val="22"/>
          <w:szCs w:val="22"/>
        </w:rPr>
        <w:t xml:space="preserve">Supplementary Fig. </w:t>
      </w:r>
      <w:r w:rsidR="0007714D" w:rsidRPr="0015183E">
        <w:rPr>
          <w:rFonts w:ascii="Times New Roman" w:hAnsi="Times New Roman"/>
          <w:b/>
          <w:bCs/>
          <w:color w:val="000000" w:themeColor="text1"/>
          <w:sz w:val="22"/>
          <w:szCs w:val="22"/>
          <w:lang w:eastAsia="ko-KR"/>
        </w:rPr>
        <w:t>11</w:t>
      </w:r>
      <w:r w:rsidRPr="0015183E">
        <w:rPr>
          <w:rFonts w:ascii="Times New Roman" w:hAnsi="Times New Roman"/>
          <w:b/>
          <w:bCs/>
          <w:color w:val="000000" w:themeColor="text1"/>
          <w:sz w:val="22"/>
          <w:szCs w:val="22"/>
        </w:rPr>
        <w:t>c</w:t>
      </w:r>
      <w:r w:rsidRPr="0015183E">
        <w:rPr>
          <w:rFonts w:ascii="Times New Roman" w:hAnsi="Times New Roman"/>
          <w:color w:val="000000" w:themeColor="text1"/>
          <w:sz w:val="22"/>
          <w:szCs w:val="22"/>
        </w:rPr>
        <w:t>, the effect of the upper-layer gate dielectric was represented by adjusting the upper-layer KP while retaining the lower-layer model. This parameterization was motivated by the compact-model relationship [6],</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 xml:space="preserve">KP = </w:t>
      </w:r>
      <w:r w:rsidRPr="0015183E">
        <w:rPr>
          <w:rFonts w:ascii="Times New Roman" w:eastAsia="맑은 고딕" w:hAnsi="Times New Roman"/>
          <w:color w:val="000000" w:themeColor="text1"/>
          <w:sz w:val="22"/>
          <w:szCs w:val="22"/>
        </w:rPr>
        <w:t>μ</w:t>
      </w:r>
      <w:r w:rsidRPr="0015183E">
        <w:rPr>
          <w:rFonts w:ascii="Times New Roman" w:hAnsi="Times New Roman"/>
          <w:color w:val="000000" w:themeColor="text1"/>
          <w:sz w:val="22"/>
          <w:szCs w:val="22"/>
          <w:vertAlign w:val="subscript"/>
        </w:rPr>
        <w:t>0</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C</w:t>
      </w:r>
      <w:r w:rsidRPr="0015183E">
        <w:rPr>
          <w:rFonts w:ascii="Times New Roman" w:hAnsi="Times New Roman"/>
          <w:color w:val="000000" w:themeColor="text1"/>
          <w:sz w:val="22"/>
          <w:szCs w:val="22"/>
          <w:vertAlign w:val="subscript"/>
        </w:rPr>
        <w:t>ox</w:t>
      </w:r>
      <w:r w:rsidRPr="0015183E">
        <w:rPr>
          <w:rFonts w:ascii="Times New Roman" w:hAnsi="Times New Roman"/>
          <w:color w:val="000000" w:themeColor="text1"/>
          <w:sz w:val="22"/>
          <w:szCs w:val="22"/>
        </w:rPr>
        <w:t>,</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 xml:space="preserve">where </w:t>
      </w:r>
      <w:r w:rsidRPr="0015183E">
        <w:rPr>
          <w:rFonts w:ascii="Times New Roman" w:eastAsia="맑은 고딕" w:hAnsi="Times New Roman"/>
          <w:color w:val="000000" w:themeColor="text1"/>
          <w:sz w:val="22"/>
          <w:szCs w:val="22"/>
        </w:rPr>
        <w:t>μ</w:t>
      </w:r>
      <w:r w:rsidRPr="0015183E">
        <w:rPr>
          <w:rFonts w:ascii="Times New Roman" w:hAnsi="Times New Roman"/>
          <w:color w:val="000000" w:themeColor="text1"/>
          <w:sz w:val="22"/>
          <w:szCs w:val="22"/>
          <w:vertAlign w:val="subscript"/>
        </w:rPr>
        <w:t>0</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is the low-field mobility expressed in m</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V</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 s</w:t>
      </w:r>
      <w:r w:rsidRPr="0015183E">
        <w:rPr>
          <w:rFonts w:ascii="Times New Roman" w:hAnsi="Times New Roman"/>
          <w:color w:val="000000" w:themeColor="text1"/>
          <w:sz w:val="22"/>
          <w:szCs w:val="22"/>
          <w:vertAlign w:val="superscript"/>
        </w:rPr>
        <w:t>–1</w:t>
      </w:r>
      <w:r w:rsidRPr="0015183E">
        <w:rPr>
          <w:rFonts w:ascii="Times New Roman" w:hAnsi="Times New Roman"/>
          <w:color w:val="000000" w:themeColor="text1"/>
          <w:sz w:val="22"/>
          <w:szCs w:val="22"/>
        </w:rPr>
        <w:t xml:space="preserve"> and C</w:t>
      </w:r>
      <w:r w:rsidRPr="0015183E">
        <w:rPr>
          <w:rFonts w:ascii="Times New Roman" w:hAnsi="Times New Roman"/>
          <w:color w:val="000000" w:themeColor="text1"/>
          <w:sz w:val="22"/>
          <w:szCs w:val="22"/>
          <w:vertAlign w:val="subscript"/>
        </w:rPr>
        <w:t>ox</w:t>
      </w:r>
      <w:r w:rsidRPr="0015183E">
        <w:rPr>
          <w:rFonts w:ascii="Times New Roman" w:hAnsi="Times New Roman"/>
          <w:color w:val="000000" w:themeColor="text1"/>
          <w:sz w:val="22"/>
          <w:szCs w:val="22"/>
        </w:rPr>
        <w:t xml:space="preserve"> is the oxide capacitance per unit area expressed in F</w:t>
      </w:r>
      <w:r w:rsidRPr="0015183E">
        <w:rPr>
          <w:rFonts w:ascii="Times New Roman" w:hAnsi="Times New Roman" w:hint="eastAsia"/>
          <w:color w:val="000000" w:themeColor="text1"/>
          <w:sz w:val="22"/>
          <w:szCs w:val="22"/>
          <w:lang w:eastAsia="ko-KR"/>
        </w:rPr>
        <w:t>/</w:t>
      </w:r>
      <w:r w:rsidRPr="0015183E">
        <w:rPr>
          <w:rFonts w:ascii="Times New Roman" w:hAnsi="Times New Roman"/>
          <w:color w:val="000000" w:themeColor="text1"/>
          <w:sz w:val="22"/>
          <w:szCs w:val="22"/>
        </w:rPr>
        <w:t>m</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At fixed mobility, a change in C</w:t>
      </w:r>
      <w:r w:rsidRPr="0015183E">
        <w:rPr>
          <w:rFonts w:ascii="Times New Roman" w:hAnsi="Times New Roman"/>
          <w:color w:val="000000" w:themeColor="text1"/>
          <w:sz w:val="22"/>
          <w:szCs w:val="22"/>
          <w:vertAlign w:val="subscript"/>
        </w:rPr>
        <w:t>ox</w:t>
      </w:r>
      <w:r w:rsidRPr="0015183E">
        <w:rPr>
          <w:rFonts w:ascii="Times New Roman" w:hAnsi="Times New Roman"/>
          <w:color w:val="000000" w:themeColor="text1"/>
          <w:sz w:val="22"/>
          <w:szCs w:val="22"/>
        </w:rPr>
        <w:t xml:space="preserve"> changes the current-strength parameter KP. Here, the gate-capacitance contribution was represented through KP rather than through a complete recalculation of the dielectric electrostatics. The reference dielectric condition was </w:t>
      </w:r>
      <w:proofErr w:type="spellStart"/>
      <w:r w:rsidRPr="0015183E">
        <w:rPr>
          <w:rFonts w:ascii="Times New Roman" w:hAnsi="Times New Roman"/>
          <w:color w:val="000000" w:themeColor="text1"/>
          <w:sz w:val="22"/>
          <w:szCs w:val="22"/>
        </w:rPr>
        <w:t>κ</w:t>
      </w:r>
      <w:r w:rsidRPr="0015183E">
        <w:rPr>
          <w:rFonts w:ascii="Times New Roman" w:hAnsi="Times New Roman"/>
          <w:color w:val="000000" w:themeColor="text1"/>
          <w:sz w:val="22"/>
          <w:szCs w:val="22"/>
          <w:vertAlign w:val="subscript"/>
        </w:rPr>
        <w:t>UL</w:t>
      </w:r>
      <w:proofErr w:type="spellEnd"/>
      <w:r w:rsidRPr="0015183E">
        <w:rPr>
          <w:rFonts w:ascii="Times New Roman" w:hAnsi="Times New Roman"/>
          <w:color w:val="000000" w:themeColor="text1"/>
          <w:sz w:val="22"/>
          <w:szCs w:val="22"/>
        </w:rPr>
        <w:t xml:space="preserve"> = 20. Values of </w:t>
      </w:r>
      <w:proofErr w:type="spellStart"/>
      <w:r w:rsidRPr="0015183E">
        <w:rPr>
          <w:rFonts w:ascii="Times New Roman" w:hAnsi="Times New Roman"/>
          <w:color w:val="000000" w:themeColor="text1"/>
          <w:sz w:val="22"/>
          <w:szCs w:val="22"/>
        </w:rPr>
        <w:t>κ</w:t>
      </w:r>
      <w:r w:rsidRPr="0015183E">
        <w:rPr>
          <w:rFonts w:ascii="Times New Roman" w:hAnsi="Times New Roman"/>
          <w:color w:val="000000" w:themeColor="text1"/>
          <w:sz w:val="22"/>
          <w:szCs w:val="22"/>
          <w:vertAlign w:val="subscript"/>
        </w:rPr>
        <w:t>UL</w:t>
      </w:r>
      <w:proofErr w:type="spellEnd"/>
      <w:r w:rsidRPr="0015183E">
        <w:rPr>
          <w:rFonts w:ascii="Times New Roman" w:hAnsi="Times New Roman"/>
          <w:color w:val="000000" w:themeColor="text1"/>
          <w:sz w:val="22"/>
          <w:szCs w:val="22"/>
        </w:rPr>
        <w:t xml:space="preserve"> = 9 and 25 were selected as representative conditions motivated by Al</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O</w:t>
      </w:r>
      <w:r w:rsidRPr="0015183E">
        <w:rPr>
          <w:rFonts w:ascii="Times New Roman" w:hAnsi="Times New Roman"/>
          <w:color w:val="000000" w:themeColor="text1"/>
          <w:sz w:val="22"/>
          <w:szCs w:val="22"/>
          <w:vertAlign w:val="subscript"/>
        </w:rPr>
        <w:t>3</w:t>
      </w:r>
      <w:r w:rsidRPr="0015183E">
        <w:rPr>
          <w:rFonts w:ascii="Times New Roman" w:hAnsi="Times New Roman"/>
          <w:color w:val="000000" w:themeColor="text1"/>
          <w:sz w:val="22"/>
          <w:szCs w:val="22"/>
        </w:rPr>
        <w:t xml:space="preserve"> and ZrO</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respectively [7]. Increasing the upper-layer KP associated with these dielectric conditions raises the simulated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 xml:space="preserve">, whereas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remains nearly unchanged. PVR, calculated as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using the current peak and its preceding valley, increases from 75 at </w:t>
      </w:r>
      <w:proofErr w:type="spellStart"/>
      <w:r w:rsidRPr="0015183E">
        <w:rPr>
          <w:rFonts w:ascii="Times New Roman" w:hAnsi="Times New Roman"/>
          <w:color w:val="000000" w:themeColor="text1"/>
          <w:sz w:val="22"/>
          <w:szCs w:val="22"/>
        </w:rPr>
        <w:t>κ</w:t>
      </w:r>
      <w:r w:rsidRPr="0015183E">
        <w:rPr>
          <w:rFonts w:ascii="Times New Roman" w:hAnsi="Times New Roman"/>
          <w:color w:val="000000" w:themeColor="text1"/>
          <w:sz w:val="22"/>
          <w:szCs w:val="22"/>
          <w:vertAlign w:val="subscript"/>
        </w:rPr>
        <w:t>UL</w:t>
      </w:r>
      <w:proofErr w:type="spellEnd"/>
      <w:r w:rsidRPr="0015183E">
        <w:rPr>
          <w:rFonts w:ascii="Times New Roman" w:hAnsi="Times New Roman"/>
          <w:color w:val="000000" w:themeColor="text1"/>
          <w:sz w:val="22"/>
          <w:szCs w:val="22"/>
        </w:rPr>
        <w:t xml:space="preserve"> = 9 to 122.53 at </w:t>
      </w:r>
      <w:proofErr w:type="spellStart"/>
      <w:r w:rsidRPr="0015183E">
        <w:rPr>
          <w:rFonts w:ascii="Times New Roman" w:hAnsi="Times New Roman"/>
          <w:color w:val="000000" w:themeColor="text1"/>
          <w:sz w:val="22"/>
          <w:szCs w:val="22"/>
        </w:rPr>
        <w:t>κ</w:t>
      </w:r>
      <w:r w:rsidRPr="0015183E">
        <w:rPr>
          <w:rFonts w:ascii="Times New Roman" w:hAnsi="Times New Roman"/>
          <w:color w:val="000000" w:themeColor="text1"/>
          <w:sz w:val="22"/>
          <w:szCs w:val="22"/>
          <w:vertAlign w:val="subscript"/>
        </w:rPr>
        <w:t>UL</w:t>
      </w:r>
      <w:proofErr w:type="spellEnd"/>
      <w:r w:rsidRPr="0015183E">
        <w:rPr>
          <w:rFonts w:ascii="Times New Roman" w:hAnsi="Times New Roman"/>
          <w:color w:val="000000" w:themeColor="text1"/>
          <w:sz w:val="22"/>
          <w:szCs w:val="22"/>
        </w:rPr>
        <w:t xml:space="preserve"> = 20 and 141.39 at </w:t>
      </w:r>
      <w:proofErr w:type="spellStart"/>
      <w:r w:rsidRPr="0015183E">
        <w:rPr>
          <w:rFonts w:ascii="Times New Roman" w:hAnsi="Times New Roman"/>
          <w:color w:val="000000" w:themeColor="text1"/>
          <w:sz w:val="22"/>
          <w:szCs w:val="22"/>
        </w:rPr>
        <w:t>κ</w:t>
      </w:r>
      <w:r w:rsidRPr="0015183E">
        <w:rPr>
          <w:rFonts w:ascii="Times New Roman" w:hAnsi="Times New Roman"/>
          <w:color w:val="000000" w:themeColor="text1"/>
          <w:sz w:val="22"/>
          <w:szCs w:val="22"/>
          <w:vertAlign w:val="subscript"/>
        </w:rPr>
        <w:t>UL</w:t>
      </w:r>
      <w:proofErr w:type="spellEnd"/>
      <w:r w:rsidRPr="0015183E">
        <w:rPr>
          <w:rFonts w:ascii="Times New Roman" w:hAnsi="Times New Roman"/>
          <w:color w:val="000000" w:themeColor="text1"/>
          <w:sz w:val="22"/>
          <w:szCs w:val="22"/>
        </w:rPr>
        <w:t xml:space="preserve"> = 25. Unlike the common-gate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adjustment, this layer-selective change modifies the upper-layer current relative to the fixed lower-layer response and thereby changes the peak-to-valley current contrast. </w:t>
      </w:r>
    </w:p>
    <w:p w14:paraId="0FFC48D4" w14:textId="15BD43FF" w:rsidR="009B58A8"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These analyses distinguish a common shift of the constituent-channel responses from a layer-selective change in their relative current levels. Within the calibrated compact model, the former primarily translates the operating voltage window, whereas the latter adjusts the current peak and PVR. The results describe phenomenological trends obtained by varying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and KP and do not constitute direct measurements or full material-specific predictions for replacement gate metals and dielectrics.</w:t>
      </w:r>
    </w:p>
    <w:p w14:paraId="5C829F71" w14:textId="77777777" w:rsidR="009B58A8" w:rsidRPr="0015183E" w:rsidRDefault="009B58A8" w:rsidP="003711F9">
      <w:pPr>
        <w:pStyle w:val="VAFigureCaption"/>
        <w:spacing w:line="360" w:lineRule="auto"/>
        <w:jc w:val="center"/>
        <w:rPr>
          <w:rFonts w:ascii="Times New Roman" w:eastAsia="바탕" w:hAnsi="Times New Roman"/>
          <w:color w:val="000000" w:themeColor="text1"/>
          <w:sz w:val="22"/>
          <w:szCs w:val="22"/>
          <w:lang w:eastAsia="ko-KR"/>
        </w:rPr>
      </w:pPr>
      <w:r w:rsidRPr="0015183E">
        <w:rPr>
          <w:rFonts w:ascii="Times New Roman" w:eastAsia="바탕" w:hAnsi="Times New Roman"/>
          <w:noProof/>
          <w:color w:val="000000" w:themeColor="text1"/>
          <w:sz w:val="22"/>
          <w:szCs w:val="22"/>
          <w:lang w:eastAsia="ko-KR"/>
        </w:rPr>
        <w:lastRenderedPageBreak/>
        <w:drawing>
          <wp:inline distT="0" distB="0" distL="0" distR="0" wp14:anchorId="24519290" wp14:editId="687057B5">
            <wp:extent cx="5943600" cy="4041775"/>
            <wp:effectExtent l="0" t="0" r="0" b="0"/>
            <wp:docPr id="641764570" name="그림 8">
              <a:extLst xmlns:a="http://schemas.openxmlformats.org/drawingml/2006/main">
                <a:ext uri="{FF2B5EF4-FFF2-40B4-BE49-F238E27FC236}">
                  <a16:creationId xmlns:a16="http://schemas.microsoft.com/office/drawing/2014/main" id="{A2F37AD9-CE21-21D4-F8D5-33B35E9278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A2F37AD9-CE21-21D4-F8D5-33B35E927841}"/>
                        </a:ext>
                      </a:extLst>
                    </pic:cNvPr>
                    <pic:cNvPicPr>
                      <a:picLocks noChangeAspect="1"/>
                    </pic:cNvPicPr>
                  </pic:nvPicPr>
                  <pic:blipFill>
                    <a:blip r:embed="rId30"/>
                    <a:srcRect l="2313" t="1840" r="1853" b="5961"/>
                    <a:stretch>
                      <a:fillRect/>
                    </a:stretch>
                  </pic:blipFill>
                  <pic:spPr>
                    <a:xfrm>
                      <a:off x="0" y="0"/>
                      <a:ext cx="5943600" cy="4041775"/>
                    </a:xfrm>
                    <a:prstGeom prst="rect">
                      <a:avLst/>
                    </a:prstGeom>
                  </pic:spPr>
                </pic:pic>
              </a:graphicData>
            </a:graphic>
          </wp:inline>
        </w:drawing>
      </w:r>
    </w:p>
    <w:p w14:paraId="1A2B9542" w14:textId="3BDB3C22"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0007714D" w:rsidRPr="0015183E">
        <w:rPr>
          <w:rStyle w:val="selected"/>
          <w:rFonts w:ascii="Times New Roman" w:hAnsi="Times New Roman"/>
          <w:b/>
          <w:color w:val="000000" w:themeColor="text1"/>
          <w:sz w:val="22"/>
          <w:szCs w:val="22"/>
          <w:lang w:eastAsia="ko-KR"/>
        </w:rPr>
        <w:t>11</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 xml:space="preserve">Compact-model fitting and electrostatic parametric analysis of the vertically stacked NTC transistor. </w:t>
      </w:r>
      <w:r w:rsidRPr="0015183E">
        <w:rPr>
          <w:rFonts w:ascii="Times New Roman" w:eastAsia="바탕" w:hAnsi="Times New Roman"/>
          <w:b/>
          <w:bCs/>
          <w:color w:val="000000" w:themeColor="text1"/>
          <w:sz w:val="22"/>
          <w:szCs w:val="22"/>
          <w:lang w:eastAsia="ko-KR"/>
        </w:rPr>
        <w:t>a</w:t>
      </w:r>
      <w:r w:rsidRPr="0015183E">
        <w:rPr>
          <w:rFonts w:ascii="Times New Roman" w:eastAsia="바탕" w:hAnsi="Times New Roman"/>
          <w:color w:val="000000" w:themeColor="text1"/>
          <w:sz w:val="22"/>
          <w:szCs w:val="22"/>
          <w:lang w:eastAsia="ko-KR"/>
        </w:rPr>
        <w:t xml:space="preserve"> Measured transfer characteristics (open circles) and HSPICE Level 3 fitting results (solid lines) for the upper-layer p-type transistor (left) and lower-layer electron-dominant ambipolar transistor (middle). The right plot shows the simulated transfer characteristic of the series-connected stack (red), with the upper- and lower-layer model responses shown as dashed green and blue curves for comparison. </w:t>
      </w:r>
      <w:r w:rsidRPr="0015183E">
        <w:rPr>
          <w:rFonts w:ascii="Times New Roman" w:eastAsia="바탕" w:hAnsi="Times New Roman"/>
          <w:b/>
          <w:bCs/>
          <w:color w:val="000000" w:themeColor="text1"/>
          <w:sz w:val="22"/>
          <w:szCs w:val="22"/>
          <w:lang w:eastAsia="ko-KR"/>
        </w:rPr>
        <w:t>b</w:t>
      </w:r>
      <w:r w:rsidRPr="0015183E">
        <w:rPr>
          <w:rFonts w:ascii="Times New Roman" w:eastAsia="바탕" w:hAnsi="Times New Roman"/>
          <w:color w:val="000000" w:themeColor="text1"/>
          <w:sz w:val="22"/>
          <w:szCs w:val="22"/>
          <w:lang w:eastAsia="ko-KR"/>
        </w:rPr>
        <w:t xml:space="preserve"> Simulated common-gate transfer characteristics for work-function offsets </w:t>
      </w:r>
      <w:proofErr w:type="spellStart"/>
      <w:r w:rsidRPr="0015183E">
        <w:rPr>
          <w:rFonts w:ascii="Times New Roman" w:eastAsia="바탕" w:hAnsi="Times New Roman"/>
          <w:color w:val="000000" w:themeColor="text1"/>
          <w:sz w:val="22"/>
          <w:szCs w:val="22"/>
          <w:lang w:eastAsia="ko-KR"/>
        </w:rPr>
        <w:t>Δφ</w:t>
      </w:r>
      <w:r w:rsidRPr="0015183E">
        <w:rPr>
          <w:rFonts w:ascii="Times New Roman" w:eastAsia="바탕" w:hAnsi="Times New Roman"/>
          <w:color w:val="000000" w:themeColor="text1"/>
          <w:sz w:val="22"/>
          <w:szCs w:val="22"/>
          <w:vertAlign w:val="subscript"/>
          <w:lang w:eastAsia="ko-KR"/>
        </w:rPr>
        <w:t>m</w:t>
      </w:r>
      <w:proofErr w:type="spellEnd"/>
      <w:r w:rsidRPr="0015183E">
        <w:rPr>
          <w:rFonts w:ascii="Times New Roman" w:eastAsia="바탕" w:hAnsi="Times New Roman"/>
          <w:color w:val="000000" w:themeColor="text1"/>
          <w:sz w:val="22"/>
          <w:szCs w:val="22"/>
          <w:lang w:eastAsia="ko-KR"/>
        </w:rPr>
        <w:t xml:space="preserve"> = –1.0, 0 and +0.7 eV, represented by the yellow, red and cyan curves, respectively. The black dashed guides indicate the nearly unchanged peak and valley current levels. </w:t>
      </w:r>
      <w:r w:rsidRPr="0015183E">
        <w:rPr>
          <w:rFonts w:ascii="Times New Roman" w:eastAsia="바탕" w:hAnsi="Times New Roman"/>
          <w:b/>
          <w:bCs/>
          <w:color w:val="000000" w:themeColor="text1"/>
          <w:sz w:val="22"/>
          <w:szCs w:val="22"/>
          <w:lang w:eastAsia="ko-KR"/>
        </w:rPr>
        <w:t>c</w:t>
      </w:r>
      <w:r w:rsidRPr="0015183E">
        <w:rPr>
          <w:rFonts w:ascii="Times New Roman" w:eastAsia="바탕" w:hAnsi="Times New Roman"/>
          <w:color w:val="000000" w:themeColor="text1"/>
          <w:sz w:val="22"/>
          <w:szCs w:val="22"/>
          <w:lang w:eastAsia="ko-KR"/>
        </w:rPr>
        <w:t xml:space="preserve"> Simulated common-gate transfer characteristics for upper-layer gate dielectric relative </w:t>
      </w:r>
      <w:proofErr w:type="spellStart"/>
      <w:r w:rsidRPr="0015183E">
        <w:rPr>
          <w:rFonts w:ascii="Times New Roman" w:eastAsia="바탕" w:hAnsi="Times New Roman"/>
          <w:color w:val="000000" w:themeColor="text1"/>
          <w:sz w:val="22"/>
          <w:szCs w:val="22"/>
          <w:lang w:eastAsia="ko-KR"/>
        </w:rPr>
        <w:t>permittivities</w:t>
      </w:r>
      <w:proofErr w:type="spellEnd"/>
      <w:r w:rsidRPr="0015183E">
        <w:rPr>
          <w:rFonts w:ascii="Times New Roman" w:eastAsia="바탕" w:hAnsi="Times New Roman"/>
          <w:color w:val="000000" w:themeColor="text1"/>
          <w:sz w:val="22"/>
          <w:szCs w:val="22"/>
          <w:lang w:eastAsia="ko-KR"/>
        </w:rPr>
        <w:t xml:space="preserve"> </w:t>
      </w:r>
      <w:proofErr w:type="spellStart"/>
      <w:r w:rsidRPr="0015183E">
        <w:rPr>
          <w:rFonts w:ascii="Times New Roman" w:eastAsia="바탕" w:hAnsi="Times New Roman"/>
          <w:color w:val="000000" w:themeColor="text1"/>
          <w:sz w:val="22"/>
          <w:szCs w:val="22"/>
          <w:lang w:eastAsia="ko-KR"/>
        </w:rPr>
        <w:t>κ</w:t>
      </w:r>
      <w:r w:rsidRPr="0015183E">
        <w:rPr>
          <w:rFonts w:ascii="Times New Roman" w:eastAsia="바탕" w:hAnsi="Times New Roman"/>
          <w:color w:val="000000" w:themeColor="text1"/>
          <w:sz w:val="22"/>
          <w:szCs w:val="22"/>
          <w:vertAlign w:val="subscript"/>
          <w:lang w:eastAsia="ko-KR"/>
        </w:rPr>
        <w:t>UL</w:t>
      </w:r>
      <w:proofErr w:type="spellEnd"/>
      <w:r w:rsidRPr="0015183E">
        <w:rPr>
          <w:rFonts w:ascii="Times New Roman" w:eastAsia="바탕" w:hAnsi="Times New Roman"/>
          <w:color w:val="000000" w:themeColor="text1"/>
          <w:sz w:val="22"/>
          <w:szCs w:val="22"/>
          <w:lang w:eastAsia="ko-KR"/>
        </w:rPr>
        <w:t xml:space="preserve"> = 9, 20 and 25. The arrow indicates increasing PVR. The model dimensions were W = 20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and L = 4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and the fitted parameters are summarized in Supplementary Table 2. The gate-voltage range was –3 to 3 V. The isolated upper- and lower-layer characteristics were evaluated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and +0.1 V, respectively, whereas the complete-device simulations were performed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w:t>
      </w:r>
    </w:p>
    <w:p w14:paraId="1509CB56" w14:textId="77777777" w:rsidR="009B58A8" w:rsidRPr="0015183E" w:rsidRDefault="009B58A8" w:rsidP="003711F9">
      <w:pPr>
        <w:rPr>
          <w:rFonts w:ascii="Times New Roman" w:hAnsi="Times New Roman"/>
          <w:color w:val="000000" w:themeColor="text1"/>
          <w:sz w:val="22"/>
          <w:szCs w:val="22"/>
          <w:lang w:eastAsia="ko-KR"/>
        </w:rPr>
      </w:pPr>
      <w:r w:rsidRPr="0015183E">
        <w:rPr>
          <w:rFonts w:ascii="Times New Roman" w:hAnsi="Times New Roman"/>
          <w:color w:val="000000" w:themeColor="text1"/>
          <w:sz w:val="22"/>
          <w:szCs w:val="22"/>
          <w:lang w:eastAsia="ko-KR"/>
        </w:rPr>
        <w:br w:type="page"/>
      </w:r>
    </w:p>
    <w:p w14:paraId="15E95A6C" w14:textId="77777777" w:rsidR="003616EC" w:rsidRPr="0015183E" w:rsidRDefault="003616EC" w:rsidP="00986E60">
      <w:pPr>
        <w:pStyle w:val="VAFigureCaption"/>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lastRenderedPageBreak/>
        <w:t>Conductance matching and the residual slope of the intermediate output state</w:t>
      </w:r>
    </w:p>
    <w:p w14:paraId="343EAF9C" w14:textId="4AFCCAE0"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1</w:t>
      </w:r>
      <w:r w:rsidR="0007714D" w:rsidRPr="0015183E">
        <w:rPr>
          <w:rFonts w:ascii="Times New Roman" w:hAnsi="Times New Roman"/>
          <w:b/>
          <w:bCs/>
          <w:color w:val="000000" w:themeColor="text1"/>
          <w:sz w:val="22"/>
          <w:szCs w:val="22"/>
          <w:lang w:eastAsia="ko-KR"/>
        </w:rPr>
        <w:t>2</w:t>
      </w:r>
      <w:r w:rsidRPr="0015183E">
        <w:rPr>
          <w:rFonts w:ascii="Times New Roman" w:hAnsi="Times New Roman"/>
          <w:color w:val="000000" w:themeColor="text1"/>
          <w:sz w:val="22"/>
          <w:szCs w:val="22"/>
        </w:rPr>
        <w:t xml:space="preserve"> compares an idealized conductance-matching picture with the measured transfer characteristics of the pull-up and pull-down devices. This comparison complements the interpretation of the finite slope within the intermediate-state window in </w:t>
      </w:r>
      <w:r w:rsidRPr="0015183E">
        <w:rPr>
          <w:rFonts w:ascii="Times New Roman" w:hAnsi="Times New Roman"/>
          <w:b/>
          <w:bCs/>
          <w:color w:val="000000" w:themeColor="text1"/>
          <w:sz w:val="22"/>
          <w:szCs w:val="22"/>
        </w:rPr>
        <w:t>Fig. 5c</w:t>
      </w:r>
      <w:r w:rsidRPr="0015183E">
        <w:rPr>
          <w:rFonts w:ascii="Times New Roman" w:hAnsi="Times New Roman"/>
          <w:color w:val="000000" w:themeColor="text1"/>
          <w:sz w:val="22"/>
          <w:szCs w:val="22"/>
        </w:rPr>
        <w:t>. The pull-up element is the complete vertically stacked NTC transistor, whereas the pull-down is a separate n-type CNT FET. Conductance matching here therefore refers to the two inverter paths rather than to the lower and upper channels within the series-connected stack.</w:t>
      </w:r>
    </w:p>
    <w:p w14:paraId="63E3CD5C" w14:textId="77777777"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The left schematic illustrates how the nonmonotonic pull-up response can be aligned with the opposing pull-down characteristic to provide a finite gate-voltage range over which their current-supporting capabilities are comparable. In the intermediate-input regime, both paths conduct, and voltage division between them establishes the intermediate output state, consistent with previous analyses of NTC-based ternary inverters [8]. For a flat output near V</w:t>
      </w:r>
      <w:r w:rsidRPr="0015183E">
        <w:rPr>
          <w:rFonts w:ascii="Times New Roman" w:hAnsi="Times New Roman"/>
          <w:color w:val="000000" w:themeColor="text1"/>
          <w:sz w:val="22"/>
          <w:szCs w:val="22"/>
          <w:vertAlign w:val="subscript"/>
        </w:rPr>
        <w:t>DD</w:t>
      </w:r>
      <w:r w:rsidRPr="0015183E">
        <w:rPr>
          <w:rFonts w:ascii="Times New Roman" w:hAnsi="Times New Roman"/>
          <w:color w:val="000000" w:themeColor="text1"/>
          <w:sz w:val="22"/>
          <w:szCs w:val="22"/>
        </w:rPr>
        <w:t xml:space="preserve">/2, the pull-up and pull-down </w:t>
      </w:r>
      <w:proofErr w:type="spellStart"/>
      <w:r w:rsidRPr="0015183E">
        <w:rPr>
          <w:rFonts w:ascii="Times New Roman" w:hAnsi="Times New Roman"/>
          <w:color w:val="000000" w:themeColor="text1"/>
          <w:sz w:val="22"/>
          <w:szCs w:val="22"/>
        </w:rPr>
        <w:t>conductances</w:t>
      </w:r>
      <w:proofErr w:type="spellEnd"/>
      <w:r w:rsidRPr="0015183E">
        <w:rPr>
          <w:rFonts w:ascii="Times New Roman" w:hAnsi="Times New Roman"/>
          <w:color w:val="000000" w:themeColor="text1"/>
          <w:sz w:val="22"/>
          <w:szCs w:val="22"/>
        </w:rPr>
        <w:t xml:space="preserve"> should remain comparable, with their ratio close to unity across the intermediate-state window. Matching at an isolated bias point is insufficient to ensure that this output level remains constant as V</w:t>
      </w:r>
      <w:r w:rsidRPr="0015183E">
        <w:rPr>
          <w:rFonts w:ascii="Times New Roman" w:hAnsi="Times New Roman"/>
          <w:color w:val="000000" w:themeColor="text1"/>
          <w:sz w:val="22"/>
          <w:szCs w:val="22"/>
          <w:vertAlign w:val="subscript"/>
        </w:rPr>
        <w:t>in</w:t>
      </w:r>
      <w:r w:rsidRPr="0015183E">
        <w:rPr>
          <w:rFonts w:ascii="Times New Roman" w:hAnsi="Times New Roman"/>
          <w:color w:val="000000" w:themeColor="text1"/>
          <w:sz w:val="22"/>
          <w:szCs w:val="22"/>
        </w:rPr>
        <w:t xml:space="preserve"> changes.</w:t>
      </w:r>
    </w:p>
    <w:p w14:paraId="354A2C85" w14:textId="18E2AB5F"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 xml:space="preserve">The right plot shows the individual-device transfer characteristics measured at </w:t>
      </w:r>
      <w:r w:rsidR="00286155" w:rsidRPr="0015183E">
        <w:rPr>
          <w:rFonts w:ascii="Times New Roman" w:hAnsi="Times New Roman" w:hint="eastAsia"/>
          <w:color w:val="000000" w:themeColor="text1"/>
          <w:sz w:val="22"/>
          <w:szCs w:val="22"/>
          <w:lang w:eastAsia="ko-KR"/>
        </w:rPr>
        <w:t>|</w:t>
      </w:r>
      <w:r w:rsidR="00286155" w:rsidRPr="0015183E">
        <w:rPr>
          <w:rFonts w:ascii="Times New Roman" w:hAnsi="Times New Roman"/>
          <w:color w:val="000000" w:themeColor="text1"/>
          <w:sz w:val="22"/>
          <w:szCs w:val="22"/>
        </w:rPr>
        <w:t>V</w:t>
      </w:r>
      <w:r w:rsidR="00286155" w:rsidRPr="0015183E">
        <w:rPr>
          <w:rFonts w:ascii="Times New Roman" w:hAnsi="Times New Roman"/>
          <w:color w:val="000000" w:themeColor="text1"/>
          <w:sz w:val="22"/>
          <w:szCs w:val="22"/>
          <w:vertAlign w:val="subscript"/>
        </w:rPr>
        <w:t>D</w:t>
      </w:r>
      <w:r w:rsidR="00286155" w:rsidRPr="0015183E">
        <w:rPr>
          <w:rFonts w:ascii="Times New Roman" w:hAnsi="Times New Roman" w:hint="eastAsia"/>
          <w:color w:val="000000" w:themeColor="text1"/>
          <w:sz w:val="22"/>
          <w:szCs w:val="22"/>
          <w:lang w:eastAsia="ko-KR"/>
        </w:rPr>
        <w:t>|</w:t>
      </w:r>
      <w:r w:rsidRPr="0015183E">
        <w:rPr>
          <w:rFonts w:ascii="Times New Roman" w:hAnsi="Times New Roman"/>
          <w:color w:val="000000" w:themeColor="text1"/>
          <w:sz w:val="22"/>
          <w:szCs w:val="22"/>
        </w:rPr>
        <w:t xml:space="preserve"> = 0.1 V. </w:t>
      </w:r>
      <w:r w:rsidR="00286155" w:rsidRPr="0015183E">
        <w:rPr>
          <w:rFonts w:ascii="Times New Roman" w:hAnsi="Times New Roman"/>
          <w:color w:val="000000" w:themeColor="text1"/>
          <w:sz w:val="22"/>
          <w:szCs w:val="22"/>
        </w:rPr>
        <w:t xml:space="preserve">In the right plot, the lower red and upper blue x-axes correspond to the </w:t>
      </w:r>
      <w:proofErr w:type="spellStart"/>
      <w:r w:rsidR="00286155" w:rsidRPr="0015183E">
        <w:rPr>
          <w:rFonts w:ascii="Times New Roman" w:hAnsi="Times New Roman"/>
          <w:color w:val="000000" w:themeColor="text1"/>
          <w:sz w:val="22"/>
          <w:szCs w:val="22"/>
        </w:rPr>
        <w:t>V</w:t>
      </w:r>
      <w:r w:rsidR="00286155" w:rsidRPr="0015183E">
        <w:rPr>
          <w:rFonts w:ascii="Times New Roman" w:hAnsi="Times New Roman"/>
          <w:color w:val="000000" w:themeColor="text1"/>
          <w:sz w:val="22"/>
          <w:szCs w:val="22"/>
          <w:vertAlign w:val="subscript"/>
        </w:rPr>
        <w:t>Common</w:t>
      </w:r>
      <w:proofErr w:type="spellEnd"/>
      <w:r w:rsidR="00286155" w:rsidRPr="0015183E">
        <w:rPr>
          <w:rFonts w:ascii="Times New Roman" w:hAnsi="Times New Roman"/>
          <w:color w:val="000000" w:themeColor="text1"/>
          <w:sz w:val="22"/>
          <w:szCs w:val="22"/>
          <w:vertAlign w:val="subscript"/>
        </w:rPr>
        <w:t>-gate</w:t>
      </w:r>
      <w:r w:rsidR="00286155" w:rsidRPr="0015183E">
        <w:rPr>
          <w:rFonts w:ascii="Times New Roman" w:hAnsi="Times New Roman"/>
          <w:color w:val="000000" w:themeColor="text1"/>
          <w:sz w:val="22"/>
          <w:szCs w:val="22"/>
        </w:rPr>
        <w:t xml:space="preserve"> range of the pull-up device (–3 to 0 V) and the </w:t>
      </w:r>
      <w:proofErr w:type="spellStart"/>
      <w:r w:rsidR="00286155" w:rsidRPr="0015183E">
        <w:rPr>
          <w:rFonts w:ascii="Times New Roman" w:hAnsi="Times New Roman"/>
          <w:color w:val="000000" w:themeColor="text1"/>
          <w:sz w:val="22"/>
          <w:szCs w:val="22"/>
        </w:rPr>
        <w:t>V</w:t>
      </w:r>
      <w:r w:rsidR="00286155" w:rsidRPr="0015183E">
        <w:rPr>
          <w:rFonts w:ascii="Times New Roman" w:hAnsi="Times New Roman"/>
          <w:color w:val="000000" w:themeColor="text1"/>
          <w:sz w:val="22"/>
          <w:szCs w:val="22"/>
          <w:vertAlign w:val="subscript"/>
        </w:rPr>
        <w:t>Top</w:t>
      </w:r>
      <w:proofErr w:type="spellEnd"/>
      <w:r w:rsidR="00286155" w:rsidRPr="0015183E">
        <w:rPr>
          <w:rFonts w:ascii="Times New Roman" w:hAnsi="Times New Roman"/>
          <w:color w:val="000000" w:themeColor="text1"/>
          <w:sz w:val="22"/>
          <w:szCs w:val="22"/>
          <w:vertAlign w:val="subscript"/>
        </w:rPr>
        <w:t>-gate</w:t>
      </w:r>
      <w:r w:rsidR="00286155" w:rsidRPr="0015183E">
        <w:rPr>
          <w:rFonts w:ascii="Times New Roman" w:hAnsi="Times New Roman"/>
          <w:color w:val="000000" w:themeColor="text1"/>
          <w:sz w:val="22"/>
          <w:szCs w:val="22"/>
        </w:rPr>
        <w:t xml:space="preserve"> range of the pull-down device (0 to 3 V), respectively, while the y-axis represents the drain-current magnitude, |I</w:t>
      </w:r>
      <w:r w:rsidR="00286155" w:rsidRPr="0015183E">
        <w:rPr>
          <w:rFonts w:ascii="Times New Roman" w:hAnsi="Times New Roman"/>
          <w:color w:val="000000" w:themeColor="text1"/>
          <w:sz w:val="22"/>
          <w:szCs w:val="22"/>
          <w:vertAlign w:val="subscript"/>
        </w:rPr>
        <w:t>D</w:t>
      </w:r>
      <w:r w:rsidR="00286155" w:rsidRPr="0015183E">
        <w:rPr>
          <w:rFonts w:ascii="Times New Roman" w:hAnsi="Times New Roman"/>
          <w:color w:val="000000" w:themeColor="text1"/>
          <w:sz w:val="22"/>
          <w:szCs w:val="22"/>
        </w:rPr>
        <w:t xml:space="preserve">|. </w:t>
      </w:r>
      <w:r w:rsidR="00373B8F" w:rsidRPr="0015183E">
        <w:rPr>
          <w:rFonts w:ascii="Times New Roman" w:hAnsi="Times New Roman"/>
          <w:color w:val="000000" w:themeColor="text1"/>
          <w:sz w:val="22"/>
          <w:szCs w:val="22"/>
        </w:rPr>
        <w:t>These voltage ranges correspond to the actual operating windows of the pull-up and pull-down devices in the inverter at V</w:t>
      </w:r>
      <w:r w:rsidR="00373B8F" w:rsidRPr="0015183E">
        <w:rPr>
          <w:rFonts w:ascii="Times New Roman" w:hAnsi="Times New Roman"/>
          <w:color w:val="000000" w:themeColor="text1"/>
          <w:sz w:val="22"/>
          <w:szCs w:val="22"/>
          <w:vertAlign w:val="subscript"/>
        </w:rPr>
        <w:t>DD</w:t>
      </w:r>
      <w:r w:rsidR="00373B8F" w:rsidRPr="0015183E">
        <w:rPr>
          <w:rFonts w:ascii="Times New Roman" w:hAnsi="Times New Roman"/>
          <w:color w:val="000000" w:themeColor="text1"/>
          <w:sz w:val="22"/>
          <w:szCs w:val="22"/>
        </w:rPr>
        <w:t xml:space="preserve"> = 3 V, where </w:t>
      </w:r>
      <w:proofErr w:type="spellStart"/>
      <w:r w:rsidR="00373B8F" w:rsidRPr="0015183E">
        <w:rPr>
          <w:rFonts w:ascii="Times New Roman" w:hAnsi="Times New Roman"/>
          <w:color w:val="000000" w:themeColor="text1"/>
          <w:sz w:val="22"/>
          <w:szCs w:val="22"/>
        </w:rPr>
        <w:t>V</w:t>
      </w:r>
      <w:r w:rsidR="00373B8F" w:rsidRPr="0015183E">
        <w:rPr>
          <w:rFonts w:ascii="Times New Roman" w:hAnsi="Times New Roman"/>
          <w:color w:val="000000" w:themeColor="text1"/>
          <w:sz w:val="22"/>
          <w:szCs w:val="22"/>
          <w:vertAlign w:val="subscript"/>
        </w:rPr>
        <w:t>Top</w:t>
      </w:r>
      <w:proofErr w:type="spellEnd"/>
      <w:r w:rsidR="00373B8F" w:rsidRPr="0015183E">
        <w:rPr>
          <w:rFonts w:ascii="Times New Roman" w:hAnsi="Times New Roman"/>
          <w:color w:val="000000" w:themeColor="text1"/>
          <w:sz w:val="22"/>
          <w:szCs w:val="22"/>
          <w:vertAlign w:val="subscript"/>
        </w:rPr>
        <w:t>-gate</w:t>
      </w:r>
      <w:r w:rsidR="00373B8F" w:rsidRPr="0015183E">
        <w:rPr>
          <w:rFonts w:ascii="Times New Roman" w:hAnsi="Times New Roman"/>
          <w:color w:val="000000" w:themeColor="text1"/>
          <w:sz w:val="22"/>
          <w:szCs w:val="22"/>
        </w:rPr>
        <w:t xml:space="preserve"> of the pull-down device follows V</w:t>
      </w:r>
      <w:r w:rsidR="00373B8F" w:rsidRPr="0015183E">
        <w:rPr>
          <w:rFonts w:ascii="Times New Roman" w:hAnsi="Times New Roman"/>
          <w:color w:val="000000" w:themeColor="text1"/>
          <w:sz w:val="22"/>
          <w:szCs w:val="22"/>
          <w:vertAlign w:val="subscript"/>
        </w:rPr>
        <w:t>in</w:t>
      </w:r>
      <w:r w:rsidR="00373B8F" w:rsidRPr="0015183E">
        <w:rPr>
          <w:rFonts w:ascii="Times New Roman" w:hAnsi="Times New Roman"/>
          <w:color w:val="000000" w:themeColor="text1"/>
          <w:sz w:val="22"/>
          <w:szCs w:val="22"/>
        </w:rPr>
        <w:t xml:space="preserve"> from 0 to 3 V, while the effective </w:t>
      </w:r>
      <w:proofErr w:type="spellStart"/>
      <w:r w:rsidR="00373B8F" w:rsidRPr="0015183E">
        <w:rPr>
          <w:rFonts w:ascii="Times New Roman" w:hAnsi="Times New Roman"/>
          <w:color w:val="000000" w:themeColor="text1"/>
          <w:sz w:val="22"/>
          <w:szCs w:val="22"/>
        </w:rPr>
        <w:t>V</w:t>
      </w:r>
      <w:r w:rsidR="00373B8F" w:rsidRPr="0015183E">
        <w:rPr>
          <w:rFonts w:ascii="Times New Roman" w:hAnsi="Times New Roman"/>
          <w:color w:val="000000" w:themeColor="text1"/>
          <w:sz w:val="22"/>
          <w:szCs w:val="22"/>
          <w:vertAlign w:val="subscript"/>
        </w:rPr>
        <w:t>Common</w:t>
      </w:r>
      <w:proofErr w:type="spellEnd"/>
      <w:r w:rsidR="00373B8F" w:rsidRPr="0015183E">
        <w:rPr>
          <w:rFonts w:ascii="Times New Roman" w:hAnsi="Times New Roman"/>
          <w:color w:val="000000" w:themeColor="text1"/>
          <w:sz w:val="22"/>
          <w:szCs w:val="22"/>
          <w:vertAlign w:val="subscript"/>
        </w:rPr>
        <w:t>-gate</w:t>
      </w:r>
      <w:r w:rsidR="00373B8F" w:rsidRPr="0015183E">
        <w:rPr>
          <w:rFonts w:ascii="Times New Roman" w:hAnsi="Times New Roman"/>
          <w:color w:val="000000" w:themeColor="text1"/>
          <w:sz w:val="22"/>
          <w:szCs w:val="22"/>
        </w:rPr>
        <w:t xml:space="preserve"> of the pull-up device is given by V</w:t>
      </w:r>
      <w:r w:rsidR="00373B8F" w:rsidRPr="0015183E">
        <w:rPr>
          <w:rFonts w:ascii="Times New Roman" w:hAnsi="Times New Roman"/>
          <w:color w:val="000000" w:themeColor="text1"/>
          <w:sz w:val="22"/>
          <w:szCs w:val="22"/>
          <w:vertAlign w:val="subscript"/>
        </w:rPr>
        <w:t>in</w:t>
      </w:r>
      <w:r w:rsidR="00373B8F" w:rsidRPr="0015183E">
        <w:rPr>
          <w:rFonts w:ascii="Times New Roman" w:hAnsi="Times New Roman"/>
          <w:color w:val="000000" w:themeColor="text1"/>
          <w:sz w:val="22"/>
          <w:szCs w:val="22"/>
        </w:rPr>
        <w:t xml:space="preserve"> – V</w:t>
      </w:r>
      <w:r w:rsidR="00373B8F" w:rsidRPr="0015183E">
        <w:rPr>
          <w:rFonts w:ascii="Times New Roman" w:hAnsi="Times New Roman"/>
          <w:color w:val="000000" w:themeColor="text1"/>
          <w:sz w:val="22"/>
          <w:szCs w:val="22"/>
          <w:vertAlign w:val="subscript"/>
        </w:rPr>
        <w:t>DD</w:t>
      </w:r>
      <w:r w:rsidR="00373B8F" w:rsidRPr="0015183E">
        <w:rPr>
          <w:rFonts w:ascii="Times New Roman" w:hAnsi="Times New Roman"/>
          <w:color w:val="000000" w:themeColor="text1"/>
          <w:sz w:val="22"/>
          <w:szCs w:val="22"/>
        </w:rPr>
        <w:t xml:space="preserve"> and therefore varies from –3 to 0 V. </w:t>
      </w:r>
      <w:r w:rsidRPr="0015183E">
        <w:rPr>
          <w:rFonts w:ascii="Times New Roman" w:hAnsi="Times New Roman"/>
          <w:color w:val="000000" w:themeColor="text1"/>
          <w:sz w:val="22"/>
          <w:szCs w:val="22"/>
        </w:rPr>
        <w:t xml:space="preserve">The pull-up characteristic exhibits a current valley, a subsequent current peak and a decreasing post-peak response. By comparison, the pull-down current varies relatively weakly after its initial turn-on. Consequently, the two current profiles do not track one another throughout the highlighted </w:t>
      </w:r>
      <w:r w:rsidRPr="0015183E">
        <w:rPr>
          <w:rFonts w:ascii="Times New Roman" w:hAnsi="Times New Roman"/>
          <w:color w:val="000000" w:themeColor="text1"/>
          <w:sz w:val="22"/>
          <w:szCs w:val="22"/>
        </w:rPr>
        <w:lastRenderedPageBreak/>
        <w:t>region. Their relative current levels change with gate voltage rather than differing by a constant scaling factor.</w:t>
      </w:r>
    </w:p>
    <w:p w14:paraId="14838B71" w14:textId="1611ACEC" w:rsidR="0008333E" w:rsidRPr="0015183E" w:rsidRDefault="003616EC" w:rsidP="0008333E">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This difference provides a qualitative illustration of the imperfect conductance matching discussed in the main text. A gate-dependent change in the relative pull-up and pull-down </w:t>
      </w:r>
      <w:proofErr w:type="spellStart"/>
      <w:r w:rsidRPr="0015183E">
        <w:rPr>
          <w:rFonts w:ascii="Times New Roman" w:hAnsi="Times New Roman"/>
          <w:color w:val="000000" w:themeColor="text1"/>
          <w:sz w:val="22"/>
          <w:szCs w:val="22"/>
        </w:rPr>
        <w:t>conductances</w:t>
      </w:r>
      <w:proofErr w:type="spellEnd"/>
      <w:r w:rsidRPr="0015183E">
        <w:rPr>
          <w:rFonts w:ascii="Times New Roman" w:hAnsi="Times New Roman"/>
          <w:color w:val="000000" w:themeColor="text1"/>
          <w:sz w:val="22"/>
          <w:szCs w:val="22"/>
        </w:rPr>
        <w:t xml:space="preserve"> can change the voltage division within the intermediate-state window, allowing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out</w:t>
      </w:r>
      <w:proofErr w:type="spellEnd"/>
      <w:r w:rsidRPr="0015183E">
        <w:rPr>
          <w:rFonts w:ascii="Times New Roman" w:hAnsi="Times New Roman"/>
          <w:color w:val="000000" w:themeColor="text1"/>
          <w:sz w:val="22"/>
          <w:szCs w:val="22"/>
        </w:rPr>
        <w:t xml:space="preserve"> to vary with V</w:t>
      </w:r>
      <w:r w:rsidRPr="0015183E">
        <w:rPr>
          <w:rFonts w:ascii="Times New Roman" w:hAnsi="Times New Roman"/>
          <w:color w:val="000000" w:themeColor="text1"/>
          <w:sz w:val="22"/>
          <w:szCs w:val="22"/>
          <w:vertAlign w:val="subscript"/>
        </w:rPr>
        <w:t>in</w:t>
      </w:r>
      <w:r w:rsidRPr="0015183E">
        <w:rPr>
          <w:rFonts w:ascii="Times New Roman" w:hAnsi="Times New Roman"/>
          <w:color w:val="000000" w:themeColor="text1"/>
          <w:sz w:val="22"/>
          <w:szCs w:val="22"/>
        </w:rPr>
        <w:t xml:space="preserve">. This interpretation is consistent with the residual slope in </w:t>
      </w:r>
      <w:r w:rsidRPr="0015183E">
        <w:rPr>
          <w:rFonts w:ascii="Times New Roman" w:hAnsi="Times New Roman"/>
          <w:b/>
          <w:bCs/>
          <w:color w:val="000000" w:themeColor="text1"/>
          <w:sz w:val="22"/>
          <w:szCs w:val="22"/>
        </w:rPr>
        <w:t>Fig. 5c</w:t>
      </w:r>
      <w:r w:rsidRPr="0015183E">
        <w:rPr>
          <w:rFonts w:ascii="Times New Roman" w:hAnsi="Times New Roman"/>
          <w:color w:val="000000" w:themeColor="text1"/>
          <w:sz w:val="22"/>
          <w:szCs w:val="22"/>
        </w:rPr>
        <w:t xml:space="preserve"> and the nonzero absolute voltage gain, |</w:t>
      </w:r>
      <w:proofErr w:type="spellStart"/>
      <w:r w:rsidRPr="0015183E">
        <w:rPr>
          <w:rFonts w:ascii="Times New Roman" w:hAnsi="Times New Roman"/>
          <w:color w:val="000000" w:themeColor="text1"/>
          <w:sz w:val="22"/>
          <w:szCs w:val="22"/>
        </w:rPr>
        <w:t>dV</w:t>
      </w:r>
      <w:r w:rsidRPr="0015183E">
        <w:rPr>
          <w:rFonts w:ascii="Times New Roman" w:hAnsi="Times New Roman"/>
          <w:color w:val="000000" w:themeColor="text1"/>
          <w:sz w:val="22"/>
          <w:szCs w:val="22"/>
          <w:vertAlign w:val="subscript"/>
        </w:rPr>
        <w:t>out</w:t>
      </w:r>
      <w:proofErr w:type="spellEnd"/>
      <w:r w:rsidRPr="0015183E">
        <w:rPr>
          <w:rFonts w:ascii="Times New Roman" w:hAnsi="Times New Roman"/>
          <w:color w:val="000000" w:themeColor="text1"/>
          <w:sz w:val="22"/>
          <w:szCs w:val="22"/>
        </w:rPr>
        <w:t>/</w:t>
      </w:r>
      <w:proofErr w:type="spellStart"/>
      <w:r w:rsidRPr="0015183E">
        <w:rPr>
          <w:rFonts w:ascii="Times New Roman" w:hAnsi="Times New Roman"/>
          <w:color w:val="000000" w:themeColor="text1"/>
          <w:sz w:val="22"/>
          <w:szCs w:val="22"/>
        </w:rPr>
        <w:t>dV</w:t>
      </w:r>
      <w:r w:rsidRPr="0015183E">
        <w:rPr>
          <w:rFonts w:ascii="Times New Roman" w:hAnsi="Times New Roman"/>
          <w:color w:val="000000" w:themeColor="text1"/>
          <w:sz w:val="22"/>
          <w:szCs w:val="22"/>
          <w:vertAlign w:val="subscript"/>
        </w:rPr>
        <w:t>in</w:t>
      </w:r>
      <w:proofErr w:type="spellEnd"/>
      <w:r w:rsidRPr="0015183E">
        <w:rPr>
          <w:rFonts w:ascii="Times New Roman" w:hAnsi="Times New Roman"/>
          <w:color w:val="000000" w:themeColor="text1"/>
          <w:sz w:val="22"/>
          <w:szCs w:val="22"/>
        </w:rPr>
        <w:t xml:space="preserve">|, between the two switching peaks in </w:t>
      </w:r>
      <w:r w:rsidRPr="0015183E">
        <w:rPr>
          <w:rFonts w:ascii="Times New Roman" w:hAnsi="Times New Roman"/>
          <w:b/>
          <w:bCs/>
          <w:color w:val="000000" w:themeColor="text1"/>
          <w:sz w:val="22"/>
          <w:szCs w:val="22"/>
        </w:rPr>
        <w:t>Fig. 5</w:t>
      </w:r>
      <w:r w:rsidRPr="0015183E">
        <w:rPr>
          <w:rFonts w:ascii="Times New Roman" w:hAnsi="Times New Roman"/>
          <w:b/>
          <w:bCs/>
          <w:color w:val="000000" w:themeColor="text1"/>
          <w:sz w:val="22"/>
          <w:szCs w:val="22"/>
          <w:lang w:eastAsia="ko-KR"/>
        </w:rPr>
        <w:t>c</w:t>
      </w:r>
      <w:r w:rsidRPr="0015183E">
        <w:rPr>
          <w:rFonts w:ascii="Times New Roman" w:hAnsi="Times New Roman"/>
          <w:color w:val="000000" w:themeColor="text1"/>
          <w:sz w:val="22"/>
          <w:szCs w:val="22"/>
        </w:rPr>
        <w:t xml:space="preserve">. The distinction between a sloped intermediate output and a flatter intermediate level has also been discussed in previous NTC-based ternary inverters [8]. The fixed-drain-bias transfer curves in </w:t>
      </w:r>
      <w:r w:rsidRPr="0015183E">
        <w:rPr>
          <w:rFonts w:ascii="Times New Roman" w:hAnsi="Times New Roman"/>
          <w:b/>
          <w:bCs/>
          <w:color w:val="000000" w:themeColor="text1"/>
          <w:sz w:val="22"/>
          <w:szCs w:val="22"/>
        </w:rPr>
        <w:t xml:space="preserve">Supplementary Fig. </w:t>
      </w:r>
      <w:r w:rsidRPr="0015183E">
        <w:rPr>
          <w:rFonts w:ascii="Times New Roman" w:hAnsi="Times New Roman"/>
          <w:b/>
          <w:bCs/>
          <w:color w:val="000000" w:themeColor="text1"/>
          <w:sz w:val="22"/>
          <w:szCs w:val="22"/>
          <w:lang w:eastAsia="ko-KR"/>
        </w:rPr>
        <w:t>1</w:t>
      </w:r>
      <w:r w:rsidR="0007714D" w:rsidRPr="0015183E">
        <w:rPr>
          <w:rFonts w:ascii="Times New Roman" w:hAnsi="Times New Roman"/>
          <w:b/>
          <w:bCs/>
          <w:color w:val="000000" w:themeColor="text1"/>
          <w:sz w:val="22"/>
          <w:szCs w:val="22"/>
          <w:lang w:eastAsia="ko-KR"/>
        </w:rPr>
        <w:t>2</w:t>
      </w:r>
      <w:r w:rsidRPr="0015183E">
        <w:rPr>
          <w:rFonts w:ascii="Times New Roman" w:hAnsi="Times New Roman"/>
          <w:color w:val="000000" w:themeColor="text1"/>
          <w:sz w:val="22"/>
          <w:szCs w:val="22"/>
        </w:rPr>
        <w:t xml:space="preserve"> are used as a qualitative comparison of the device responses rather than a quantitative reconstruction of the inverter VTC, because the voltage across each inverter element depends on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out</w:t>
      </w:r>
      <w:proofErr w:type="spellEnd"/>
      <w:r w:rsidRPr="0015183E">
        <w:rPr>
          <w:rFonts w:ascii="Times New Roman" w:hAnsi="Times New Roman"/>
          <w:color w:val="000000" w:themeColor="text1"/>
          <w:sz w:val="22"/>
          <w:szCs w:val="22"/>
        </w:rPr>
        <w:t xml:space="preserve"> during circuit operation.</w:t>
      </w:r>
    </w:p>
    <w:p w14:paraId="7DBC263A" w14:textId="15891970" w:rsidR="009B58A8" w:rsidRPr="0015183E" w:rsidRDefault="00AD162B" w:rsidP="0008333E">
      <w:pPr>
        <w:pStyle w:val="VAFigureCaption"/>
        <w:ind w:firstLineChars="100" w:firstLine="220"/>
        <w:jc w:val="center"/>
        <w:rPr>
          <w:rFonts w:ascii="Times New Roman" w:eastAsia="바탕" w:hAnsi="Times New Roman"/>
          <w:color w:val="000000" w:themeColor="text1"/>
          <w:sz w:val="22"/>
          <w:szCs w:val="22"/>
          <w:lang w:eastAsia="ko-KR"/>
        </w:rPr>
      </w:pPr>
      <w:r w:rsidRPr="0015183E">
        <w:rPr>
          <w:rFonts w:ascii="Times New Roman" w:hAnsi="Times New Roman"/>
          <w:noProof/>
          <w:color w:val="000000" w:themeColor="text1"/>
          <w:sz w:val="22"/>
          <w:szCs w:val="22"/>
          <w:lang w:eastAsia="ko-KR"/>
        </w:rPr>
        <w:drawing>
          <wp:inline distT="0" distB="0" distL="0" distR="0" wp14:anchorId="02570D79" wp14:editId="60AC7D1F">
            <wp:extent cx="4050030" cy="2152647"/>
            <wp:effectExtent l="0" t="0" r="7620" b="635"/>
            <wp:docPr id="1808753366" name="그림 3">
              <a:extLst xmlns:a="http://schemas.openxmlformats.org/drawingml/2006/main">
                <a:ext uri="{FF2B5EF4-FFF2-40B4-BE49-F238E27FC236}">
                  <a16:creationId xmlns:a16="http://schemas.microsoft.com/office/drawing/2014/main" id="{29472544-7442-9C58-524C-21AE5BC71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29472544-7442-9C58-524C-21AE5BC719B2}"/>
                        </a:ext>
                      </a:extLst>
                    </pic:cNvPr>
                    <pic:cNvPicPr>
                      <a:picLocks noChangeAspect="1"/>
                    </pic:cNvPicPr>
                  </pic:nvPicPr>
                  <pic:blipFill>
                    <a:blip r:embed="rId31"/>
                    <a:srcRect t="12385" r="3011" b="11714"/>
                    <a:stretch>
                      <a:fillRect/>
                    </a:stretch>
                  </pic:blipFill>
                  <pic:spPr>
                    <a:xfrm>
                      <a:off x="0" y="0"/>
                      <a:ext cx="4050030" cy="2152647"/>
                    </a:xfrm>
                    <a:prstGeom prst="rect">
                      <a:avLst/>
                    </a:prstGeom>
                  </pic:spPr>
                </pic:pic>
              </a:graphicData>
            </a:graphic>
          </wp:inline>
        </w:drawing>
      </w:r>
    </w:p>
    <w:p w14:paraId="2698E013" w14:textId="7EA26448"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rPr>
        <w:t xml:space="preserve"> Figure </w:t>
      </w:r>
      <w:r w:rsidR="0061302D" w:rsidRPr="0015183E">
        <w:rPr>
          <w:rStyle w:val="selected"/>
          <w:rFonts w:ascii="Times New Roman" w:hAnsi="Times New Roman" w:hint="eastAsia"/>
          <w:b/>
          <w:color w:val="000000" w:themeColor="text1"/>
          <w:sz w:val="22"/>
          <w:szCs w:val="22"/>
          <w:lang w:eastAsia="ko-KR"/>
        </w:rPr>
        <w:t>1</w:t>
      </w:r>
      <w:r w:rsidR="0007714D" w:rsidRPr="0015183E">
        <w:rPr>
          <w:rStyle w:val="selected"/>
          <w:rFonts w:ascii="Times New Roman" w:hAnsi="Times New Roman"/>
          <w:b/>
          <w:color w:val="000000" w:themeColor="text1"/>
          <w:sz w:val="22"/>
          <w:szCs w:val="22"/>
          <w:lang w:eastAsia="ko-KR"/>
        </w:rPr>
        <w:t>2</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Comparison of idealized and measured pull-up and pull-down characteristics for conductance matching in the ternary inverter. The left schematic illustrates the relative alignment of the pull-up (red) and pull-down (blue) transfer characteristics in an idealized case. The right plot compares the measured drain-current magnitudes of the vertically stacked NTC transistor serving as the pull-up and the n-type CNT FET serving as the pull-down. The green shaded regions and dotted outlines highlight the portions of the transfer characteristics considered in the conductance-matching discussion. The green dashed arrows connect the schematic and experimental comparisons. Measurements were performed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w:t>
      </w:r>
    </w:p>
    <w:p w14:paraId="36EE2999" w14:textId="050F2C30" w:rsidR="00EF6281" w:rsidRPr="0015183E" w:rsidRDefault="00F20D11" w:rsidP="00F20D11">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Layout-derived footprint comparison of vertical and lateral inverter implementations</w:t>
      </w:r>
    </w:p>
    <w:p w14:paraId="4FC293AF" w14:textId="77777777" w:rsidR="00F20D11" w:rsidRPr="0015183E" w:rsidRDefault="00F20D11" w:rsidP="00F20D11">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13</w:t>
      </w:r>
      <w:r w:rsidRPr="0015183E">
        <w:rPr>
          <w:rFonts w:ascii="Times New Roman" w:hAnsi="Times New Roman"/>
          <w:color w:val="000000" w:themeColor="text1"/>
          <w:sz w:val="22"/>
          <w:szCs w:val="22"/>
        </w:rPr>
        <w:t xml:space="preserve"> compares the documented layout of the fabricated ternary inverter with a hypothetical lateral counterpart. The vertical reference uses the vertically stacked NTC transistor as the pull-up and a separate n-type CNT pull-down. In the lateral reference, the two constituent channels of the NTC pull-up occupy separate lateral positions while retaining a series connection and common input control. The lateral counterpart has not been fabricated, and its electrical correspondence is a design assumption based on retaining the constituent responses and circuit topology.</w:t>
      </w:r>
    </w:p>
    <w:p w14:paraId="76A87910" w14:textId="77777777" w:rsidR="00F20D11" w:rsidRPr="0015183E" w:rsidRDefault="00F20D11" w:rsidP="00F20D11">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Each NTC constituent channel has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the pull-down in both references has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6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The fabricated devices use the gate-contact openings defined in the original mask. Both layout references retain the same contact-landing convention, a 900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cell width, a 15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contact-opening-to-routing clearance and 50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inter-device spacing. The resulting vertical and lateral envelopes are 900 × 1,200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900 × 1,600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respectively. Their calculated areas are 1.08 and 1.44 mm², corresponding to a 25% reduction in the assessed inverter footprint and a 1.33-fold density ratio. The comparison includes the separate pull-down and contact/supply regions rather than considering CNT-channel area alone.</w:t>
      </w:r>
    </w:p>
    <w:p w14:paraId="38394882" w14:textId="77777777" w:rsidR="00F20D11" w:rsidRPr="0015183E" w:rsidRDefault="00F20D11" w:rsidP="00F20D11">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Four- and eight-stage rows were estimated by repeating the respective unit cells with a common inter-cell gap g = 50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For N stages, the row width is 900N + </w:t>
      </w:r>
      <w:proofErr w:type="gramStart"/>
      <w:r w:rsidRPr="0015183E">
        <w:rPr>
          <w:rFonts w:ascii="Times New Roman" w:hAnsi="Times New Roman"/>
          <w:color w:val="000000" w:themeColor="text1"/>
          <w:sz w:val="22"/>
          <w:szCs w:val="22"/>
        </w:rPr>
        <w:t>g(</w:t>
      </w:r>
      <w:proofErr w:type="gramEnd"/>
      <w:r w:rsidRPr="0015183E">
        <w:rPr>
          <w:rFonts w:ascii="Times New Roman" w:hAnsi="Times New Roman"/>
          <w:color w:val="000000" w:themeColor="text1"/>
          <w:sz w:val="22"/>
          <w:szCs w:val="22"/>
        </w:rPr>
        <w:t xml:space="preserve">N − 1)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The calculated footprints are summarized in </w:t>
      </w:r>
      <w:r w:rsidRPr="0015183E">
        <w:rPr>
          <w:rFonts w:ascii="Times New Roman" w:hAnsi="Times New Roman"/>
          <w:b/>
          <w:bCs/>
          <w:color w:val="000000" w:themeColor="text1"/>
          <w:sz w:val="22"/>
          <w:szCs w:val="22"/>
        </w:rPr>
        <w:t>Supplementary Table 5</w:t>
      </w:r>
      <w:r w:rsidRPr="0015183E">
        <w:rPr>
          <w:rFonts w:ascii="Times New Roman" w:hAnsi="Times New Roman"/>
          <w:color w:val="000000" w:themeColor="text1"/>
          <w:sz w:val="22"/>
          <w:szCs w:val="22"/>
        </w:rPr>
        <w:t xml:space="preserve">. The inter-cell connections indicate </w:t>
      </w:r>
      <w:proofErr w:type="gram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out,i</w:t>
      </w:r>
      <w:proofErr w:type="gramEnd"/>
      <w:r w:rsidRPr="0015183E">
        <w:rPr>
          <w:rFonts w:ascii="Times New Roman" w:hAnsi="Times New Roman"/>
          <w:color w:val="000000" w:themeColor="text1"/>
          <w:sz w:val="22"/>
          <w:szCs w:val="22"/>
        </w:rPr>
        <w:t>-to-V</w:t>
      </w:r>
      <w:r w:rsidRPr="0015183E">
        <w:rPr>
          <w:rFonts w:ascii="Times New Roman" w:hAnsi="Times New Roman"/>
          <w:color w:val="000000" w:themeColor="text1"/>
          <w:sz w:val="22"/>
          <w:szCs w:val="22"/>
          <w:vertAlign w:val="subscript"/>
        </w:rPr>
        <w:t>in,i+1</w:t>
      </w:r>
      <w:r w:rsidRPr="0015183E">
        <w:rPr>
          <w:rFonts w:ascii="Times New Roman" w:hAnsi="Times New Roman"/>
          <w:color w:val="000000" w:themeColor="text1"/>
          <w:sz w:val="22"/>
          <w:szCs w:val="22"/>
        </w:rPr>
        <w:t xml:space="preserve"> connectivity, with shared V</w:t>
      </w:r>
      <w:r w:rsidRPr="0015183E">
        <w:rPr>
          <w:rFonts w:ascii="Times New Roman" w:hAnsi="Times New Roman"/>
          <w:color w:val="000000" w:themeColor="text1"/>
          <w:sz w:val="22"/>
          <w:szCs w:val="22"/>
          <w:vertAlign w:val="subscript"/>
        </w:rPr>
        <w:t>DD</w:t>
      </w:r>
      <w:r w:rsidRPr="0015183E">
        <w:rPr>
          <w:rFonts w:ascii="Times New Roman" w:hAnsi="Times New Roman"/>
          <w:color w:val="000000" w:themeColor="text1"/>
          <w:sz w:val="22"/>
          <w:szCs w:val="22"/>
        </w:rPr>
        <w:t xml:space="preserve"> and GND. These are repeated-cell estimates based on the documented envelopes; they are not measured footprints of fabricated multistage circuits or a completed routing sign-off.</w:t>
      </w:r>
    </w:p>
    <w:p w14:paraId="089F7A12" w14:textId="77777777" w:rsidR="00F20D11" w:rsidRPr="0015183E" w:rsidRDefault="00F20D11" w:rsidP="00F20D11">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13d</w:t>
      </w:r>
      <w:r w:rsidRPr="0015183E">
        <w:rPr>
          <w:rFonts w:ascii="Times New Roman" w:hAnsi="Times New Roman"/>
          <w:color w:val="000000" w:themeColor="text1"/>
          <w:sz w:val="22"/>
          <w:szCs w:val="22"/>
        </w:rPr>
        <w:t xml:space="preserve"> evaluates sensitivity to additional in-plane routing space. An identical strip height h was added to each row envelope, giving a reduction of 100 × [1 − (1,200 + h)</w:t>
      </w:r>
      <w:proofErr w:type="gramStart"/>
      <w:r w:rsidRPr="0015183E">
        <w:rPr>
          <w:rFonts w:ascii="Times New Roman" w:hAnsi="Times New Roman"/>
          <w:color w:val="000000" w:themeColor="text1"/>
          <w:sz w:val="22"/>
          <w:szCs w:val="22"/>
        </w:rPr>
        <w:t>/(</w:t>
      </w:r>
      <w:proofErr w:type="gramEnd"/>
      <w:r w:rsidRPr="0015183E">
        <w:rPr>
          <w:rFonts w:ascii="Times New Roman" w:hAnsi="Times New Roman"/>
          <w:color w:val="000000" w:themeColor="text1"/>
          <w:sz w:val="22"/>
          <w:szCs w:val="22"/>
        </w:rPr>
        <w:t xml:space="preserve">1,600 + h)]%. For h = 0, 120 and 240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the reductions are 25.00%, 23.26% and 21.74%, respectively. Here, h denotes an in-plane layout dimension, not the thickness of the vertical stack. The added strips are explicit common-</w:t>
      </w:r>
      <w:r w:rsidRPr="0015183E">
        <w:rPr>
          <w:rFonts w:ascii="Times New Roman" w:hAnsi="Times New Roman"/>
          <w:color w:val="000000" w:themeColor="text1"/>
          <w:sz w:val="22"/>
          <w:szCs w:val="22"/>
        </w:rPr>
        <w:lastRenderedPageBreak/>
        <w:t>overhead scenarios, not extracted routing requirements, and identical design rules do not by themselves establish equal routing overhead.</w:t>
      </w:r>
    </w:p>
    <w:p w14:paraId="691ACC05" w14:textId="77777777" w:rsidR="00F20D11" w:rsidRPr="0015183E" w:rsidRDefault="00F20D11" w:rsidP="00F20D11">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 analysis quantifies an integration benefit under the chosen layout convention while maintaining the demonstrated active-device dimensions. It does not establish a globally optimized lateral reference or a universal area-reduction limit. The layout-derived estimates complement the experimentally established transfer-function engineering without treating a projected multistage arrangement as a fabricated circuit.</w:t>
      </w:r>
    </w:p>
    <w:p w14:paraId="321EDD51" w14:textId="5E9E4253" w:rsidR="00F20D11" w:rsidRPr="0015183E" w:rsidRDefault="00F20D11" w:rsidP="00EF6281">
      <w:pPr>
        <w:pStyle w:val="10"/>
        <w:rPr>
          <w:color w:val="000000" w:themeColor="text1"/>
          <w:lang w:eastAsia="ko-KR"/>
        </w:rPr>
      </w:pPr>
    </w:p>
    <w:p w14:paraId="614C6AA5" w14:textId="2241099E" w:rsidR="00F20D11" w:rsidRPr="0015183E" w:rsidRDefault="00F20D11" w:rsidP="00EF6281">
      <w:pPr>
        <w:pStyle w:val="10"/>
        <w:rPr>
          <w:rStyle w:val="af3"/>
          <w:color w:val="000000" w:themeColor="text1"/>
        </w:rPr>
      </w:pPr>
      <w:r w:rsidRPr="0015183E">
        <w:rPr>
          <w:noProof/>
          <w:color w:val="000000" w:themeColor="text1"/>
        </w:rPr>
        <w:drawing>
          <wp:inline distT="0" distB="0" distL="0" distR="0" wp14:anchorId="51DDAEAE" wp14:editId="069A036C">
            <wp:extent cx="5943600" cy="5593516"/>
            <wp:effectExtent l="0" t="0" r="0" b="7620"/>
            <wp:docPr id="8" name="Picture 1" descr="Figure 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1a.png"/>
                    <pic:cNvPicPr/>
                  </pic:nvPicPr>
                  <pic:blipFill>
                    <a:blip r:embed="rId32"/>
                    <a:stretch>
                      <a:fillRect/>
                    </a:stretch>
                  </pic:blipFill>
                  <pic:spPr>
                    <a:xfrm>
                      <a:off x="0" y="0"/>
                      <a:ext cx="5943600" cy="5593516"/>
                    </a:xfrm>
                    <a:prstGeom prst="rect">
                      <a:avLst/>
                    </a:prstGeom>
                  </pic:spPr>
                </pic:pic>
              </a:graphicData>
            </a:graphic>
          </wp:inline>
        </w:drawing>
      </w:r>
    </w:p>
    <w:p w14:paraId="341AB22A" w14:textId="4DDFB2F5" w:rsidR="00F20D11" w:rsidRPr="0015183E" w:rsidRDefault="00F20D11" w:rsidP="00EF6281">
      <w:pPr>
        <w:pStyle w:val="10"/>
        <w:rPr>
          <w:rStyle w:val="af3"/>
          <w:color w:val="000000" w:themeColor="text1"/>
        </w:rPr>
      </w:pPr>
      <w:r w:rsidRPr="0015183E">
        <w:rPr>
          <w:noProof/>
          <w:color w:val="000000" w:themeColor="text1"/>
        </w:rPr>
        <w:lastRenderedPageBreak/>
        <w:drawing>
          <wp:inline distT="0" distB="0" distL="0" distR="0" wp14:anchorId="19E14BEE" wp14:editId="753131F6">
            <wp:extent cx="5943600" cy="5593516"/>
            <wp:effectExtent l="0" t="0" r="0" b="7620"/>
            <wp:docPr id="9" name="Picture 2" descr="Figure R1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1bcd_word.png"/>
                    <pic:cNvPicPr/>
                  </pic:nvPicPr>
                  <pic:blipFill>
                    <a:blip r:embed="rId33"/>
                    <a:stretch>
                      <a:fillRect/>
                    </a:stretch>
                  </pic:blipFill>
                  <pic:spPr>
                    <a:xfrm>
                      <a:off x="0" y="0"/>
                      <a:ext cx="5943600" cy="5593516"/>
                    </a:xfrm>
                    <a:prstGeom prst="rect">
                      <a:avLst/>
                    </a:prstGeom>
                  </pic:spPr>
                </pic:pic>
              </a:graphicData>
            </a:graphic>
          </wp:inline>
        </w:drawing>
      </w:r>
    </w:p>
    <w:p w14:paraId="61383444" w14:textId="5D820D7D" w:rsidR="00F20D11" w:rsidRPr="0015183E" w:rsidRDefault="00F20D11" w:rsidP="00853A58">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color w:val="000000" w:themeColor="text1"/>
          <w:sz w:val="22"/>
          <w:szCs w:val="22"/>
          <w:lang w:eastAsia="ko-KR"/>
        </w:rPr>
        <w:t xml:space="preserve">Supplementary Figure 13. </w:t>
      </w:r>
      <w:r w:rsidRPr="0015183E">
        <w:rPr>
          <w:rFonts w:ascii="Times New Roman" w:eastAsia="바탕" w:hAnsi="Times New Roman"/>
          <w:color w:val="000000" w:themeColor="text1"/>
          <w:sz w:val="22"/>
          <w:szCs w:val="22"/>
          <w:lang w:eastAsia="ko-KR"/>
        </w:rPr>
        <w:t xml:space="preserve">Layout-derived inverter footprint comparison. </w:t>
      </w:r>
      <w:r w:rsidRPr="0015183E">
        <w:rPr>
          <w:rFonts w:ascii="Times New Roman" w:eastAsia="바탕" w:hAnsi="Times New Roman"/>
          <w:b/>
          <w:bCs/>
          <w:color w:val="000000" w:themeColor="text1"/>
          <w:sz w:val="22"/>
          <w:szCs w:val="22"/>
          <w:lang w:eastAsia="ko-KR"/>
        </w:rPr>
        <w:t>a</w:t>
      </w:r>
      <w:r w:rsidRPr="0015183E">
        <w:rPr>
          <w:rFonts w:ascii="Times New Roman" w:eastAsia="바탕" w:hAnsi="Times New Roman"/>
          <w:color w:val="000000" w:themeColor="text1"/>
          <w:sz w:val="22"/>
          <w:szCs w:val="22"/>
          <w:lang w:eastAsia="ko-KR"/>
        </w:rPr>
        <w:t xml:space="preserve"> Fabricated vertical-inverter reference and hypothetical lateral counterpart with matched device dimensions and spacing conventions. Calculated cell areas are 1.08 and 1.44 mm². </w:t>
      </w:r>
      <w:proofErr w:type="spellStart"/>
      <w:proofErr w:type="gramStart"/>
      <w:r w:rsidRPr="0015183E">
        <w:rPr>
          <w:rFonts w:ascii="Times New Roman" w:eastAsia="바탕" w:hAnsi="Times New Roman"/>
          <w:b/>
          <w:bCs/>
          <w:color w:val="000000" w:themeColor="text1"/>
          <w:sz w:val="22"/>
          <w:szCs w:val="22"/>
          <w:lang w:eastAsia="ko-KR"/>
        </w:rPr>
        <w:t>b,c</w:t>
      </w:r>
      <w:proofErr w:type="spellEnd"/>
      <w:proofErr w:type="gramEnd"/>
      <w:r w:rsidRPr="0015183E">
        <w:rPr>
          <w:rFonts w:ascii="Times New Roman" w:eastAsia="바탕" w:hAnsi="Times New Roman"/>
          <w:color w:val="000000" w:themeColor="text1"/>
          <w:sz w:val="22"/>
          <w:szCs w:val="22"/>
          <w:lang w:eastAsia="ko-KR"/>
        </w:rPr>
        <w:t xml:space="preserve"> Four- and eight-stage repeated-cell estimates with 50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xml:space="preserve"> inter-cell spacing; connections indicate the circuit net topology. </w:t>
      </w:r>
      <w:r w:rsidRPr="0015183E">
        <w:rPr>
          <w:rFonts w:ascii="Times New Roman" w:eastAsia="바탕" w:hAnsi="Times New Roman"/>
          <w:b/>
          <w:bCs/>
          <w:color w:val="000000" w:themeColor="text1"/>
          <w:sz w:val="22"/>
          <w:szCs w:val="22"/>
          <w:lang w:eastAsia="ko-KR"/>
        </w:rPr>
        <w:t>d</w:t>
      </w:r>
      <w:r w:rsidRPr="0015183E">
        <w:rPr>
          <w:rFonts w:ascii="Times New Roman" w:eastAsia="바탕" w:hAnsi="Times New Roman"/>
          <w:color w:val="000000" w:themeColor="text1"/>
          <w:sz w:val="22"/>
          <w:szCs w:val="22"/>
          <w:lang w:eastAsia="ko-KR"/>
        </w:rPr>
        <w:t xml:space="preserve"> Sensitivity to an assumed common allowance for additional in-plane routing space. The multistage layouts and routing allowances are estimates rather than fabricated circuits or routing-verified implementations.</w:t>
      </w:r>
    </w:p>
    <w:p w14:paraId="69085E08" w14:textId="010C4422" w:rsidR="00F20D11" w:rsidRPr="0015183E" w:rsidRDefault="00F20D11">
      <w:pPr>
        <w:rPr>
          <w:rFonts w:ascii="Times" w:hAnsi="Times"/>
          <w:color w:val="000000" w:themeColor="text1"/>
          <w:sz w:val="24"/>
        </w:rPr>
      </w:pPr>
      <w:r w:rsidRPr="0015183E">
        <w:rPr>
          <w:color w:val="000000" w:themeColor="text1"/>
        </w:rPr>
        <w:br w:type="page"/>
      </w:r>
    </w:p>
    <w:p w14:paraId="4E9E7D0E" w14:textId="65F57D04" w:rsidR="00F20D11" w:rsidRPr="0015183E" w:rsidRDefault="00F20D11" w:rsidP="00B76D40">
      <w:pPr>
        <w:pStyle w:val="VAFigureCaption"/>
        <w:rPr>
          <w:rFonts w:ascii="Times New Roman" w:hAnsi="Times New Roman"/>
          <w:b/>
          <w:bCs/>
          <w:color w:val="000000" w:themeColor="text1"/>
          <w:sz w:val="22"/>
          <w:szCs w:val="22"/>
        </w:rPr>
      </w:pPr>
      <w:proofErr w:type="spellStart"/>
      <w:r w:rsidRPr="0015183E">
        <w:rPr>
          <w:rFonts w:ascii="Times New Roman" w:hAnsi="Times New Roman"/>
          <w:b/>
          <w:bCs/>
          <w:color w:val="000000" w:themeColor="text1"/>
          <w:sz w:val="22"/>
          <w:szCs w:val="22"/>
        </w:rPr>
        <w:lastRenderedPageBreak/>
        <w:t>Behavioural</w:t>
      </w:r>
      <w:proofErr w:type="spellEnd"/>
      <w:r w:rsidRPr="0015183E">
        <w:rPr>
          <w:rFonts w:ascii="Times New Roman" w:hAnsi="Times New Roman"/>
          <w:b/>
          <w:bCs/>
          <w:color w:val="000000" w:themeColor="text1"/>
          <w:sz w:val="22"/>
          <w:szCs w:val="22"/>
        </w:rPr>
        <w:t xml:space="preserve"> analysis of four- and eight-stage ternary inverter chains</w:t>
      </w:r>
    </w:p>
    <w:p w14:paraId="48BBEB22" w14:textId="77777777" w:rsidR="00F20D11" w:rsidRPr="0015183E" w:rsidRDefault="00F20D11" w:rsidP="00B76D40">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Fig. 14</w:t>
      </w:r>
      <w:r w:rsidRPr="0015183E">
        <w:rPr>
          <w:rFonts w:ascii="Times New Roman" w:hAnsi="Times New Roman"/>
          <w:color w:val="000000" w:themeColor="text1"/>
          <w:sz w:val="22"/>
          <w:szCs w:val="22"/>
        </w:rPr>
        <w:t xml:space="preserve"> examines nominal level propagation using </w:t>
      </w:r>
      <w:proofErr w:type="spellStart"/>
      <w:r w:rsidRPr="0015183E">
        <w:rPr>
          <w:rFonts w:ascii="Times New Roman" w:hAnsi="Times New Roman"/>
          <w:color w:val="000000" w:themeColor="text1"/>
          <w:sz w:val="22"/>
          <w:szCs w:val="22"/>
        </w:rPr>
        <w:t>behavioural</w:t>
      </w:r>
      <w:proofErr w:type="spellEnd"/>
      <w:r w:rsidRPr="0015183E">
        <w:rPr>
          <w:rFonts w:ascii="Times New Roman" w:hAnsi="Times New Roman"/>
          <w:color w:val="000000" w:themeColor="text1"/>
          <w:sz w:val="22"/>
          <w:szCs w:val="22"/>
        </w:rPr>
        <w:t xml:space="preserve"> inverter stages based on the measured single-inverter VTC in </w:t>
      </w:r>
      <w:r w:rsidRPr="0015183E">
        <w:rPr>
          <w:rFonts w:ascii="Times New Roman" w:hAnsi="Times New Roman"/>
          <w:b/>
          <w:bCs/>
          <w:color w:val="000000" w:themeColor="text1"/>
          <w:sz w:val="22"/>
          <w:szCs w:val="22"/>
        </w:rPr>
        <w:t>Fig. 5c</w:t>
      </w:r>
      <w:r w:rsidRPr="0015183E">
        <w:rPr>
          <w:rFonts w:ascii="Times New Roman" w:hAnsi="Times New Roman"/>
          <w:color w:val="000000" w:themeColor="text1"/>
          <w:sz w:val="22"/>
          <w:szCs w:val="22"/>
        </w:rPr>
        <w:t>. The measured relation between V</w:t>
      </w:r>
      <w:r w:rsidRPr="0015183E">
        <w:rPr>
          <w:rFonts w:ascii="Times New Roman" w:hAnsi="Times New Roman"/>
          <w:color w:val="000000" w:themeColor="text1"/>
          <w:sz w:val="22"/>
          <w:szCs w:val="22"/>
          <w:vertAlign w:val="subscript"/>
        </w:rPr>
        <w:t>in</w:t>
      </w:r>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bscript"/>
        </w:rPr>
        <w:t>out</w:t>
      </w:r>
      <w:proofErr w:type="spellEnd"/>
      <w:r w:rsidRPr="0015183E">
        <w:rPr>
          <w:rFonts w:ascii="Times New Roman" w:hAnsi="Times New Roman"/>
          <w:color w:val="000000" w:themeColor="text1"/>
          <w:sz w:val="22"/>
          <w:szCs w:val="22"/>
        </w:rPr>
        <w:t xml:space="preserve"> at V</w:t>
      </w:r>
      <w:r w:rsidRPr="0015183E">
        <w:rPr>
          <w:rFonts w:ascii="Times New Roman" w:hAnsi="Times New Roman"/>
          <w:color w:val="000000" w:themeColor="text1"/>
          <w:sz w:val="22"/>
          <w:szCs w:val="22"/>
          <w:vertAlign w:val="subscript"/>
        </w:rPr>
        <w:t>DD</w:t>
      </w:r>
      <w:r w:rsidRPr="0015183E">
        <w:rPr>
          <w:rFonts w:ascii="Times New Roman" w:hAnsi="Times New Roman"/>
          <w:color w:val="000000" w:themeColor="text1"/>
          <w:sz w:val="22"/>
          <w:szCs w:val="22"/>
        </w:rPr>
        <w:t xml:space="preserve"> = 3 V was implemented in HSPICE, and identical stages were connected in feed-forward chains containing four or eight inverters. Each stage output drives the input of the following stage in the model.</w:t>
      </w:r>
    </w:p>
    <w:p w14:paraId="6C38414E" w14:textId="77777777" w:rsidR="00F20D11" w:rsidRPr="0015183E" w:rsidRDefault="00F20D11" w:rsidP="00B76D40">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A first-order RC response with a time constant of approximately 0.06 s was imposed to represent transient settling. The input sequence uses levels of 0, 1.5 and 3 V. Because the chains contain an even number of inversions, the final outputs follow the nominal input logic sequence while retaining distinct high, intermediate and low levels. The eight-stage model exhibits greater accumulated settling delay than the four-stage model because the imposed response is repeated over more stages.</w:t>
      </w:r>
    </w:p>
    <w:p w14:paraId="15C9E43D" w14:textId="183CC8AE" w:rsidR="00F20D11" w:rsidRPr="0015183E" w:rsidRDefault="00F20D11" w:rsidP="00B76D40">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These results illustrate the </w:t>
      </w:r>
      <w:proofErr w:type="spellStart"/>
      <w:r w:rsidRPr="0015183E">
        <w:rPr>
          <w:rFonts w:ascii="Times New Roman" w:hAnsi="Times New Roman"/>
          <w:color w:val="000000" w:themeColor="text1"/>
          <w:sz w:val="22"/>
          <w:szCs w:val="22"/>
        </w:rPr>
        <w:t>behaviour</w:t>
      </w:r>
      <w:proofErr w:type="spellEnd"/>
      <w:r w:rsidRPr="0015183E">
        <w:rPr>
          <w:rFonts w:ascii="Times New Roman" w:hAnsi="Times New Roman"/>
          <w:color w:val="000000" w:themeColor="text1"/>
          <w:sz w:val="22"/>
          <w:szCs w:val="22"/>
        </w:rPr>
        <w:t xml:space="preserve"> of identical nominal stages under the measured VTC-based model. The RC parameter is not a parasitic-extracted interconnect delay, and the simulations do not establish measured cascade operation, fan-out capability or process-variation tolerance. They also do not independently validate the electrical </w:t>
      </w:r>
      <w:proofErr w:type="spellStart"/>
      <w:r w:rsidRPr="0015183E">
        <w:rPr>
          <w:rFonts w:ascii="Times New Roman" w:hAnsi="Times New Roman"/>
          <w:color w:val="000000" w:themeColor="text1"/>
          <w:sz w:val="22"/>
          <w:szCs w:val="22"/>
        </w:rPr>
        <w:t>behaviour</w:t>
      </w:r>
      <w:proofErr w:type="spellEnd"/>
      <w:r w:rsidRPr="0015183E">
        <w:rPr>
          <w:rFonts w:ascii="Times New Roman" w:hAnsi="Times New Roman"/>
          <w:color w:val="000000" w:themeColor="text1"/>
          <w:sz w:val="22"/>
          <w:szCs w:val="22"/>
        </w:rPr>
        <w:t xml:space="preserve"> of the hypothetical lateral reference. Their role is to provide circuit-level context for the layout estimates while keeping the measured single-inverter operation distinct from the projected multistage response.</w:t>
      </w:r>
    </w:p>
    <w:p w14:paraId="51D7E926" w14:textId="3546C731" w:rsidR="00F20D11" w:rsidRPr="0015183E" w:rsidRDefault="00A255D0" w:rsidP="00B76D40">
      <w:pPr>
        <w:pStyle w:val="VAFigureCaption"/>
        <w:spacing w:line="360" w:lineRule="auto"/>
        <w:rPr>
          <w:rFonts w:ascii="Times New Roman" w:eastAsia="바탕" w:hAnsi="Times New Roman"/>
          <w:color w:val="000000" w:themeColor="text1"/>
          <w:sz w:val="22"/>
          <w:szCs w:val="22"/>
          <w:lang w:eastAsia="ko-KR"/>
        </w:rPr>
      </w:pPr>
      <w:r w:rsidRPr="0015183E">
        <w:rPr>
          <w:noProof/>
          <w:color w:val="000000" w:themeColor="text1"/>
        </w:rPr>
        <w:lastRenderedPageBreak/>
        <w:drawing>
          <wp:inline distT="0" distB="0" distL="0" distR="0" wp14:anchorId="775483D4" wp14:editId="7C3E884B">
            <wp:extent cx="5943600" cy="3845504"/>
            <wp:effectExtent l="0" t="0" r="0" b="3175"/>
            <wp:docPr id="10" name="Picture 3" descr="Figure 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2_behavioural_chain.png"/>
                    <pic:cNvPicPr/>
                  </pic:nvPicPr>
                  <pic:blipFill>
                    <a:blip r:embed="rId34"/>
                    <a:stretch>
                      <a:fillRect/>
                    </a:stretch>
                  </pic:blipFill>
                  <pic:spPr>
                    <a:xfrm>
                      <a:off x="0" y="0"/>
                      <a:ext cx="5943600" cy="3845504"/>
                    </a:xfrm>
                    <a:prstGeom prst="rect">
                      <a:avLst/>
                    </a:prstGeom>
                  </pic:spPr>
                </pic:pic>
              </a:graphicData>
            </a:graphic>
          </wp:inline>
        </w:drawing>
      </w:r>
      <w:r w:rsidR="00F20D11" w:rsidRPr="0015183E">
        <w:rPr>
          <w:rFonts w:ascii="Times New Roman" w:eastAsia="바탕" w:hAnsi="Times New Roman"/>
          <w:b/>
          <w:bCs/>
          <w:color w:val="000000" w:themeColor="text1"/>
          <w:sz w:val="22"/>
          <w:szCs w:val="22"/>
          <w:lang w:eastAsia="ko-KR"/>
        </w:rPr>
        <w:t>Supplementary Figure 14.</w:t>
      </w:r>
      <w:r w:rsidR="00F20D11" w:rsidRPr="0015183E">
        <w:rPr>
          <w:rFonts w:ascii="Times New Roman" w:eastAsia="바탕" w:hAnsi="Times New Roman"/>
          <w:color w:val="000000" w:themeColor="text1"/>
          <w:sz w:val="22"/>
          <w:szCs w:val="22"/>
          <w:lang w:eastAsia="ko-KR"/>
        </w:rPr>
        <w:t xml:space="preserve"> </w:t>
      </w:r>
      <w:proofErr w:type="spellStart"/>
      <w:r w:rsidR="00F20D11" w:rsidRPr="0015183E">
        <w:rPr>
          <w:rFonts w:ascii="Times New Roman" w:eastAsia="바탕" w:hAnsi="Times New Roman"/>
          <w:color w:val="000000" w:themeColor="text1"/>
          <w:sz w:val="22"/>
          <w:szCs w:val="22"/>
          <w:lang w:eastAsia="ko-KR"/>
        </w:rPr>
        <w:t>Behavioural</w:t>
      </w:r>
      <w:proofErr w:type="spellEnd"/>
      <w:r w:rsidR="00F20D11" w:rsidRPr="0015183E">
        <w:rPr>
          <w:rFonts w:ascii="Times New Roman" w:eastAsia="바탕" w:hAnsi="Times New Roman"/>
          <w:color w:val="000000" w:themeColor="text1"/>
          <w:sz w:val="22"/>
          <w:szCs w:val="22"/>
          <w:lang w:eastAsia="ko-KR"/>
        </w:rPr>
        <w:t xml:space="preserve"> simulations of ternary inverter chains. </w:t>
      </w:r>
      <w:proofErr w:type="spellStart"/>
      <w:proofErr w:type="gramStart"/>
      <w:r w:rsidR="00F20D11" w:rsidRPr="0015183E">
        <w:rPr>
          <w:rFonts w:ascii="Times New Roman" w:eastAsia="바탕" w:hAnsi="Times New Roman"/>
          <w:b/>
          <w:bCs/>
          <w:color w:val="000000" w:themeColor="text1"/>
          <w:sz w:val="22"/>
          <w:szCs w:val="22"/>
          <w:lang w:eastAsia="ko-KR"/>
        </w:rPr>
        <w:t>a,b</w:t>
      </w:r>
      <w:proofErr w:type="spellEnd"/>
      <w:proofErr w:type="gramEnd"/>
      <w:r w:rsidR="00F20D11" w:rsidRPr="0015183E">
        <w:rPr>
          <w:rFonts w:ascii="Times New Roman" w:eastAsia="바탕" w:hAnsi="Times New Roman"/>
          <w:color w:val="000000" w:themeColor="text1"/>
          <w:sz w:val="22"/>
          <w:szCs w:val="22"/>
          <w:lang w:eastAsia="ko-KR"/>
        </w:rPr>
        <w:t xml:space="preserve"> Input waveforms for four- and eight-stage feed-forward chains. </w:t>
      </w:r>
      <w:proofErr w:type="spellStart"/>
      <w:proofErr w:type="gramStart"/>
      <w:r w:rsidR="00F20D11" w:rsidRPr="0015183E">
        <w:rPr>
          <w:rFonts w:ascii="Times New Roman" w:eastAsia="바탕" w:hAnsi="Times New Roman"/>
          <w:b/>
          <w:bCs/>
          <w:color w:val="000000" w:themeColor="text1"/>
          <w:sz w:val="22"/>
          <w:szCs w:val="22"/>
          <w:lang w:eastAsia="ko-KR"/>
        </w:rPr>
        <w:t>c,d</w:t>
      </w:r>
      <w:proofErr w:type="spellEnd"/>
      <w:proofErr w:type="gramEnd"/>
      <w:r w:rsidR="00F20D11" w:rsidRPr="0015183E">
        <w:rPr>
          <w:rFonts w:ascii="Times New Roman" w:eastAsia="바탕" w:hAnsi="Times New Roman"/>
          <w:color w:val="000000" w:themeColor="text1"/>
          <w:sz w:val="22"/>
          <w:szCs w:val="22"/>
          <w:lang w:eastAsia="ko-KR"/>
        </w:rPr>
        <w:t xml:space="preserve"> Corresponding final-stage outputs at V</w:t>
      </w:r>
      <w:r w:rsidR="00F20D11" w:rsidRPr="0015183E">
        <w:rPr>
          <w:rFonts w:ascii="Times New Roman" w:eastAsia="바탕" w:hAnsi="Times New Roman"/>
          <w:color w:val="000000" w:themeColor="text1"/>
          <w:sz w:val="22"/>
          <w:szCs w:val="22"/>
          <w:vertAlign w:val="subscript"/>
          <w:lang w:eastAsia="ko-KR"/>
        </w:rPr>
        <w:t>DD</w:t>
      </w:r>
      <w:r w:rsidR="00F20D11" w:rsidRPr="0015183E">
        <w:rPr>
          <w:rFonts w:ascii="Times New Roman" w:eastAsia="바탕" w:hAnsi="Times New Roman"/>
          <w:color w:val="000000" w:themeColor="text1"/>
          <w:sz w:val="22"/>
          <w:szCs w:val="22"/>
          <w:lang w:eastAsia="ko-KR"/>
        </w:rPr>
        <w:t xml:space="preserve"> = 3 V. Identical stages use the measured single-inverter VTC and an imposed RC time constant of approximately 0.06 s. These are nominal </w:t>
      </w:r>
      <w:proofErr w:type="spellStart"/>
      <w:r w:rsidR="00F20D11" w:rsidRPr="0015183E">
        <w:rPr>
          <w:rFonts w:ascii="Times New Roman" w:eastAsia="바탕" w:hAnsi="Times New Roman"/>
          <w:color w:val="000000" w:themeColor="text1"/>
          <w:sz w:val="22"/>
          <w:szCs w:val="22"/>
          <w:lang w:eastAsia="ko-KR"/>
        </w:rPr>
        <w:t>behavioural</w:t>
      </w:r>
      <w:proofErr w:type="spellEnd"/>
      <w:r w:rsidR="00F20D11" w:rsidRPr="0015183E">
        <w:rPr>
          <w:rFonts w:ascii="Times New Roman" w:eastAsia="바탕" w:hAnsi="Times New Roman"/>
          <w:color w:val="000000" w:themeColor="text1"/>
          <w:sz w:val="22"/>
          <w:szCs w:val="22"/>
          <w:lang w:eastAsia="ko-KR"/>
        </w:rPr>
        <w:t xml:space="preserve"> simulations rather than experimental multistage measurements.</w:t>
      </w:r>
    </w:p>
    <w:p w14:paraId="5C8F2650" w14:textId="77777777" w:rsidR="00F20D11" w:rsidRPr="0015183E" w:rsidRDefault="00F20D11" w:rsidP="00F20D11">
      <w:pPr>
        <w:pStyle w:val="10"/>
        <w:rPr>
          <w:color w:val="000000" w:themeColor="text1"/>
          <w:lang w:eastAsia="ko-KR"/>
        </w:rPr>
      </w:pPr>
    </w:p>
    <w:p w14:paraId="5A704140" w14:textId="77777777" w:rsidR="003616EC" w:rsidRPr="0015183E" w:rsidRDefault="009B58A8" w:rsidP="00986E60">
      <w:pPr>
        <w:pStyle w:val="VAFigureCaption"/>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lang w:eastAsia="ko-KR"/>
        </w:rPr>
        <w:br w:type="page"/>
      </w:r>
      <w:r w:rsidR="003616EC" w:rsidRPr="0015183E">
        <w:rPr>
          <w:rFonts w:ascii="Times New Roman" w:hAnsi="Times New Roman"/>
          <w:b/>
          <w:bCs/>
          <w:color w:val="000000" w:themeColor="text1"/>
          <w:sz w:val="22"/>
          <w:szCs w:val="22"/>
        </w:rPr>
        <w:lastRenderedPageBreak/>
        <w:t>Benchmarking the peak-to-valley current contrast and semiconductor composition</w:t>
      </w:r>
    </w:p>
    <w:p w14:paraId="1F842B17" w14:textId="77777777"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b/>
          <w:bCs/>
          <w:color w:val="000000" w:themeColor="text1"/>
          <w:sz w:val="22"/>
          <w:szCs w:val="22"/>
        </w:rPr>
        <w:t>Supplementary Table 1</w:t>
      </w:r>
      <w:r w:rsidRPr="0015183E">
        <w:rPr>
          <w:rFonts w:ascii="Times New Roman" w:hAnsi="Times New Roman"/>
          <w:color w:val="000000" w:themeColor="text1"/>
          <w:sz w:val="22"/>
          <w:szCs w:val="22"/>
        </w:rPr>
        <w:t xml:space="preserve"> summarizes the literature entries used for the PVR–|V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benchmark in </w:t>
      </w:r>
      <w:r w:rsidRPr="0015183E">
        <w:rPr>
          <w:rFonts w:ascii="Times New Roman" w:hAnsi="Times New Roman"/>
          <w:b/>
          <w:bCs/>
          <w:color w:val="000000" w:themeColor="text1"/>
          <w:sz w:val="22"/>
          <w:szCs w:val="22"/>
        </w:rPr>
        <w:t>Fig. 4</w:t>
      </w:r>
      <w:r w:rsidRPr="0015183E">
        <w:rPr>
          <w:rFonts w:ascii="Times New Roman" w:hAnsi="Times New Roman"/>
          <w:b/>
          <w:bCs/>
          <w:color w:val="000000" w:themeColor="text1"/>
          <w:sz w:val="22"/>
          <w:szCs w:val="22"/>
          <w:lang w:eastAsia="ko-KR"/>
        </w:rPr>
        <w:t>d</w:t>
      </w:r>
      <w:r w:rsidRPr="0015183E">
        <w:rPr>
          <w:rFonts w:ascii="Times New Roman" w:hAnsi="Times New Roman"/>
          <w:color w:val="000000" w:themeColor="text1"/>
          <w:sz w:val="22"/>
          <w:szCs w:val="22"/>
        </w:rPr>
        <w:t>. The comparison includes NTC devices incorporating two semiconductor materials [9–15] and single-semiconductor devices based on CNTs [16] and MoTe</w:t>
      </w:r>
      <w:r w:rsidRPr="0015183E">
        <w:rPr>
          <w:rFonts w:ascii="Times New Roman" w:hAnsi="Times New Roman"/>
          <w:color w:val="000000" w:themeColor="text1"/>
          <w:sz w:val="22"/>
          <w:szCs w:val="22"/>
          <w:vertAlign w:val="subscript"/>
        </w:rPr>
        <w:t>2</w:t>
      </w:r>
      <w:r w:rsidRPr="0015183E">
        <w:rPr>
          <w:rFonts w:ascii="Times New Roman" w:hAnsi="Times New Roman"/>
          <w:color w:val="000000" w:themeColor="text1"/>
          <w:sz w:val="22"/>
          <w:szCs w:val="22"/>
        </w:rPr>
        <w:t xml:space="preserve"> [17]. The classification counts the semiconductor materials forming the active device, excluding electrode metals and gate dielectrics. Accordingly, the vertically stacked NTC transistor is classified as a single-semiconductor device because both constituent channels are formed from CNT networks, despite their contrasting gate responses.</w:t>
      </w:r>
    </w:p>
    <w:p w14:paraId="2C75C7FB" w14:textId="32214C7E"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 xml:space="preserve">The entry for this work corresponds to the upper-layer HD condition in </w:t>
      </w:r>
      <w:r w:rsidRPr="0015183E">
        <w:rPr>
          <w:rFonts w:ascii="Times New Roman" w:hAnsi="Times New Roman"/>
          <w:b/>
          <w:bCs/>
          <w:color w:val="000000" w:themeColor="text1"/>
          <w:sz w:val="22"/>
          <w:szCs w:val="22"/>
        </w:rPr>
        <w:t>Fig. 4</w:t>
      </w:r>
      <w:r w:rsidR="00F951E5" w:rsidRPr="0015183E">
        <w:rPr>
          <w:rFonts w:ascii="Times New Roman" w:hAnsi="Times New Roman"/>
          <w:b/>
          <w:bCs/>
          <w:color w:val="000000" w:themeColor="text1"/>
          <w:sz w:val="22"/>
          <w:szCs w:val="22"/>
          <w:lang w:eastAsia="ko-KR"/>
        </w:rPr>
        <w:t>c</w:t>
      </w:r>
      <w:r w:rsidRPr="0015183E">
        <w:rPr>
          <w:rFonts w:ascii="Times New Roman" w:hAnsi="Times New Roman"/>
          <w:color w:val="000000" w:themeColor="text1"/>
          <w:sz w:val="22"/>
          <w:szCs w:val="22"/>
        </w:rPr>
        <w:t xml:space="preserve">. Both channels had </w:t>
      </w:r>
      <w:proofErr w:type="spellStart"/>
      <w:r w:rsidRPr="0015183E">
        <w:rPr>
          <w:rFonts w:ascii="Times New Roman" w:hAnsi="Times New Roman"/>
          <w:color w:val="000000" w:themeColor="text1"/>
          <w:sz w:val="22"/>
          <w:szCs w:val="22"/>
        </w:rPr>
        <w:t>W</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w:t>
      </w:r>
      <w:proofErr w:type="spellStart"/>
      <w:r w:rsidRPr="0015183E">
        <w:rPr>
          <w:rFonts w:ascii="Times New Roman" w:hAnsi="Times New Roman"/>
          <w:color w:val="000000" w:themeColor="text1"/>
          <w:sz w:val="22"/>
          <w:szCs w:val="22"/>
        </w:rPr>
        <w:t>L</w:t>
      </w:r>
      <w:r w:rsidRPr="0015183E">
        <w:rPr>
          <w:rFonts w:ascii="Times New Roman" w:hAnsi="Times New Roman"/>
          <w:color w:val="000000" w:themeColor="text1"/>
          <w:sz w:val="22"/>
          <w:szCs w:val="22"/>
          <w:vertAlign w:val="subscript"/>
        </w:rPr>
        <w:t>ch</w:t>
      </w:r>
      <w:proofErr w:type="spellEnd"/>
      <w:r w:rsidRPr="0015183E">
        <w:rPr>
          <w:rFonts w:ascii="Times New Roman" w:hAnsi="Times New Roman"/>
          <w:color w:val="000000" w:themeColor="text1"/>
          <w:sz w:val="22"/>
          <w:szCs w:val="22"/>
        </w:rPr>
        <w:t xml:space="preserve">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with CNT network densities of 1</w:t>
      </w:r>
      <w:r w:rsidRPr="0015183E">
        <w:rPr>
          <w:rFonts w:ascii="Times New Roman" w:hAnsi="Times New Roman"/>
          <w:color w:val="000000" w:themeColor="text1"/>
          <w:sz w:val="22"/>
          <w:szCs w:val="22"/>
          <w:lang w:eastAsia="ko-KR"/>
        </w:rPr>
        <w:t>1</w:t>
      </w:r>
      <w:r w:rsidRPr="0015183E">
        <w:rPr>
          <w:rFonts w:ascii="Times New Roman" w:hAnsi="Times New Roman"/>
          <w:color w:val="000000" w:themeColor="text1"/>
          <w:sz w:val="22"/>
          <w:szCs w:val="22"/>
        </w:rPr>
        <w:t>–13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in the lower layer and 1</w:t>
      </w:r>
      <w:r w:rsidRPr="0015183E">
        <w:rPr>
          <w:rFonts w:ascii="Times New Roman" w:hAnsi="Times New Roman"/>
          <w:color w:val="000000" w:themeColor="text1"/>
          <w:sz w:val="22"/>
          <w:szCs w:val="22"/>
          <w:lang w:eastAsia="ko-KR"/>
        </w:rPr>
        <w:t>8</w:t>
      </w:r>
      <w:r w:rsidRPr="0015183E">
        <w:rPr>
          <w:rFonts w:ascii="Times New Roman" w:hAnsi="Times New Roman"/>
          <w:color w:val="000000" w:themeColor="text1"/>
          <w:sz w:val="22"/>
          <w:szCs w:val="22"/>
        </w:rPr>
        <w:t>–20 tubes/</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in the upper layer. </w:t>
      </w:r>
      <w:r w:rsidR="00B4057F" w:rsidRPr="0015183E">
        <w:rPr>
          <w:rFonts w:ascii="Times New Roman" w:hAnsi="Times New Roman"/>
          <w:color w:val="000000" w:themeColor="text1"/>
          <w:sz w:val="22"/>
          <w:szCs w:val="22"/>
        </w:rPr>
        <w:t>The original representative common-gate transfer characteristic gives a PVR of approximately 1.6 × 10</w:t>
      </w:r>
      <w:r w:rsidR="00B4057F" w:rsidRPr="0015183E">
        <w:rPr>
          <w:rFonts w:ascii="Times New Roman" w:hAnsi="Times New Roman"/>
          <w:color w:val="000000" w:themeColor="text1"/>
          <w:sz w:val="22"/>
          <w:szCs w:val="22"/>
          <w:vertAlign w:val="superscript"/>
        </w:rPr>
        <w:t>4</w:t>
      </w:r>
      <w:r w:rsidR="00B4057F" w:rsidRPr="0015183E">
        <w:rPr>
          <w:rFonts w:ascii="Times New Roman" w:hAnsi="Times New Roman"/>
          <w:color w:val="000000" w:themeColor="text1"/>
          <w:sz w:val="22"/>
          <w:szCs w:val="22"/>
        </w:rPr>
        <w:t xml:space="preserve"> at V</w:t>
      </w:r>
      <w:r w:rsidR="00B4057F" w:rsidRPr="0015183E">
        <w:rPr>
          <w:rFonts w:ascii="Times New Roman" w:hAnsi="Times New Roman"/>
          <w:color w:val="000000" w:themeColor="text1"/>
          <w:sz w:val="22"/>
          <w:szCs w:val="22"/>
          <w:vertAlign w:val="subscript"/>
        </w:rPr>
        <w:t>D</w:t>
      </w:r>
      <w:r w:rsidR="00B4057F" w:rsidRPr="0015183E">
        <w:rPr>
          <w:rFonts w:ascii="Times New Roman" w:hAnsi="Times New Roman"/>
          <w:color w:val="000000" w:themeColor="text1"/>
          <w:sz w:val="22"/>
          <w:szCs w:val="22"/>
        </w:rPr>
        <w:t xml:space="preserve"> = −0.1 V. This benchmark entry represents an upper-range device result rather than a population mean or median. The additional device distributions and low-current controls are reported in </w:t>
      </w:r>
      <w:r w:rsidR="00B4057F" w:rsidRPr="0015183E">
        <w:rPr>
          <w:rFonts w:ascii="Times New Roman" w:hAnsi="Times New Roman"/>
          <w:b/>
          <w:bCs/>
          <w:color w:val="000000" w:themeColor="text1"/>
          <w:sz w:val="22"/>
          <w:szCs w:val="22"/>
        </w:rPr>
        <w:t>Supplementary Figs. 9 and 10</w:t>
      </w:r>
      <w:r w:rsidR="00B4057F" w:rsidRPr="0015183E">
        <w:rPr>
          <w:rFonts w:ascii="Times New Roman" w:hAnsi="Times New Roman"/>
          <w:color w:val="000000" w:themeColor="text1"/>
          <w:sz w:val="22"/>
          <w:szCs w:val="22"/>
        </w:rPr>
        <w:t xml:space="preserve"> and </w:t>
      </w:r>
      <w:r w:rsidR="00B4057F" w:rsidRPr="0015183E">
        <w:rPr>
          <w:rFonts w:ascii="Times New Roman" w:hAnsi="Times New Roman"/>
          <w:b/>
          <w:bCs/>
          <w:color w:val="000000" w:themeColor="text1"/>
          <w:sz w:val="22"/>
          <w:szCs w:val="22"/>
        </w:rPr>
        <w:t>Supplementary Table 3</w:t>
      </w:r>
      <w:r w:rsidR="00B4057F" w:rsidRPr="0015183E">
        <w:rPr>
          <w:rFonts w:ascii="Times New Roman" w:hAnsi="Times New Roman"/>
          <w:color w:val="000000" w:themeColor="text1"/>
          <w:sz w:val="22"/>
          <w:szCs w:val="22"/>
        </w:rPr>
        <w:t>.</w:t>
      </w:r>
      <w:r w:rsidRPr="0015183E">
        <w:rPr>
          <w:rFonts w:ascii="Times New Roman" w:hAnsi="Times New Roman"/>
          <w:color w:val="000000" w:themeColor="text1"/>
          <w:sz w:val="22"/>
          <w:szCs w:val="22"/>
        </w:rPr>
        <w:t xml:space="preserve"> PVR was calculated as </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peak</w:t>
      </w:r>
      <w:proofErr w:type="spellEnd"/>
      <w:r w:rsidRPr="0015183E">
        <w:rPr>
          <w:rFonts w:ascii="Times New Roman" w:hAnsi="Times New Roman"/>
          <w:color w:val="000000" w:themeColor="text1"/>
          <w:sz w:val="22"/>
          <w:szCs w:val="22"/>
        </w:rPr>
        <w:t>/</w:t>
      </w:r>
      <w:proofErr w:type="spellStart"/>
      <w:r w:rsidRPr="0015183E">
        <w:rPr>
          <w:rFonts w:ascii="Times New Roman" w:hAnsi="Times New Roman"/>
          <w:color w:val="000000" w:themeColor="text1"/>
          <w:sz w:val="22"/>
          <w:szCs w:val="22"/>
        </w:rPr>
        <w:t>I</w:t>
      </w:r>
      <w:r w:rsidRPr="0015183E">
        <w:rPr>
          <w:rFonts w:ascii="Times New Roman" w:hAnsi="Times New Roman"/>
          <w:color w:val="000000" w:themeColor="text1"/>
          <w:sz w:val="22"/>
          <w:szCs w:val="22"/>
          <w:vertAlign w:val="subscript"/>
        </w:rPr>
        <w:t>valley</w:t>
      </w:r>
      <w:proofErr w:type="spellEnd"/>
      <w:r w:rsidRPr="0015183E">
        <w:rPr>
          <w:rFonts w:ascii="Times New Roman" w:hAnsi="Times New Roman"/>
          <w:color w:val="000000" w:themeColor="text1"/>
          <w:sz w:val="22"/>
          <w:szCs w:val="22"/>
        </w:rPr>
        <w:t xml:space="preserve"> using the current peak and its preceding valley in the drain-current magnitude |I</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following the extraction procedure described in Methods.</w:t>
      </w:r>
    </w:p>
    <w:p w14:paraId="3D85AB9F" w14:textId="77777777" w:rsidR="003616EC"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The literature entries retain the PVR values and drain-bias conditions reported in the respective studies [9–17]. They therefore provide a comparison of reported current contrast under the listed bias conditions rather than measurements obtained using a common experimental protocol. The present device combines a large peak-to-valley current contrast with a low drain bias while using CNTs as the sole semiconductor.</w:t>
      </w:r>
    </w:p>
    <w:p w14:paraId="4C15B885" w14:textId="77777777"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This benchmark concerns the device-level nonmonotonic response rather than the overall performance of a ternary inverter. As discussed in the main text, PVR quantifies the current contrast but does not by itself determine whether a finite intermediate output state is formed or how the static noise margins are distributed. Those circuit characteristics also depend on the shape and alignment of the NTC profile relative to the opposing inverter branch.</w:t>
      </w:r>
    </w:p>
    <w:p w14:paraId="2E77898A" w14:textId="7854A446" w:rsidR="009B58A8" w:rsidRPr="0015183E" w:rsidRDefault="009B58A8" w:rsidP="003711F9">
      <w:pPr>
        <w:rPr>
          <w:rFonts w:ascii="Times New Roman" w:hAnsi="Times New Roman"/>
          <w:color w:val="000000" w:themeColor="text1"/>
          <w:sz w:val="22"/>
          <w:szCs w:val="22"/>
          <w:lang w:eastAsia="ko-KR"/>
        </w:rPr>
      </w:pPr>
    </w:p>
    <w:tbl>
      <w:tblPr>
        <w:tblW w:w="9214" w:type="dxa"/>
        <w:jc w:val="center"/>
        <w:tblCellMar>
          <w:left w:w="0" w:type="dxa"/>
          <w:right w:w="0" w:type="dxa"/>
        </w:tblCellMar>
        <w:tblLook w:val="0420" w:firstRow="1" w:lastRow="0" w:firstColumn="0" w:lastColumn="0" w:noHBand="0" w:noVBand="1"/>
      </w:tblPr>
      <w:tblGrid>
        <w:gridCol w:w="1796"/>
        <w:gridCol w:w="1656"/>
        <w:gridCol w:w="1974"/>
        <w:gridCol w:w="1894"/>
        <w:gridCol w:w="1894"/>
      </w:tblGrid>
      <w:tr w:rsidR="0015183E" w:rsidRPr="0015183E" w14:paraId="2E0928A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AE43811"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Ref</w:t>
            </w:r>
            <w:r w:rsidRPr="0015183E">
              <w:rPr>
                <w:rFonts w:ascii="Times New Roman" w:eastAsia="맑은 고딕" w:hAnsi="Times New Roman"/>
                <w:b/>
                <w:bCs/>
                <w:color w:val="000000" w:themeColor="text1"/>
                <w:sz w:val="16"/>
                <w:szCs w:val="16"/>
                <w:lang w:eastAsia="ko-KR"/>
              </w:rPr>
              <w:t>erence</w:t>
            </w:r>
            <w:r w:rsidRPr="0015183E">
              <w:rPr>
                <w:rFonts w:ascii="Times New Roman" w:eastAsiaTheme="minorEastAsia" w:hAnsi="Times New Roman"/>
                <w:b/>
                <w:bCs/>
                <w:color w:val="000000" w:themeColor="text1"/>
                <w:sz w:val="16"/>
                <w:szCs w:val="16"/>
                <w:lang w:eastAsia="ko-KR"/>
              </w:rPr>
              <w:br/>
            </w:r>
            <w:r w:rsidRPr="0015183E">
              <w:rPr>
                <w:rFonts w:ascii="Times New Roman" w:eastAsia="Arial" w:hAnsi="Times New Roman"/>
                <w:b/>
                <w:bCs/>
                <w:color w:val="000000" w:themeColor="text1"/>
                <w:sz w:val="16"/>
                <w:szCs w:val="16"/>
              </w:rPr>
              <w:t>number</w:t>
            </w:r>
          </w:p>
        </w:tc>
        <w:tc>
          <w:tcPr>
            <w:tcW w:w="165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047C236"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Number of semiconductor materials</w:t>
            </w:r>
          </w:p>
        </w:tc>
        <w:tc>
          <w:tcPr>
            <w:tcW w:w="197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BF269E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Semiconductor</w:t>
            </w:r>
            <w:r w:rsidRPr="0015183E">
              <w:rPr>
                <w:rFonts w:ascii="Times New Roman" w:hAnsi="Times New Roman"/>
                <w:b/>
                <w:bCs/>
                <w:color w:val="000000" w:themeColor="text1"/>
                <w:sz w:val="16"/>
                <w:szCs w:val="16"/>
                <w:lang w:eastAsia="ko-KR"/>
              </w:rPr>
              <w:t xml:space="preserve"> </w:t>
            </w:r>
            <w:r w:rsidRPr="0015183E">
              <w:rPr>
                <w:rFonts w:ascii="Times New Roman" w:eastAsia="Arial" w:hAnsi="Times New Roman"/>
                <w:b/>
                <w:bCs/>
                <w:color w:val="000000" w:themeColor="text1"/>
                <w:sz w:val="16"/>
                <w:szCs w:val="16"/>
              </w:rPr>
              <w:t>materials</w:t>
            </w:r>
          </w:p>
        </w:tc>
        <w:tc>
          <w:tcPr>
            <w:tcW w:w="189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5DD4DBE4"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PVR</w:t>
            </w:r>
          </w:p>
        </w:tc>
        <w:tc>
          <w:tcPr>
            <w:tcW w:w="189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A049D0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b/>
                <w:bCs/>
                <w:i/>
                <w:iCs/>
                <w:color w:val="000000" w:themeColor="text1"/>
                <w:sz w:val="16"/>
                <w:szCs w:val="16"/>
                <w:lang w:eastAsia="ko-KR"/>
              </w:rPr>
              <w:t>V</w:t>
            </w:r>
            <w:r w:rsidRPr="0015183E">
              <w:rPr>
                <w:rFonts w:ascii="Times New Roman" w:eastAsiaTheme="minorEastAsia" w:hAnsi="Times New Roman"/>
                <w:b/>
                <w:bCs/>
                <w:color w:val="000000" w:themeColor="text1"/>
                <w:sz w:val="16"/>
                <w:szCs w:val="16"/>
                <w:vertAlign w:val="subscript"/>
                <w:lang w:eastAsia="ko-KR"/>
              </w:rPr>
              <w:t>D</w:t>
            </w:r>
            <w:r w:rsidRPr="0015183E">
              <w:rPr>
                <w:rFonts w:ascii="Times New Roman" w:eastAsia="Arial" w:hAnsi="Times New Roman"/>
                <w:b/>
                <w:bCs/>
                <w:color w:val="000000" w:themeColor="text1"/>
                <w:sz w:val="16"/>
                <w:szCs w:val="16"/>
              </w:rPr>
              <w:t>| (V)</w:t>
            </w:r>
          </w:p>
        </w:tc>
      </w:tr>
      <w:tr w:rsidR="0015183E" w:rsidRPr="0015183E" w14:paraId="350C5EB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068717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9</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1D5DF4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4E3D36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 xml:space="preserve">DNTT / </w:t>
            </w:r>
            <w:proofErr w:type="spellStart"/>
            <w:r w:rsidRPr="0015183E">
              <w:rPr>
                <w:rFonts w:ascii="Times New Roman" w:eastAsia="Arial" w:hAnsi="Times New Roman"/>
                <w:color w:val="000000" w:themeColor="text1"/>
                <w:sz w:val="16"/>
                <w:szCs w:val="16"/>
              </w:rPr>
              <w:t>ZnO</w:t>
            </w:r>
            <w:proofErr w:type="spellEnd"/>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332E99E"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 10</w:t>
            </w:r>
            <w:r w:rsidRPr="0015183E">
              <w:rPr>
                <w:rFonts w:ascii="Times New Roman" w:eastAsia="Arial" w:hAnsi="Times New Roman"/>
                <w:color w:val="000000" w:themeColor="text1"/>
                <w:sz w:val="16"/>
                <w:szCs w:val="16"/>
                <w:vertAlign w:val="superscript"/>
              </w:rPr>
              <w:t>5</w:t>
            </w:r>
            <w:r w:rsidRPr="0015183E">
              <w:rPr>
                <w:rFonts w:ascii="Times New Roman" w:eastAsia="Arial" w:hAnsi="Times New Roman"/>
                <w:color w:val="000000" w:themeColor="text1"/>
                <w:sz w:val="16"/>
                <w:szCs w:val="16"/>
              </w:rPr>
              <w:t>–10</w:t>
            </w:r>
            <w:r w:rsidRPr="0015183E">
              <w:rPr>
                <w:rFonts w:ascii="Times New Roman" w:eastAsia="Arial" w:hAnsi="Times New Roman"/>
                <w:color w:val="000000" w:themeColor="text1"/>
                <w:sz w:val="16"/>
                <w:szCs w:val="16"/>
                <w:vertAlign w:val="superscript"/>
              </w:rPr>
              <w:t>6</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393754"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5–30</w:t>
            </w:r>
          </w:p>
        </w:tc>
      </w:tr>
      <w:tr w:rsidR="0015183E" w:rsidRPr="0015183E" w14:paraId="7AD79A07"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6998996"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10</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B401EC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5EA7A1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p-</w:t>
            </w:r>
            <w:proofErr w:type="spellStart"/>
            <w:r w:rsidRPr="0015183E">
              <w:rPr>
                <w:rFonts w:ascii="Times New Roman" w:eastAsia="Arial" w:hAnsi="Times New Roman"/>
                <w:color w:val="000000" w:themeColor="text1"/>
                <w:sz w:val="16"/>
                <w:szCs w:val="16"/>
              </w:rPr>
              <w:t>TeO</w:t>
            </w:r>
            <w:r w:rsidRPr="0015183E">
              <w:rPr>
                <w:rFonts w:ascii="Times New Roman" w:eastAsia="Arial" w:hAnsi="Times New Roman"/>
                <w:i/>
                <w:color w:val="000000" w:themeColor="text1"/>
                <w:sz w:val="16"/>
                <w:szCs w:val="16"/>
                <w:vertAlign w:val="subscript"/>
              </w:rPr>
              <w:t>x</w:t>
            </w:r>
            <w:proofErr w:type="spellEnd"/>
            <w:r w:rsidRPr="0015183E">
              <w:rPr>
                <w:rFonts w:ascii="Times New Roman" w:eastAsia="Arial" w:hAnsi="Times New Roman"/>
                <w:color w:val="000000" w:themeColor="text1"/>
                <w:sz w:val="16"/>
                <w:szCs w:val="16"/>
              </w:rPr>
              <w:t xml:space="preserve"> / n-IGTO</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F5B63A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&gt; 1 × 10</w:t>
            </w:r>
            <w:r w:rsidRPr="0015183E">
              <w:rPr>
                <w:rFonts w:ascii="Times New Roman" w:eastAsia="Arial" w:hAnsi="Times New Roman"/>
                <w:color w:val="000000" w:themeColor="text1"/>
                <w:sz w:val="16"/>
                <w:szCs w:val="16"/>
                <w:vertAlign w:val="superscript"/>
              </w:rPr>
              <w:t>3</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0A011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3.0</w:t>
            </w:r>
          </w:p>
        </w:tc>
      </w:tr>
      <w:tr w:rsidR="0015183E" w:rsidRPr="0015183E" w14:paraId="03B69685"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C3CE8DE"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11</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BE5CE7"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CFEABA3"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p-WSe</w:t>
            </w:r>
            <w:r w:rsidRPr="0015183E">
              <w:rPr>
                <w:rFonts w:ascii="Times New Roman" w:eastAsia="Arial" w:hAnsi="Times New Roman"/>
                <w:color w:val="000000" w:themeColor="text1"/>
                <w:sz w:val="16"/>
                <w:szCs w:val="16"/>
                <w:vertAlign w:val="subscript"/>
              </w:rPr>
              <w:t>2</w:t>
            </w:r>
            <w:r w:rsidRPr="0015183E">
              <w:rPr>
                <w:rFonts w:ascii="Times New Roman" w:eastAsia="Arial" w:hAnsi="Times New Roman"/>
                <w:color w:val="000000" w:themeColor="text1"/>
                <w:sz w:val="16"/>
                <w:szCs w:val="16"/>
              </w:rPr>
              <w:t xml:space="preserve"> / n-MoS</w:t>
            </w:r>
            <w:r w:rsidRPr="0015183E">
              <w:rPr>
                <w:rFonts w:ascii="Times New Roman" w:eastAsia="Arial" w:hAnsi="Times New Roman"/>
                <w:color w:val="000000" w:themeColor="text1"/>
                <w:sz w:val="16"/>
                <w:szCs w:val="16"/>
                <w:vertAlign w:val="sub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10B5C04"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 10</w:t>
            </w:r>
            <w:r w:rsidRPr="0015183E">
              <w:rPr>
                <w:rFonts w:ascii="Times New Roman" w:eastAsia="Arial" w:hAnsi="Times New Roman"/>
                <w:color w:val="000000" w:themeColor="text1"/>
                <w:sz w:val="16"/>
                <w:szCs w:val="16"/>
                <w:vertAlign w:val="super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D5CA16"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0.7</w:t>
            </w:r>
          </w:p>
        </w:tc>
      </w:tr>
      <w:tr w:rsidR="0015183E" w:rsidRPr="0015183E" w14:paraId="173C271F"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EB92EC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12</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144668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81F1C64"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p-DNTT / n-PTCDI-C13</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911B3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9.6</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CD121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50</w:t>
            </w:r>
          </w:p>
        </w:tc>
      </w:tr>
      <w:tr w:rsidR="0015183E" w:rsidRPr="0015183E" w14:paraId="71848A24"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9B5822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13</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34F5E0C"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D7D5A3"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p-Cu</w:t>
            </w:r>
            <w:r w:rsidRPr="0015183E">
              <w:rPr>
                <w:rFonts w:ascii="Times New Roman" w:eastAsia="Arial" w:hAnsi="Times New Roman"/>
                <w:color w:val="000000" w:themeColor="text1"/>
                <w:sz w:val="16"/>
                <w:szCs w:val="16"/>
                <w:vertAlign w:val="subscript"/>
              </w:rPr>
              <w:t>2</w:t>
            </w:r>
            <w:r w:rsidRPr="0015183E">
              <w:rPr>
                <w:rFonts w:ascii="Times New Roman" w:eastAsia="Arial" w:hAnsi="Times New Roman"/>
                <w:color w:val="000000" w:themeColor="text1"/>
                <w:sz w:val="16"/>
                <w:szCs w:val="16"/>
              </w:rPr>
              <w:t>O / n-IGZO</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12BC1E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25</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BAA623"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20</w:t>
            </w:r>
          </w:p>
        </w:tc>
      </w:tr>
      <w:tr w:rsidR="0015183E" w:rsidRPr="0015183E" w14:paraId="3BC852AA"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4B489FB"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14</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D1E224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814B057"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MoS</w:t>
            </w:r>
            <w:r w:rsidRPr="0015183E">
              <w:rPr>
                <w:rFonts w:ascii="Times New Roman" w:eastAsia="Arial" w:hAnsi="Times New Roman"/>
                <w:color w:val="000000" w:themeColor="text1"/>
                <w:sz w:val="16"/>
                <w:szCs w:val="16"/>
                <w:vertAlign w:val="subscript"/>
              </w:rPr>
              <w:t>2</w:t>
            </w:r>
            <w:r w:rsidRPr="0015183E">
              <w:rPr>
                <w:rFonts w:ascii="Times New Roman" w:eastAsia="Arial" w:hAnsi="Times New Roman"/>
                <w:color w:val="000000" w:themeColor="text1"/>
                <w:sz w:val="16"/>
                <w:szCs w:val="16"/>
              </w:rPr>
              <w:t xml:space="preserve"> / MoTe</w:t>
            </w:r>
            <w:r w:rsidRPr="0015183E">
              <w:rPr>
                <w:rFonts w:ascii="Times New Roman" w:eastAsia="Arial" w:hAnsi="Times New Roman"/>
                <w:color w:val="000000" w:themeColor="text1"/>
                <w:sz w:val="16"/>
                <w:szCs w:val="16"/>
                <w:vertAlign w:val="sub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CBDD13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 6 × 10</w:t>
            </w:r>
            <w:r w:rsidRPr="0015183E">
              <w:rPr>
                <w:rFonts w:ascii="Times New Roman" w:eastAsia="Arial" w:hAnsi="Times New Roman"/>
                <w:color w:val="000000" w:themeColor="text1"/>
                <w:sz w:val="16"/>
                <w:szCs w:val="16"/>
                <w:vertAlign w:val="superscript"/>
              </w:rPr>
              <w:t>3</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0F51F7"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0.1–1.0</w:t>
            </w:r>
          </w:p>
        </w:tc>
      </w:tr>
      <w:tr w:rsidR="0015183E" w:rsidRPr="0015183E" w14:paraId="4194012F"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F1806BF"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15</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7C78FB3"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DE0965A"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GeS</w:t>
            </w:r>
            <w:r w:rsidRPr="0015183E">
              <w:rPr>
                <w:rFonts w:ascii="Times New Roman" w:eastAsia="Arial" w:hAnsi="Times New Roman"/>
                <w:color w:val="000000" w:themeColor="text1"/>
                <w:sz w:val="16"/>
                <w:szCs w:val="16"/>
                <w:vertAlign w:val="subscript"/>
              </w:rPr>
              <w:t>0.29</w:t>
            </w:r>
            <w:r w:rsidRPr="0015183E">
              <w:rPr>
                <w:rFonts w:ascii="Times New Roman" w:eastAsia="Arial" w:hAnsi="Times New Roman"/>
                <w:color w:val="000000" w:themeColor="text1"/>
                <w:sz w:val="16"/>
                <w:szCs w:val="16"/>
              </w:rPr>
              <w:t>Se</w:t>
            </w:r>
            <w:r w:rsidRPr="0015183E">
              <w:rPr>
                <w:rFonts w:ascii="Times New Roman" w:eastAsia="Arial" w:hAnsi="Times New Roman"/>
                <w:color w:val="000000" w:themeColor="text1"/>
                <w:sz w:val="16"/>
                <w:szCs w:val="16"/>
                <w:vertAlign w:val="subscript"/>
              </w:rPr>
              <w:t>0.71</w:t>
            </w:r>
            <w:r w:rsidRPr="0015183E">
              <w:rPr>
                <w:rFonts w:ascii="Times New Roman" w:eastAsia="Arial" w:hAnsi="Times New Roman"/>
                <w:color w:val="000000" w:themeColor="text1"/>
                <w:sz w:val="16"/>
                <w:szCs w:val="16"/>
              </w:rPr>
              <w:t xml:space="preserve"> / SnS</w:t>
            </w:r>
            <w:r w:rsidRPr="0015183E">
              <w:rPr>
                <w:rFonts w:ascii="Times New Roman" w:eastAsia="Arial" w:hAnsi="Times New Roman"/>
                <w:color w:val="000000" w:themeColor="text1"/>
                <w:sz w:val="16"/>
                <w:szCs w:val="16"/>
                <w:vertAlign w:val="sub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BF4C9BF"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6.6 × 10</w:t>
            </w:r>
            <w:r w:rsidRPr="0015183E">
              <w:rPr>
                <w:rFonts w:ascii="Times New Roman" w:eastAsia="Arial" w:hAnsi="Times New Roman"/>
                <w:color w:val="000000" w:themeColor="text1"/>
                <w:sz w:val="16"/>
                <w:szCs w:val="16"/>
                <w:vertAlign w:val="superscript"/>
              </w:rPr>
              <w:t>3</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EC7011"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3</w:t>
            </w:r>
          </w:p>
        </w:tc>
      </w:tr>
      <w:tr w:rsidR="0015183E" w:rsidRPr="0015183E" w14:paraId="5CB7C3B2"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tcPr>
          <w:p w14:paraId="65FE4D13"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i/>
                <w:i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16</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67DFCC6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1</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0FB1B15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CNT</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2EEC036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 3.5 × 10</w:t>
            </w:r>
            <w:r w:rsidRPr="0015183E">
              <w:rPr>
                <w:rFonts w:ascii="Times New Roman" w:eastAsia="Arial" w:hAnsi="Times New Roman"/>
                <w:color w:val="000000" w:themeColor="text1"/>
                <w:sz w:val="16"/>
                <w:szCs w:val="16"/>
                <w:vertAlign w:val="super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4A9EB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0.6</w:t>
            </w:r>
          </w:p>
        </w:tc>
      </w:tr>
      <w:tr w:rsidR="0015183E" w:rsidRPr="0015183E" w14:paraId="55A9AC7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tcPr>
          <w:p w14:paraId="10DB6F1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i/>
                <w:iCs/>
                <w:color w:val="000000" w:themeColor="text1"/>
                <w:sz w:val="16"/>
                <w:szCs w:val="16"/>
                <w:lang w:eastAsia="ko-KR"/>
              </w:rPr>
            </w:pPr>
            <w:r w:rsidRPr="0015183E">
              <w:rPr>
                <w:rFonts w:ascii="Times New Roman" w:eastAsia="Arial" w:hAnsi="Times New Roman"/>
                <w:b/>
                <w:bCs/>
                <w:color w:val="000000" w:themeColor="text1"/>
                <w:sz w:val="16"/>
                <w:szCs w:val="16"/>
              </w:rPr>
              <w:t>[</w:t>
            </w:r>
            <w:r w:rsidRPr="0015183E">
              <w:rPr>
                <w:rFonts w:ascii="Times New Roman" w:eastAsiaTheme="minorEastAsia" w:hAnsi="Times New Roman" w:hint="eastAsia"/>
                <w:b/>
                <w:bCs/>
                <w:color w:val="000000" w:themeColor="text1"/>
                <w:sz w:val="16"/>
                <w:szCs w:val="16"/>
                <w:lang w:eastAsia="ko-KR"/>
              </w:rPr>
              <w:t>17</w:t>
            </w:r>
            <w:r w:rsidRPr="0015183E">
              <w:rPr>
                <w:rFonts w:ascii="Times New Roman" w:eastAsia="Arial" w:hAnsi="Times New Roman"/>
                <w:b/>
                <w:bCs/>
                <w:color w:val="000000" w:themeColor="text1"/>
                <w:sz w:val="16"/>
                <w:szCs w:val="16"/>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4D427125"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1</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08FB687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MoTe</w:t>
            </w:r>
            <w:r w:rsidRPr="0015183E">
              <w:rPr>
                <w:rFonts w:ascii="Times New Roman" w:eastAsia="Arial" w:hAnsi="Times New Roman"/>
                <w:color w:val="000000" w:themeColor="text1"/>
                <w:sz w:val="16"/>
                <w:szCs w:val="16"/>
                <w:vertAlign w:val="subscript"/>
              </w:rPr>
              <w:t>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2FE376C5"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&gt; 1 × 10</w:t>
            </w:r>
            <w:r w:rsidRPr="0015183E">
              <w:rPr>
                <w:rFonts w:ascii="Times New Roman" w:eastAsia="Arial" w:hAnsi="Times New Roman"/>
                <w:color w:val="000000" w:themeColor="text1"/>
                <w:sz w:val="16"/>
                <w:szCs w:val="16"/>
                <w:vertAlign w:val="superscript"/>
              </w:rPr>
              <w:t>3</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503FBA"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Arial" w:hAnsi="Times New Roman"/>
                <w:color w:val="000000" w:themeColor="text1"/>
                <w:sz w:val="16"/>
                <w:szCs w:val="16"/>
              </w:rPr>
              <w:t>2.0</w:t>
            </w:r>
          </w:p>
        </w:tc>
      </w:tr>
      <w:tr w:rsidR="0015183E" w:rsidRPr="0015183E" w14:paraId="2A5E3F8E"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tcPr>
          <w:p w14:paraId="69495E23" w14:textId="666B6EE2" w:rsidR="009B58A8" w:rsidRPr="0015183E" w:rsidRDefault="0007714D" w:rsidP="003711F9">
            <w:pPr>
              <w:tabs>
                <w:tab w:val="right" w:leader="dot" w:pos="400"/>
                <w:tab w:val="right" w:leader="dot" w:pos="8000"/>
                <w:tab w:val="right" w:leader="dot" w:pos="10000"/>
                <w:tab w:val="right" w:leader="dot" w:pos="12000"/>
              </w:tabs>
              <w:jc w:val="center"/>
              <w:rPr>
                <w:rFonts w:ascii="Times New Roman" w:hAnsi="Times New Roman"/>
                <w:b/>
                <w:bCs/>
                <w:i/>
                <w:iCs/>
                <w:color w:val="000000" w:themeColor="text1"/>
                <w:sz w:val="16"/>
                <w:szCs w:val="16"/>
                <w:lang w:eastAsia="ko-KR"/>
              </w:rPr>
            </w:pPr>
            <w:r w:rsidRPr="0015183E">
              <w:rPr>
                <w:rFonts w:ascii="Times New Roman" w:eastAsiaTheme="minorEastAsia" w:hAnsi="Times New Roman"/>
                <w:b/>
                <w:bCs/>
                <w:color w:val="000000" w:themeColor="text1"/>
                <w:sz w:val="16"/>
                <w:szCs w:val="16"/>
                <w:lang w:eastAsia="ko-KR"/>
              </w:rPr>
              <w:t>This work (representative HD device)</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3EAD64EB"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Theme="minorEastAsia" w:hAnsi="Times New Roman"/>
                <w:color w:val="000000" w:themeColor="text1"/>
                <w:sz w:val="16"/>
                <w:szCs w:val="16"/>
                <w:lang w:eastAsia="ko-KR"/>
              </w:rPr>
              <w:t>1</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1D055D0C"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Theme="minorEastAsia" w:hAnsi="Times New Roman"/>
                <w:color w:val="000000" w:themeColor="text1"/>
                <w:sz w:val="16"/>
                <w:szCs w:val="16"/>
                <w:lang w:eastAsia="ko-KR"/>
              </w:rPr>
              <w:t>CNT</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71CF486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Theme="minorEastAsia" w:hAnsi="Times New Roman"/>
                <w:color w:val="000000" w:themeColor="text1"/>
                <w:sz w:val="16"/>
                <w:szCs w:val="16"/>
                <w:lang w:eastAsia="ko-KR"/>
              </w:rPr>
              <w:t>1.</w:t>
            </w:r>
            <w:r w:rsidRPr="0015183E">
              <w:rPr>
                <w:rFonts w:ascii="Times New Roman" w:eastAsiaTheme="minorEastAsia" w:hAnsi="Times New Roman" w:hint="eastAsia"/>
                <w:color w:val="000000" w:themeColor="text1"/>
                <w:sz w:val="16"/>
                <w:szCs w:val="16"/>
                <w:lang w:eastAsia="ko-KR"/>
              </w:rPr>
              <w:t>6</w:t>
            </w:r>
            <w:r w:rsidRPr="0015183E">
              <w:rPr>
                <w:rFonts w:ascii="Times New Roman" w:eastAsiaTheme="minorEastAsia" w:hAnsi="Times New Roman"/>
                <w:color w:val="000000" w:themeColor="text1"/>
                <w:sz w:val="16"/>
                <w:szCs w:val="16"/>
                <w:lang w:eastAsia="ko-KR"/>
              </w:rPr>
              <w:t xml:space="preserve"> </w:t>
            </w:r>
            <w:r w:rsidRPr="0015183E">
              <w:rPr>
                <w:rFonts w:ascii="Times New Roman" w:eastAsia="Arial" w:hAnsi="Times New Roman"/>
                <w:color w:val="000000" w:themeColor="text1"/>
                <w:sz w:val="16"/>
                <w:szCs w:val="16"/>
              </w:rPr>
              <w:t>× 10</w:t>
            </w:r>
            <w:r w:rsidRPr="0015183E">
              <w:rPr>
                <w:rFonts w:ascii="Times New Roman" w:eastAsiaTheme="minorEastAsia" w:hAnsi="Times New Roman"/>
                <w:color w:val="000000" w:themeColor="text1"/>
                <w:sz w:val="16"/>
                <w:szCs w:val="16"/>
                <w:vertAlign w:val="superscript"/>
                <w:lang w:eastAsia="ko-KR"/>
              </w:rPr>
              <w:t>4</w:t>
            </w:r>
          </w:p>
        </w:tc>
        <w:tc>
          <w:tcPr>
            <w:tcW w:w="189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18CC31"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eastAsiaTheme="minorEastAsia" w:hAnsi="Times New Roman"/>
                <w:color w:val="000000" w:themeColor="text1"/>
                <w:sz w:val="16"/>
                <w:szCs w:val="16"/>
                <w:lang w:eastAsia="ko-KR"/>
              </w:rPr>
              <w:t>0.1</w:t>
            </w:r>
          </w:p>
        </w:tc>
      </w:tr>
    </w:tbl>
    <w:p w14:paraId="7CB8F68F" w14:textId="2B21F8B8"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lang w:eastAsia="ko-KR"/>
        </w:rPr>
        <w:t xml:space="preserve"> Table</w:t>
      </w:r>
      <w:r w:rsidRPr="0015183E">
        <w:rPr>
          <w:rStyle w:val="selected"/>
          <w:rFonts w:ascii="Times New Roman" w:hAnsi="Times New Roman"/>
          <w:b/>
          <w:color w:val="000000" w:themeColor="text1"/>
          <w:sz w:val="22"/>
          <w:szCs w:val="22"/>
        </w:rPr>
        <w:t xml:space="preserve"> </w:t>
      </w:r>
      <w:r w:rsidRPr="0015183E">
        <w:rPr>
          <w:rStyle w:val="selected"/>
          <w:rFonts w:ascii="Times New Roman" w:hAnsi="Times New Roman"/>
          <w:b/>
          <w:color w:val="000000" w:themeColor="text1"/>
          <w:sz w:val="22"/>
          <w:szCs w:val="22"/>
          <w:lang w:eastAsia="ko-KR"/>
        </w:rPr>
        <w:t>1</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 xml:space="preserve">Benchmark comparison of semiconductor composition, </w:t>
      </w:r>
      <w:r w:rsidRPr="0015183E">
        <w:rPr>
          <w:rFonts w:ascii="Times New Roman" w:eastAsia="바탕" w:hAnsi="Times New Roman" w:hint="eastAsia"/>
          <w:color w:val="000000" w:themeColor="text1"/>
          <w:sz w:val="22"/>
          <w:szCs w:val="22"/>
          <w:lang w:eastAsia="ko-KR"/>
        </w:rPr>
        <w:t>PVR</w:t>
      </w:r>
      <w:r w:rsidRPr="0015183E">
        <w:rPr>
          <w:rFonts w:ascii="Times New Roman" w:eastAsia="바탕" w:hAnsi="Times New Roman"/>
          <w:color w:val="000000" w:themeColor="text1"/>
          <w:sz w:val="22"/>
          <w:szCs w:val="22"/>
          <w:lang w:eastAsia="ko-KR"/>
        </w:rPr>
        <w:t xml:space="preserve"> and drain bias for previously reported NTC devices and the vertically stacked NTC transistor. The table lists the number and type of semiconductor materials, PVR and drain-bias magnitude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for the devices compared in Fig. 4</w:t>
      </w:r>
      <w:r w:rsidR="00771B47" w:rsidRPr="0015183E">
        <w:rPr>
          <w:rFonts w:ascii="Times New Roman" w:eastAsia="바탕" w:hAnsi="Times New Roman" w:hint="eastAsia"/>
          <w:color w:val="000000" w:themeColor="text1"/>
          <w:sz w:val="22"/>
          <w:szCs w:val="22"/>
          <w:lang w:eastAsia="ko-KR"/>
        </w:rPr>
        <w:t>d</w:t>
      </w:r>
      <w:r w:rsidRPr="0015183E">
        <w:rPr>
          <w:rFonts w:ascii="Times New Roman" w:eastAsia="바탕" w:hAnsi="Times New Roman"/>
          <w:color w:val="000000" w:themeColor="text1"/>
          <w:sz w:val="22"/>
          <w:szCs w:val="22"/>
          <w:lang w:eastAsia="ko-KR"/>
        </w:rPr>
        <w:t xml:space="preserve"> [9–17]. The material count refers to the semiconductor constituents of the NTC device rather than the number of channels or layers. Values for previously reported devices are taken from the cited studies, whereas the value for this work was extracted from the measured common-gate transfer characteristic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w:t>
      </w:r>
      <w:r w:rsidR="0007714D" w:rsidRPr="0015183E">
        <w:rPr>
          <w:rFonts w:ascii="Times New Roman" w:eastAsia="바탕" w:hAnsi="Times New Roman"/>
          <w:color w:val="000000" w:themeColor="text1"/>
          <w:sz w:val="22"/>
          <w:szCs w:val="22"/>
          <w:lang w:eastAsia="ko-KR"/>
        </w:rPr>
        <w:t xml:space="preserve"> The value for this work represents the original representative HD device; additional population statistics are provided in Supplementary Table 3.</w:t>
      </w:r>
    </w:p>
    <w:p w14:paraId="3B154C04" w14:textId="1CB9F648" w:rsidR="003616EC" w:rsidRPr="0015183E" w:rsidRDefault="009B58A8" w:rsidP="00986E60">
      <w:pPr>
        <w:pStyle w:val="VAFigureCaption"/>
        <w:rPr>
          <w:rFonts w:ascii="Times New Roman" w:hAnsi="Times New Roman"/>
          <w:b/>
          <w:bCs/>
          <w:color w:val="000000" w:themeColor="text1"/>
          <w:sz w:val="22"/>
          <w:szCs w:val="22"/>
        </w:rPr>
      </w:pPr>
      <w:r w:rsidRPr="0015183E">
        <w:rPr>
          <w:rFonts w:ascii="Times New Roman" w:eastAsia="바탕" w:hAnsi="Times New Roman"/>
          <w:color w:val="000000" w:themeColor="text1"/>
          <w:sz w:val="22"/>
          <w:szCs w:val="22"/>
          <w:lang w:eastAsia="ko-KR"/>
        </w:rPr>
        <w:br w:type="page"/>
      </w:r>
      <w:r w:rsidR="003616EC" w:rsidRPr="0015183E">
        <w:rPr>
          <w:rFonts w:ascii="Times New Roman" w:hAnsi="Times New Roman"/>
          <w:b/>
          <w:bCs/>
          <w:color w:val="000000" w:themeColor="text1"/>
          <w:sz w:val="22"/>
          <w:szCs w:val="22"/>
        </w:rPr>
        <w:lastRenderedPageBreak/>
        <w:t>Reference parameters for the constituent-channel compact models</w:t>
      </w:r>
    </w:p>
    <w:p w14:paraId="3B121271" w14:textId="465C325C"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Table 2</w:t>
      </w:r>
      <w:r w:rsidRPr="0015183E">
        <w:rPr>
          <w:rFonts w:ascii="Times New Roman" w:hAnsi="Times New Roman"/>
          <w:color w:val="000000" w:themeColor="text1"/>
          <w:sz w:val="22"/>
          <w:szCs w:val="22"/>
        </w:rPr>
        <w:t xml:space="preserve"> summarizes the reference parameter sets used to describe the constituent-channel responses in </w:t>
      </w:r>
      <w:r w:rsidRPr="0015183E">
        <w:rPr>
          <w:rFonts w:ascii="Times New Roman" w:hAnsi="Times New Roman"/>
          <w:b/>
          <w:bCs/>
          <w:color w:val="000000" w:themeColor="text1"/>
          <w:sz w:val="22"/>
          <w:szCs w:val="22"/>
        </w:rPr>
        <w:t xml:space="preserve">Supplementary Fig. </w:t>
      </w:r>
      <w:r w:rsidR="0007714D" w:rsidRPr="0015183E">
        <w:rPr>
          <w:rFonts w:ascii="Times New Roman" w:hAnsi="Times New Roman"/>
          <w:b/>
          <w:bCs/>
          <w:color w:val="000000" w:themeColor="text1"/>
          <w:sz w:val="22"/>
          <w:szCs w:val="22"/>
          <w:lang w:eastAsia="ko-KR"/>
        </w:rPr>
        <w:t>11</w:t>
      </w:r>
      <w:r w:rsidRPr="0015183E">
        <w:rPr>
          <w:rFonts w:ascii="Times New Roman" w:hAnsi="Times New Roman"/>
          <w:b/>
          <w:bCs/>
          <w:color w:val="000000" w:themeColor="text1"/>
          <w:sz w:val="22"/>
          <w:szCs w:val="22"/>
        </w:rPr>
        <w:t>a</w:t>
      </w:r>
      <w:r w:rsidRPr="0015183E">
        <w:rPr>
          <w:rFonts w:ascii="Times New Roman" w:hAnsi="Times New Roman"/>
          <w:color w:val="000000" w:themeColor="text1"/>
          <w:sz w:val="22"/>
          <w:szCs w:val="22"/>
        </w:rPr>
        <w:t>. The electron and hole branches of the lower-layer transistor were parameterized separately and combined to describe its electron-dominant ambipolar response. The resulting lower-layer model was then connected in series with the upper-layer p-type model and operated through a common gate. The two lower-layer columns therefore represent different carrier branches of the same physical transistor rather than two separate CNT channels.</w:t>
      </w:r>
    </w:p>
    <w:p w14:paraId="3F5A3C7D" w14:textId="77777777"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 fitted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values were 0.18 V for the lower-layer electron branch, –3.2 V for the lower-layer hole branch and –1.8 V for the upper-layer p-type response. These model parameters are distinct from the constant-current V</w:t>
      </w:r>
      <w:r w:rsidRPr="0015183E">
        <w:rPr>
          <w:rFonts w:ascii="Times New Roman" w:hAnsi="Times New Roman"/>
          <w:color w:val="000000" w:themeColor="text1"/>
          <w:sz w:val="22"/>
          <w:szCs w:val="22"/>
          <w:vertAlign w:val="subscript"/>
        </w:rPr>
        <w:t>T</w:t>
      </w:r>
      <w:r w:rsidRPr="0015183E">
        <w:rPr>
          <w:rFonts w:ascii="Times New Roman" w:hAnsi="Times New Roman"/>
          <w:color w:val="000000" w:themeColor="text1"/>
          <w:sz w:val="22"/>
          <w:szCs w:val="22"/>
        </w:rPr>
        <w:t xml:space="preserve"> values extracted from the measured transfer characteristics. NFS was used to parameterize the subthreshold response within the Level 3 model [6]. In the present phenomenological description, the fitted NFS values are not interpreted as independently measured trap densities in the CNT networks or gate dielectrics.</w:t>
      </w:r>
    </w:p>
    <w:p w14:paraId="03CF4D2C" w14:textId="77777777" w:rsidR="003616EC" w:rsidRPr="0015183E" w:rsidRDefault="003616EC" w:rsidP="007411B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All three models used W = 20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L = 4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and a reference KP of 20 × 10</w:t>
      </w:r>
      <w:r w:rsidRPr="0015183E">
        <w:rPr>
          <w:rFonts w:ascii="Times New Roman" w:hAnsi="Times New Roman"/>
          <w:color w:val="000000" w:themeColor="text1"/>
          <w:sz w:val="22"/>
          <w:szCs w:val="22"/>
          <w:vertAlign w:val="superscript"/>
        </w:rPr>
        <w:t>–6</w:t>
      </w:r>
      <w:r w:rsidRPr="0015183E">
        <w:rPr>
          <w:rFonts w:ascii="Times New Roman" w:hAnsi="Times New Roman"/>
          <w:color w:val="000000" w:themeColor="text1"/>
          <w:sz w:val="22"/>
          <w:szCs w:val="22"/>
        </w:rPr>
        <w:t xml:space="preserve"> A</w:t>
      </w:r>
      <w:r w:rsidRPr="0015183E">
        <w:rPr>
          <w:rFonts w:ascii="Times New Roman" w:hAnsi="Times New Roman" w:hint="eastAsia"/>
          <w:color w:val="000000" w:themeColor="text1"/>
          <w:sz w:val="22"/>
          <w:szCs w:val="22"/>
          <w:lang w:eastAsia="ko-KR"/>
        </w:rPr>
        <w:t xml:space="preserve"> </w:t>
      </w:r>
      <w:r w:rsidRPr="0015183E">
        <w:rPr>
          <w:rFonts w:ascii="Times New Roman" w:hAnsi="Times New Roman"/>
          <w:color w:val="000000" w:themeColor="text1"/>
          <w:sz w:val="22"/>
          <w:szCs w:val="22"/>
        </w:rPr>
        <w:t>V</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equivalent to 20 </w:t>
      </w:r>
      <w:proofErr w:type="spellStart"/>
      <w:r w:rsidRPr="0015183E">
        <w:rPr>
          <w:rFonts w:ascii="Times New Roman" w:hAnsi="Times New Roman"/>
          <w:color w:val="000000" w:themeColor="text1"/>
          <w:sz w:val="22"/>
          <w:szCs w:val="22"/>
        </w:rPr>
        <w:t>μA</w:t>
      </w:r>
      <w:proofErr w:type="spellEnd"/>
      <w:r w:rsidRPr="0015183E">
        <w:rPr>
          <w:rFonts w:ascii="Times New Roman" w:hAnsi="Times New Roman"/>
          <w:color w:val="000000" w:themeColor="text1"/>
          <w:sz w:val="22"/>
          <w:szCs w:val="22"/>
        </w:rPr>
        <w:t xml:space="preserve"> V</w:t>
      </w:r>
      <w:r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R</w:t>
      </w:r>
      <w:r w:rsidRPr="0015183E">
        <w:rPr>
          <w:rFonts w:ascii="Times New Roman" w:hAnsi="Times New Roman"/>
          <w:color w:val="000000" w:themeColor="text1"/>
          <w:sz w:val="22"/>
          <w:szCs w:val="22"/>
          <w:vertAlign w:val="subscript"/>
        </w:rPr>
        <w:t>S</w:t>
      </w:r>
      <w:r w:rsidRPr="0015183E">
        <w:rPr>
          <w:rFonts w:ascii="Times New Roman" w:hAnsi="Times New Roman"/>
          <w:color w:val="000000" w:themeColor="text1"/>
          <w:sz w:val="22"/>
          <w:szCs w:val="22"/>
        </w:rPr>
        <w:t xml:space="preserve"> and R</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were each set to 70 </w:t>
      </w:r>
      <w:proofErr w:type="spellStart"/>
      <w:r w:rsidRPr="0015183E">
        <w:rPr>
          <w:rFonts w:ascii="Times New Roman" w:hAnsi="Times New Roman"/>
          <w:color w:val="000000" w:themeColor="text1"/>
          <w:sz w:val="22"/>
          <w:szCs w:val="22"/>
        </w:rPr>
        <w:t>kΩ</w:t>
      </w:r>
      <w:proofErr w:type="spellEnd"/>
      <w:r w:rsidRPr="0015183E">
        <w:rPr>
          <w:rFonts w:ascii="Times New Roman" w:hAnsi="Times New Roman"/>
          <w:color w:val="000000" w:themeColor="text1"/>
          <w:sz w:val="22"/>
          <w:szCs w:val="22"/>
        </w:rPr>
        <w:t xml:space="preserve"> for the lower-layer electron branch, 150 </w:t>
      </w:r>
      <w:proofErr w:type="spellStart"/>
      <w:r w:rsidRPr="0015183E">
        <w:rPr>
          <w:rFonts w:ascii="Times New Roman" w:hAnsi="Times New Roman"/>
          <w:color w:val="000000" w:themeColor="text1"/>
          <w:sz w:val="22"/>
          <w:szCs w:val="22"/>
        </w:rPr>
        <w:t>kΩ</w:t>
      </w:r>
      <w:proofErr w:type="spellEnd"/>
      <w:r w:rsidRPr="0015183E">
        <w:rPr>
          <w:rFonts w:ascii="Times New Roman" w:hAnsi="Times New Roman"/>
          <w:color w:val="000000" w:themeColor="text1"/>
          <w:sz w:val="22"/>
          <w:szCs w:val="22"/>
        </w:rPr>
        <w:t xml:space="preserve"> for the lower-layer hole branch and 110 </w:t>
      </w:r>
      <w:proofErr w:type="spellStart"/>
      <w:r w:rsidRPr="0015183E">
        <w:rPr>
          <w:rFonts w:ascii="Times New Roman" w:hAnsi="Times New Roman"/>
          <w:color w:val="000000" w:themeColor="text1"/>
          <w:sz w:val="22"/>
          <w:szCs w:val="22"/>
        </w:rPr>
        <w:t>kΩ</w:t>
      </w:r>
      <w:proofErr w:type="spellEnd"/>
      <w:r w:rsidRPr="0015183E">
        <w:rPr>
          <w:rFonts w:ascii="Times New Roman" w:hAnsi="Times New Roman"/>
          <w:color w:val="000000" w:themeColor="text1"/>
          <w:sz w:val="22"/>
          <w:szCs w:val="22"/>
        </w:rPr>
        <w:t xml:space="preserve"> for the upper-layer p-type model. These values represent effective series-resistance contributions used in fitting. Assigning equal R</w:t>
      </w:r>
      <w:r w:rsidRPr="0015183E">
        <w:rPr>
          <w:rFonts w:ascii="Times New Roman" w:hAnsi="Times New Roman"/>
          <w:color w:val="000000" w:themeColor="text1"/>
          <w:sz w:val="22"/>
          <w:szCs w:val="22"/>
          <w:vertAlign w:val="subscript"/>
        </w:rPr>
        <w:t>S</w:t>
      </w:r>
      <w:r w:rsidRPr="0015183E">
        <w:rPr>
          <w:rFonts w:ascii="Times New Roman" w:hAnsi="Times New Roman"/>
          <w:color w:val="000000" w:themeColor="text1"/>
          <w:sz w:val="22"/>
          <w:szCs w:val="22"/>
        </w:rPr>
        <w:t xml:space="preserve"> and R</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within each model does not establish that the physical source and drain contact resistances are identical.</w:t>
      </w:r>
    </w:p>
    <w:p w14:paraId="6AC001AF" w14:textId="649EB858" w:rsidR="009B58A8" w:rsidRPr="0015183E" w:rsidRDefault="003616EC" w:rsidP="007411B7">
      <w:pPr>
        <w:pStyle w:val="VAFigureCaption"/>
        <w:ind w:firstLineChars="100" w:firstLine="220"/>
        <w:rPr>
          <w:rFonts w:ascii="Times New Roman" w:hAnsi="Times New Roman"/>
          <w:b/>
          <w:bCs/>
          <w:color w:val="000000" w:themeColor="text1"/>
          <w:sz w:val="22"/>
          <w:szCs w:val="22"/>
          <w:lang w:eastAsia="ko-KR"/>
        </w:rPr>
      </w:pPr>
      <w:r w:rsidRPr="0015183E">
        <w:rPr>
          <w:rFonts w:ascii="Times New Roman" w:hAnsi="Times New Roman"/>
          <w:color w:val="000000" w:themeColor="text1"/>
          <w:sz w:val="22"/>
          <w:szCs w:val="22"/>
        </w:rPr>
        <w:t xml:space="preserve">The listed values define the reference condition before the parametric changes in </w:t>
      </w:r>
      <w:r w:rsidRPr="0015183E">
        <w:rPr>
          <w:rFonts w:ascii="Times New Roman" w:hAnsi="Times New Roman"/>
          <w:b/>
          <w:bCs/>
          <w:color w:val="000000" w:themeColor="text1"/>
          <w:sz w:val="22"/>
          <w:szCs w:val="22"/>
        </w:rPr>
        <w:t>Supplementary Fig</w:t>
      </w:r>
      <w:r w:rsidR="0007714D" w:rsidRPr="0015183E">
        <w:rPr>
          <w:rFonts w:ascii="Times New Roman" w:hAnsi="Times New Roman"/>
          <w:b/>
          <w:bCs/>
          <w:color w:val="000000" w:themeColor="text1"/>
          <w:sz w:val="22"/>
          <w:szCs w:val="22"/>
        </w:rPr>
        <w:t>s</w:t>
      </w:r>
      <w:r w:rsidRPr="0015183E">
        <w:rPr>
          <w:rFonts w:ascii="Times New Roman" w:hAnsi="Times New Roman"/>
          <w:b/>
          <w:bCs/>
          <w:color w:val="000000" w:themeColor="text1"/>
          <w:sz w:val="22"/>
          <w:szCs w:val="22"/>
        </w:rPr>
        <w:t xml:space="preserve">. </w:t>
      </w:r>
      <w:r w:rsidR="0007714D" w:rsidRPr="0015183E">
        <w:rPr>
          <w:rFonts w:ascii="Times New Roman" w:hAnsi="Times New Roman"/>
          <w:b/>
          <w:bCs/>
          <w:color w:val="000000" w:themeColor="text1"/>
          <w:sz w:val="22"/>
          <w:szCs w:val="22"/>
          <w:lang w:eastAsia="ko-KR"/>
        </w:rPr>
        <w:t>11</w:t>
      </w:r>
      <w:r w:rsidRPr="0015183E">
        <w:rPr>
          <w:rFonts w:ascii="Times New Roman" w:hAnsi="Times New Roman"/>
          <w:b/>
          <w:bCs/>
          <w:color w:val="000000" w:themeColor="text1"/>
          <w:sz w:val="22"/>
          <w:szCs w:val="22"/>
        </w:rPr>
        <w:t xml:space="preserve">b and </w:t>
      </w:r>
      <w:r w:rsidR="0007714D" w:rsidRPr="0015183E">
        <w:rPr>
          <w:rFonts w:ascii="Times New Roman" w:hAnsi="Times New Roman"/>
          <w:b/>
          <w:bCs/>
          <w:color w:val="000000" w:themeColor="text1"/>
          <w:sz w:val="22"/>
          <w:szCs w:val="22"/>
        </w:rPr>
        <w:t>11</w:t>
      </w:r>
      <w:r w:rsidRPr="0015183E">
        <w:rPr>
          <w:rFonts w:ascii="Times New Roman" w:hAnsi="Times New Roman"/>
          <w:b/>
          <w:bCs/>
          <w:color w:val="000000" w:themeColor="text1"/>
          <w:sz w:val="22"/>
          <w:szCs w:val="22"/>
        </w:rPr>
        <w:t>c</w:t>
      </w:r>
      <w:r w:rsidRPr="0015183E">
        <w:rPr>
          <w:rFonts w:ascii="Times New Roman" w:hAnsi="Times New Roman"/>
          <w:color w:val="000000" w:themeColor="text1"/>
          <w:sz w:val="22"/>
          <w:szCs w:val="22"/>
        </w:rPr>
        <w:t>. The common-gate work-function variation was represented by coordinated changes in the constituent-model V</w:t>
      </w:r>
      <w:r w:rsidRPr="0015183E">
        <w:rPr>
          <w:rFonts w:ascii="Times New Roman" w:hAnsi="Times New Roman"/>
          <w:color w:val="000000" w:themeColor="text1"/>
          <w:sz w:val="22"/>
          <w:szCs w:val="22"/>
          <w:vertAlign w:val="subscript"/>
        </w:rPr>
        <w:t>TO</w:t>
      </w:r>
      <w:r w:rsidRPr="0015183E">
        <w:rPr>
          <w:rFonts w:ascii="Times New Roman" w:hAnsi="Times New Roman"/>
          <w:color w:val="000000" w:themeColor="text1"/>
          <w:sz w:val="22"/>
          <w:szCs w:val="22"/>
        </w:rPr>
        <w:t xml:space="preserve"> values. The upper-layer gate-capacitance variation was represented by changing the upper-layer KP while retaining the lower-layer parameters. The table therefore provides the baseline for distinguishing a common shift of the constituent-channel responses from a layer-selective change in their relative current levels.</w:t>
      </w:r>
    </w:p>
    <w:tbl>
      <w:tblPr>
        <w:tblW w:w="7320" w:type="dxa"/>
        <w:jc w:val="center"/>
        <w:tblCellMar>
          <w:left w:w="0" w:type="dxa"/>
          <w:right w:w="0" w:type="dxa"/>
        </w:tblCellMar>
        <w:tblLook w:val="0420" w:firstRow="1" w:lastRow="0" w:firstColumn="0" w:lastColumn="0" w:noHBand="0" w:noVBand="1"/>
      </w:tblPr>
      <w:tblGrid>
        <w:gridCol w:w="1796"/>
        <w:gridCol w:w="1656"/>
        <w:gridCol w:w="1974"/>
        <w:gridCol w:w="1894"/>
      </w:tblGrid>
      <w:tr w:rsidR="0015183E" w:rsidRPr="0015183E" w14:paraId="3ACD86E3"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30D797A"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color w:val="000000" w:themeColor="text1"/>
                <w:sz w:val="16"/>
                <w:szCs w:val="16"/>
                <w:lang w:eastAsia="ko-KR"/>
              </w:rPr>
              <w:lastRenderedPageBreak/>
              <w:t>Parameter</w:t>
            </w:r>
          </w:p>
        </w:tc>
        <w:tc>
          <w:tcPr>
            <w:tcW w:w="165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6FA348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color w:val="000000" w:themeColor="text1"/>
                <w:sz w:val="16"/>
                <w:szCs w:val="16"/>
                <w:lang w:eastAsia="ko-KR"/>
              </w:rPr>
              <w:t xml:space="preserve">Lower-layer </w:t>
            </w:r>
            <w:r w:rsidRPr="0015183E">
              <w:rPr>
                <w:rFonts w:ascii="Times New Roman" w:hAnsi="Times New Roman"/>
                <w:b/>
                <w:bCs/>
                <w:color w:val="000000" w:themeColor="text1"/>
                <w:sz w:val="16"/>
                <w:szCs w:val="16"/>
                <w:lang w:eastAsia="ko-KR"/>
              </w:rPr>
              <w:br/>
              <w:t xml:space="preserve">electron </w:t>
            </w:r>
            <w:r w:rsidRPr="0015183E">
              <w:rPr>
                <w:rFonts w:ascii="Times New Roman" w:hAnsi="Times New Roman" w:hint="eastAsia"/>
                <w:b/>
                <w:bCs/>
                <w:color w:val="000000" w:themeColor="text1"/>
                <w:sz w:val="16"/>
                <w:szCs w:val="16"/>
                <w:lang w:eastAsia="ko-KR"/>
              </w:rPr>
              <w:t>branch</w:t>
            </w:r>
          </w:p>
        </w:tc>
        <w:tc>
          <w:tcPr>
            <w:tcW w:w="197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7BE1EE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color w:val="000000" w:themeColor="text1"/>
                <w:sz w:val="16"/>
                <w:szCs w:val="16"/>
                <w:lang w:eastAsia="ko-KR"/>
              </w:rPr>
              <w:t xml:space="preserve">Lower-layer </w:t>
            </w:r>
            <w:r w:rsidRPr="0015183E">
              <w:rPr>
                <w:rFonts w:ascii="Times New Roman" w:hAnsi="Times New Roman"/>
                <w:b/>
                <w:bCs/>
                <w:color w:val="000000" w:themeColor="text1"/>
                <w:sz w:val="16"/>
                <w:szCs w:val="16"/>
                <w:lang w:eastAsia="ko-KR"/>
              </w:rPr>
              <w:br/>
              <w:t xml:space="preserve">hole </w:t>
            </w:r>
            <w:r w:rsidRPr="0015183E">
              <w:rPr>
                <w:rFonts w:ascii="Times New Roman" w:hAnsi="Times New Roman" w:hint="eastAsia"/>
                <w:b/>
                <w:bCs/>
                <w:color w:val="000000" w:themeColor="text1"/>
                <w:sz w:val="16"/>
                <w:szCs w:val="16"/>
                <w:lang w:eastAsia="ko-KR"/>
              </w:rPr>
              <w:t>branch</w:t>
            </w:r>
          </w:p>
        </w:tc>
        <w:tc>
          <w:tcPr>
            <w:tcW w:w="189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3B32634"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color w:val="000000" w:themeColor="text1"/>
                <w:sz w:val="16"/>
                <w:szCs w:val="16"/>
                <w:lang w:eastAsia="ko-KR"/>
              </w:rPr>
              <w:t xml:space="preserve">Upper-layer </w:t>
            </w:r>
            <w:r w:rsidRPr="0015183E">
              <w:rPr>
                <w:rFonts w:ascii="Times New Roman" w:hAnsi="Times New Roman"/>
                <w:b/>
                <w:bCs/>
                <w:color w:val="000000" w:themeColor="text1"/>
                <w:sz w:val="16"/>
                <w:szCs w:val="16"/>
                <w:lang w:eastAsia="ko-KR"/>
              </w:rPr>
              <w:br/>
              <w:t>p-type</w:t>
            </w:r>
            <w:r w:rsidRPr="0015183E">
              <w:rPr>
                <w:rFonts w:ascii="Times New Roman" w:hAnsi="Times New Roman" w:hint="eastAsia"/>
                <w:b/>
                <w:bCs/>
                <w:color w:val="000000" w:themeColor="text1"/>
                <w:sz w:val="16"/>
                <w:szCs w:val="16"/>
                <w:lang w:eastAsia="ko-KR"/>
              </w:rPr>
              <w:t xml:space="preserve"> CNT</w:t>
            </w:r>
            <w:r w:rsidRPr="0015183E">
              <w:rPr>
                <w:rFonts w:ascii="Times New Roman" w:hAnsi="Times New Roman"/>
                <w:b/>
                <w:bCs/>
                <w:color w:val="000000" w:themeColor="text1"/>
                <w:sz w:val="16"/>
                <w:szCs w:val="16"/>
                <w:lang w:eastAsia="ko-KR"/>
              </w:rPr>
              <w:t xml:space="preserve"> FET</w:t>
            </w:r>
          </w:p>
        </w:tc>
      </w:tr>
      <w:tr w:rsidR="0015183E" w:rsidRPr="0015183E" w14:paraId="13EBA1BE"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9BC7ED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V</w:t>
            </w:r>
            <w:r w:rsidRPr="0015183E">
              <w:rPr>
                <w:rFonts w:ascii="Times New Roman" w:hAnsi="Times New Roman"/>
                <w:b/>
                <w:bCs/>
                <w:color w:val="000000" w:themeColor="text1"/>
                <w:sz w:val="16"/>
                <w:szCs w:val="16"/>
                <w:vertAlign w:val="subscript"/>
                <w:lang w:eastAsia="ko-KR"/>
              </w:rPr>
              <w:t>T</w:t>
            </w:r>
            <w:r w:rsidRPr="0015183E">
              <w:rPr>
                <w:rFonts w:ascii="Times New Roman" w:hAnsi="Times New Roman" w:hint="eastAsia"/>
                <w:b/>
                <w:bCs/>
                <w:color w:val="000000" w:themeColor="text1"/>
                <w:sz w:val="16"/>
                <w:szCs w:val="16"/>
                <w:vertAlign w:val="subscript"/>
                <w:lang w:eastAsia="ko-KR"/>
              </w:rPr>
              <w:t>O</w:t>
            </w:r>
            <w:r w:rsidRPr="0015183E">
              <w:rPr>
                <w:rFonts w:ascii="Times New Roman" w:hAnsi="Times New Roman"/>
                <w:b/>
                <w:bCs/>
                <w:color w:val="000000" w:themeColor="text1"/>
                <w:sz w:val="16"/>
                <w:szCs w:val="16"/>
                <w:lang w:eastAsia="ko-KR"/>
              </w:rPr>
              <w:t xml:space="preserve"> (V)</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F59F54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0.18</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923D7F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−3.2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F20445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−1.8</w:t>
            </w:r>
          </w:p>
        </w:tc>
      </w:tr>
      <w:tr w:rsidR="0015183E" w:rsidRPr="0015183E" w14:paraId="188B9268"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51A8B68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color w:val="000000" w:themeColor="text1"/>
                <w:sz w:val="16"/>
                <w:szCs w:val="16"/>
                <w:lang w:eastAsia="ko-KR"/>
              </w:rPr>
              <w:t>NFS (cm</w:t>
            </w:r>
            <w:r w:rsidRPr="0015183E">
              <w:rPr>
                <w:rFonts w:ascii="Times New Roman" w:hAnsi="Times New Roman"/>
                <w:color w:val="000000" w:themeColor="text1"/>
                <w:sz w:val="16"/>
                <w:szCs w:val="16"/>
                <w:vertAlign w:val="superscript"/>
                <w:lang w:eastAsia="ko-KR"/>
              </w:rPr>
              <w:t>−2</w:t>
            </w:r>
            <w:r w:rsidRPr="0015183E">
              <w:rPr>
                <w:rFonts w:ascii="Times New Roman" w:hAnsi="Times New Roman"/>
                <w:b/>
                <w:bCs/>
                <w:color w:val="000000" w:themeColor="text1"/>
                <w:sz w:val="16"/>
                <w:szCs w:val="16"/>
                <w:lang w:eastAsia="ko-KR"/>
              </w:rPr>
              <w:t xml:space="preserve"> V</w:t>
            </w:r>
            <w:r w:rsidRPr="0015183E">
              <w:rPr>
                <w:rFonts w:ascii="Times New Roman" w:hAnsi="Times New Roman"/>
                <w:color w:val="000000" w:themeColor="text1"/>
                <w:sz w:val="16"/>
                <w:szCs w:val="16"/>
                <w:vertAlign w:val="superscript"/>
                <w:lang w:eastAsia="ko-KR"/>
              </w:rPr>
              <w:t>−</w:t>
            </w:r>
            <w:r w:rsidRPr="0015183E">
              <w:rPr>
                <w:rFonts w:ascii="Times New Roman" w:hAnsi="Times New Roman" w:hint="eastAsia"/>
                <w:color w:val="000000" w:themeColor="text1"/>
                <w:sz w:val="16"/>
                <w:szCs w:val="16"/>
                <w:vertAlign w:val="superscript"/>
                <w:lang w:eastAsia="ko-KR"/>
              </w:rPr>
              <w:t>1</w:t>
            </w:r>
            <w:r w:rsidRPr="0015183E">
              <w:rPr>
                <w:rFonts w:ascii="Times New Roman" w:hAnsi="Times New Roman"/>
                <w:b/>
                <w:bCs/>
                <w:color w:val="000000" w:themeColor="text1"/>
                <w:sz w:val="16"/>
                <w:szCs w:val="16"/>
                <w:lang w:eastAsia="ko-KR"/>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06F8EAB"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2.1 × 10</w:t>
            </w:r>
            <w:r w:rsidRPr="0015183E">
              <w:rPr>
                <w:rFonts w:ascii="Times New Roman" w:hAnsi="Times New Roman" w:hint="eastAsia"/>
                <w:color w:val="000000" w:themeColor="text1"/>
                <w:sz w:val="16"/>
                <w:szCs w:val="16"/>
                <w:vertAlign w:val="superscript"/>
                <w:lang w:eastAsia="ko-KR"/>
              </w:rPr>
              <w:t>12</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2C11B5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3.4 × 10</w:t>
            </w:r>
            <w:r w:rsidRPr="0015183E">
              <w:rPr>
                <w:rFonts w:ascii="Times New Roman" w:hAnsi="Times New Roman" w:hint="eastAsia"/>
                <w:color w:val="000000" w:themeColor="text1"/>
                <w:sz w:val="16"/>
                <w:szCs w:val="16"/>
                <w:vertAlign w:val="superscript"/>
                <w:lang w:eastAsia="ko-KR"/>
              </w:rPr>
              <w:t>12</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5430E62"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3.8 × 10</w:t>
            </w:r>
            <w:r w:rsidRPr="0015183E">
              <w:rPr>
                <w:rFonts w:ascii="Times New Roman" w:hAnsi="Times New Roman" w:hint="eastAsia"/>
                <w:color w:val="000000" w:themeColor="text1"/>
                <w:sz w:val="16"/>
                <w:szCs w:val="16"/>
                <w:vertAlign w:val="superscript"/>
                <w:lang w:eastAsia="ko-KR"/>
              </w:rPr>
              <w:t>12</w:t>
            </w:r>
          </w:p>
        </w:tc>
      </w:tr>
      <w:tr w:rsidR="0015183E" w:rsidRPr="0015183E" w14:paraId="7A0212E5"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D7C5A3A" w14:textId="4F2FCB63"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KP</w:t>
            </w:r>
            <w:r w:rsidRPr="0015183E">
              <w:rPr>
                <w:rFonts w:ascii="Times New Roman" w:hAnsi="Times New Roman"/>
                <w:b/>
                <w:bCs/>
                <w:color w:val="000000" w:themeColor="text1"/>
                <w:sz w:val="16"/>
                <w:szCs w:val="16"/>
                <w:lang w:eastAsia="ko-KR"/>
              </w:rPr>
              <w:t xml:space="preserve"> (</w:t>
            </w:r>
            <w:r w:rsidRPr="0015183E">
              <w:rPr>
                <w:rFonts w:ascii="Times New Roman" w:hAnsi="Times New Roman" w:hint="eastAsia"/>
                <w:b/>
                <w:bCs/>
                <w:color w:val="000000" w:themeColor="text1"/>
                <w:sz w:val="16"/>
                <w:szCs w:val="16"/>
                <w:lang w:eastAsia="ko-KR"/>
              </w:rPr>
              <w:t>A</w:t>
            </w:r>
            <w:r w:rsidR="00BE4595" w:rsidRPr="0015183E">
              <w:rPr>
                <w:rFonts w:ascii="Times New Roman" w:hAnsi="Times New Roman" w:hint="eastAsia"/>
                <w:b/>
                <w:bCs/>
                <w:color w:val="000000" w:themeColor="text1"/>
                <w:sz w:val="16"/>
                <w:szCs w:val="16"/>
                <w:lang w:eastAsia="ko-KR"/>
              </w:rPr>
              <w:t xml:space="preserve"> </w:t>
            </w:r>
            <w:r w:rsidRPr="0015183E">
              <w:rPr>
                <w:rFonts w:ascii="Times New Roman" w:hAnsi="Times New Roman"/>
                <w:b/>
                <w:bCs/>
                <w:color w:val="000000" w:themeColor="text1"/>
                <w:sz w:val="16"/>
                <w:szCs w:val="16"/>
                <w:lang w:eastAsia="ko-KR"/>
              </w:rPr>
              <w:t>V</w:t>
            </w:r>
            <w:r w:rsidRPr="0015183E">
              <w:rPr>
                <w:rFonts w:ascii="Times New Roman" w:hAnsi="Times New Roman"/>
                <w:color w:val="000000" w:themeColor="text1"/>
                <w:sz w:val="16"/>
                <w:szCs w:val="16"/>
                <w:vertAlign w:val="superscript"/>
                <w:lang w:eastAsia="ko-KR"/>
              </w:rPr>
              <w:t>−</w:t>
            </w:r>
            <w:r w:rsidRPr="0015183E">
              <w:rPr>
                <w:rFonts w:ascii="Times New Roman" w:hAnsi="Times New Roman" w:hint="eastAsia"/>
                <w:color w:val="000000" w:themeColor="text1"/>
                <w:sz w:val="16"/>
                <w:szCs w:val="16"/>
                <w:vertAlign w:val="superscript"/>
                <w:lang w:eastAsia="ko-KR"/>
              </w:rPr>
              <w:t>2</w:t>
            </w:r>
            <w:r w:rsidRPr="0015183E">
              <w:rPr>
                <w:rFonts w:ascii="Times New Roman" w:hAnsi="Times New Roman"/>
                <w:b/>
                <w:bCs/>
                <w:color w:val="000000" w:themeColor="text1"/>
                <w:sz w:val="16"/>
                <w:szCs w:val="16"/>
                <w:lang w:eastAsia="ko-KR"/>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69E309E"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r w:rsidRPr="0015183E">
              <w:rPr>
                <w:rFonts w:ascii="Times New Roman" w:hAnsi="Times New Roman" w:hint="eastAsia"/>
                <w:color w:val="000000" w:themeColor="text1"/>
                <w:sz w:val="16"/>
                <w:szCs w:val="16"/>
                <w:lang w:eastAsia="ko-KR"/>
              </w:rPr>
              <w:t xml:space="preserve"> </w:t>
            </w:r>
            <w:r w:rsidRPr="0015183E">
              <w:rPr>
                <w:rFonts w:ascii="Times New Roman" w:hAnsi="Times New Roman"/>
                <w:color w:val="000000" w:themeColor="text1"/>
                <w:sz w:val="16"/>
                <w:szCs w:val="16"/>
                <w:lang w:eastAsia="ko-KR"/>
              </w:rPr>
              <w:t>× 10</w:t>
            </w:r>
            <w:r w:rsidRPr="0015183E">
              <w:rPr>
                <w:rFonts w:ascii="Times New Roman" w:hAnsi="Times New Roman"/>
                <w:color w:val="000000" w:themeColor="text1"/>
                <w:sz w:val="16"/>
                <w:szCs w:val="16"/>
                <w:vertAlign w:val="superscript"/>
                <w:lang w:eastAsia="ko-KR"/>
              </w:rPr>
              <w:t>−</w:t>
            </w:r>
            <w:r w:rsidRPr="0015183E">
              <w:rPr>
                <w:rFonts w:ascii="Times New Roman" w:hAnsi="Times New Roman" w:hint="eastAsia"/>
                <w:color w:val="000000" w:themeColor="text1"/>
                <w:sz w:val="16"/>
                <w:szCs w:val="16"/>
                <w:vertAlign w:val="superscript"/>
                <w:lang w:eastAsia="ko-KR"/>
              </w:rPr>
              <w:t>6</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DBC1D86"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r w:rsidRPr="0015183E">
              <w:rPr>
                <w:rFonts w:ascii="Times New Roman" w:hAnsi="Times New Roman" w:hint="eastAsia"/>
                <w:color w:val="000000" w:themeColor="text1"/>
                <w:sz w:val="16"/>
                <w:szCs w:val="16"/>
                <w:lang w:eastAsia="ko-KR"/>
              </w:rPr>
              <w:t xml:space="preserve"> </w:t>
            </w:r>
            <w:r w:rsidRPr="0015183E">
              <w:rPr>
                <w:rFonts w:ascii="Times New Roman" w:hAnsi="Times New Roman"/>
                <w:color w:val="000000" w:themeColor="text1"/>
                <w:sz w:val="16"/>
                <w:szCs w:val="16"/>
                <w:lang w:eastAsia="ko-KR"/>
              </w:rPr>
              <w:t>× 10</w:t>
            </w:r>
            <w:r w:rsidRPr="0015183E">
              <w:rPr>
                <w:rFonts w:ascii="Times New Roman" w:hAnsi="Times New Roman"/>
                <w:color w:val="000000" w:themeColor="text1"/>
                <w:sz w:val="16"/>
                <w:szCs w:val="16"/>
                <w:vertAlign w:val="superscript"/>
                <w:lang w:eastAsia="ko-KR"/>
              </w:rPr>
              <w:t>−</w:t>
            </w:r>
            <w:r w:rsidRPr="0015183E">
              <w:rPr>
                <w:rFonts w:ascii="Times New Roman" w:hAnsi="Times New Roman" w:hint="eastAsia"/>
                <w:color w:val="000000" w:themeColor="text1"/>
                <w:sz w:val="16"/>
                <w:szCs w:val="16"/>
                <w:vertAlign w:val="superscript"/>
                <w:lang w:eastAsia="ko-KR"/>
              </w:rPr>
              <w:t>6</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4C58EC0"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r w:rsidRPr="0015183E">
              <w:rPr>
                <w:rFonts w:ascii="Times New Roman" w:hAnsi="Times New Roman" w:hint="eastAsia"/>
                <w:color w:val="000000" w:themeColor="text1"/>
                <w:sz w:val="16"/>
                <w:szCs w:val="16"/>
                <w:lang w:eastAsia="ko-KR"/>
              </w:rPr>
              <w:t xml:space="preserve"> </w:t>
            </w:r>
            <w:r w:rsidRPr="0015183E">
              <w:rPr>
                <w:rFonts w:ascii="Times New Roman" w:hAnsi="Times New Roman"/>
                <w:color w:val="000000" w:themeColor="text1"/>
                <w:sz w:val="16"/>
                <w:szCs w:val="16"/>
                <w:lang w:eastAsia="ko-KR"/>
              </w:rPr>
              <w:t>× 10</w:t>
            </w:r>
            <w:r w:rsidRPr="0015183E">
              <w:rPr>
                <w:rFonts w:ascii="Times New Roman" w:hAnsi="Times New Roman"/>
                <w:color w:val="000000" w:themeColor="text1"/>
                <w:sz w:val="16"/>
                <w:szCs w:val="16"/>
                <w:vertAlign w:val="superscript"/>
                <w:lang w:eastAsia="ko-KR"/>
              </w:rPr>
              <w:t>−</w:t>
            </w:r>
            <w:r w:rsidRPr="0015183E">
              <w:rPr>
                <w:rFonts w:ascii="Times New Roman" w:hAnsi="Times New Roman" w:hint="eastAsia"/>
                <w:color w:val="000000" w:themeColor="text1"/>
                <w:sz w:val="16"/>
                <w:szCs w:val="16"/>
                <w:vertAlign w:val="superscript"/>
                <w:lang w:eastAsia="ko-KR"/>
              </w:rPr>
              <w:t>6</w:t>
            </w:r>
          </w:p>
        </w:tc>
      </w:tr>
      <w:tr w:rsidR="0015183E" w:rsidRPr="0015183E" w14:paraId="46BDC45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C9BCF6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W</w:t>
            </w:r>
            <w:r w:rsidRPr="0015183E">
              <w:rPr>
                <w:rFonts w:ascii="Times New Roman" w:hAnsi="Times New Roman"/>
                <w:b/>
                <w:bCs/>
                <w:color w:val="000000" w:themeColor="text1"/>
                <w:sz w:val="16"/>
                <w:szCs w:val="16"/>
                <w:lang w:eastAsia="ko-KR"/>
              </w:rPr>
              <w:t xml:space="preserve"> (</w:t>
            </w:r>
            <w:r w:rsidRPr="0015183E">
              <w:rPr>
                <w:rFonts w:ascii="Times New Roman" w:hAnsi="Times New Roman"/>
                <w:b/>
                <w:bCs/>
                <w:color w:val="000000" w:themeColor="text1"/>
                <w:sz w:val="16"/>
                <w:szCs w:val="16"/>
                <w:lang w:val="el-GR" w:eastAsia="ko-KR"/>
              </w:rPr>
              <w:t>μ</w:t>
            </w:r>
            <w:r w:rsidRPr="0015183E">
              <w:rPr>
                <w:rFonts w:ascii="Times New Roman" w:hAnsi="Times New Roman"/>
                <w:b/>
                <w:bCs/>
                <w:color w:val="000000" w:themeColor="text1"/>
                <w:sz w:val="16"/>
                <w:szCs w:val="16"/>
                <w:lang w:eastAsia="ko-KR"/>
              </w:rPr>
              <w:t>m)</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0709821"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A89118A"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772B606"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20</w:t>
            </w:r>
          </w:p>
        </w:tc>
      </w:tr>
      <w:tr w:rsidR="0015183E" w:rsidRPr="0015183E" w14:paraId="521D5A8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92143D8"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L</w:t>
            </w:r>
            <w:r w:rsidRPr="0015183E">
              <w:rPr>
                <w:rFonts w:ascii="Times New Roman" w:hAnsi="Times New Roman"/>
                <w:b/>
                <w:bCs/>
                <w:color w:val="000000" w:themeColor="text1"/>
                <w:sz w:val="16"/>
                <w:szCs w:val="16"/>
                <w:lang w:eastAsia="ko-KR"/>
              </w:rPr>
              <w:t xml:space="preserve"> (</w:t>
            </w:r>
            <w:r w:rsidRPr="0015183E">
              <w:rPr>
                <w:rFonts w:ascii="Times New Roman" w:hAnsi="Times New Roman"/>
                <w:b/>
                <w:bCs/>
                <w:color w:val="000000" w:themeColor="text1"/>
                <w:sz w:val="16"/>
                <w:szCs w:val="16"/>
                <w:lang w:val="el-GR" w:eastAsia="ko-KR"/>
              </w:rPr>
              <w:t>μ</w:t>
            </w:r>
            <w:r w:rsidRPr="0015183E">
              <w:rPr>
                <w:rFonts w:ascii="Times New Roman" w:hAnsi="Times New Roman"/>
                <w:b/>
                <w:bCs/>
                <w:color w:val="000000" w:themeColor="text1"/>
                <w:sz w:val="16"/>
                <w:szCs w:val="16"/>
                <w:lang w:eastAsia="ko-KR"/>
              </w:rPr>
              <w:t>m)</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34AF4E"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4</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C36044C"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4</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F4FC3F5"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4</w:t>
            </w:r>
          </w:p>
        </w:tc>
      </w:tr>
      <w:tr w:rsidR="0015183E" w:rsidRPr="0015183E" w14:paraId="108D32A1"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4B25F22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R</w:t>
            </w:r>
            <w:r w:rsidRPr="0015183E">
              <w:rPr>
                <w:rFonts w:ascii="Times New Roman" w:hAnsi="Times New Roman"/>
                <w:b/>
                <w:bCs/>
                <w:color w:val="000000" w:themeColor="text1"/>
                <w:sz w:val="16"/>
                <w:szCs w:val="16"/>
                <w:vertAlign w:val="subscript"/>
                <w:lang w:eastAsia="ko-KR"/>
              </w:rPr>
              <w:t>S</w:t>
            </w:r>
            <w:r w:rsidRPr="0015183E">
              <w:rPr>
                <w:rFonts w:ascii="Times New Roman" w:hAnsi="Times New Roman"/>
                <w:b/>
                <w:bCs/>
                <w:color w:val="000000" w:themeColor="text1"/>
                <w:sz w:val="16"/>
                <w:szCs w:val="16"/>
                <w:lang w:eastAsia="ko-KR"/>
              </w:rPr>
              <w:t xml:space="preserve"> (k</w:t>
            </w:r>
            <w:r w:rsidRPr="0015183E">
              <w:rPr>
                <w:rFonts w:ascii="Times New Roman" w:hAnsi="Times New Roman"/>
                <w:b/>
                <w:bCs/>
                <w:color w:val="000000" w:themeColor="text1"/>
                <w:sz w:val="16"/>
                <w:szCs w:val="16"/>
                <w:lang w:val="el-GR" w:eastAsia="ko-KR"/>
              </w:rPr>
              <w:t>Ω</w:t>
            </w:r>
            <w:r w:rsidRPr="0015183E">
              <w:rPr>
                <w:rFonts w:ascii="Times New Roman" w:hAnsi="Times New Roman"/>
                <w:b/>
                <w:bCs/>
                <w:color w:val="000000" w:themeColor="text1"/>
                <w:sz w:val="16"/>
                <w:szCs w:val="16"/>
                <w:lang w:eastAsia="ko-KR"/>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9C7ECEF"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70</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5D93EBA"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150</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A483E5D"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110</w:t>
            </w:r>
          </w:p>
        </w:tc>
      </w:tr>
      <w:tr w:rsidR="0015183E" w:rsidRPr="0015183E" w14:paraId="42D3E735" w14:textId="77777777" w:rsidTr="00532640">
        <w:trPr>
          <w:trHeight w:val="448"/>
          <w:jc w:val="center"/>
        </w:trPr>
        <w:tc>
          <w:tcPr>
            <w:tcW w:w="179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3DC10D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b/>
                <w:bCs/>
                <w:color w:val="000000" w:themeColor="text1"/>
                <w:sz w:val="16"/>
                <w:szCs w:val="16"/>
                <w:lang w:eastAsia="ko-KR"/>
              </w:rPr>
            </w:pPr>
            <w:r w:rsidRPr="0015183E">
              <w:rPr>
                <w:rFonts w:ascii="Times New Roman" w:hAnsi="Times New Roman"/>
                <w:b/>
                <w:bCs/>
                <w:i/>
                <w:iCs/>
                <w:color w:val="000000" w:themeColor="text1"/>
                <w:sz w:val="16"/>
                <w:szCs w:val="16"/>
                <w:lang w:eastAsia="ko-KR"/>
              </w:rPr>
              <w:t>R</w:t>
            </w:r>
            <w:r w:rsidRPr="0015183E">
              <w:rPr>
                <w:rFonts w:ascii="Times New Roman" w:hAnsi="Times New Roman"/>
                <w:b/>
                <w:bCs/>
                <w:color w:val="000000" w:themeColor="text1"/>
                <w:sz w:val="16"/>
                <w:szCs w:val="16"/>
                <w:vertAlign w:val="subscript"/>
                <w:lang w:eastAsia="ko-KR"/>
              </w:rPr>
              <w:t>D</w:t>
            </w:r>
            <w:r w:rsidRPr="0015183E">
              <w:rPr>
                <w:rFonts w:ascii="Times New Roman" w:hAnsi="Times New Roman"/>
                <w:b/>
                <w:bCs/>
                <w:color w:val="000000" w:themeColor="text1"/>
                <w:sz w:val="16"/>
                <w:szCs w:val="16"/>
                <w:lang w:eastAsia="ko-KR"/>
              </w:rPr>
              <w:t xml:space="preserve"> (k</w:t>
            </w:r>
            <w:r w:rsidRPr="0015183E">
              <w:rPr>
                <w:rFonts w:ascii="Times New Roman" w:hAnsi="Times New Roman"/>
                <w:b/>
                <w:bCs/>
                <w:color w:val="000000" w:themeColor="text1"/>
                <w:sz w:val="16"/>
                <w:szCs w:val="16"/>
                <w:lang w:val="el-GR" w:eastAsia="ko-KR"/>
              </w:rPr>
              <w:t>Ω</w:t>
            </w:r>
            <w:r w:rsidRPr="0015183E">
              <w:rPr>
                <w:rFonts w:ascii="Times New Roman" w:hAnsi="Times New Roman"/>
                <w:b/>
                <w:bCs/>
                <w:color w:val="000000" w:themeColor="text1"/>
                <w:sz w:val="16"/>
                <w:szCs w:val="16"/>
                <w:lang w:eastAsia="ko-KR"/>
              </w:rPr>
              <w:t>)</w:t>
            </w:r>
          </w:p>
        </w:tc>
        <w:tc>
          <w:tcPr>
            <w:tcW w:w="16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C7F1DCF"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70</w:t>
            </w:r>
          </w:p>
        </w:tc>
        <w:tc>
          <w:tcPr>
            <w:tcW w:w="197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3A78B41"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150</w:t>
            </w:r>
          </w:p>
        </w:tc>
        <w:tc>
          <w:tcPr>
            <w:tcW w:w="189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961C99" w14:textId="77777777" w:rsidR="009B58A8" w:rsidRPr="0015183E" w:rsidRDefault="009B58A8" w:rsidP="003711F9">
            <w:pPr>
              <w:tabs>
                <w:tab w:val="right" w:leader="dot" w:pos="400"/>
                <w:tab w:val="right" w:leader="dot" w:pos="8000"/>
                <w:tab w:val="right" w:leader="dot" w:pos="10000"/>
                <w:tab w:val="right" w:leader="dot" w:pos="12000"/>
              </w:tabs>
              <w:jc w:val="center"/>
              <w:rPr>
                <w:rFonts w:ascii="Times New Roman" w:hAnsi="Times New Roman"/>
                <w:color w:val="000000" w:themeColor="text1"/>
                <w:sz w:val="16"/>
                <w:szCs w:val="16"/>
                <w:lang w:eastAsia="ko-KR"/>
              </w:rPr>
            </w:pPr>
            <w:r w:rsidRPr="0015183E">
              <w:rPr>
                <w:rFonts w:ascii="Times New Roman" w:hAnsi="Times New Roman"/>
                <w:color w:val="000000" w:themeColor="text1"/>
                <w:sz w:val="16"/>
                <w:szCs w:val="16"/>
                <w:lang w:eastAsia="ko-KR"/>
              </w:rPr>
              <w:t>110</w:t>
            </w:r>
          </w:p>
        </w:tc>
      </w:tr>
    </w:tbl>
    <w:p w14:paraId="5659BCFC" w14:textId="77777777" w:rsidR="009B58A8" w:rsidRPr="0015183E" w:rsidRDefault="009B58A8" w:rsidP="003711F9">
      <w:pPr>
        <w:tabs>
          <w:tab w:val="right" w:leader="dot" w:pos="400"/>
          <w:tab w:val="right" w:leader="dot" w:pos="8000"/>
          <w:tab w:val="right" w:leader="dot" w:pos="10000"/>
          <w:tab w:val="right" w:leader="dot" w:pos="12000"/>
        </w:tabs>
        <w:spacing w:line="480" w:lineRule="auto"/>
        <w:jc w:val="center"/>
        <w:rPr>
          <w:rFonts w:ascii="Times New Roman" w:hAnsi="Times New Roman"/>
          <w:b/>
          <w:bCs/>
          <w:color w:val="000000" w:themeColor="text1"/>
          <w:sz w:val="24"/>
          <w:szCs w:val="24"/>
          <w:lang w:eastAsia="ko-KR"/>
        </w:rPr>
      </w:pPr>
    </w:p>
    <w:p w14:paraId="4BB3FC7E" w14:textId="77777777" w:rsidR="009B58A8" w:rsidRPr="0015183E" w:rsidRDefault="009B58A8" w:rsidP="003711F9">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MS Mincho" w:hAnsi="Times New Roman"/>
          <w:b/>
          <w:bCs/>
          <w:color w:val="000000" w:themeColor="text1"/>
          <w:sz w:val="22"/>
          <w:szCs w:val="22"/>
          <w:lang w:eastAsia="ja-JP"/>
        </w:rPr>
        <w:t>Supplementary</w:t>
      </w:r>
      <w:r w:rsidRPr="0015183E">
        <w:rPr>
          <w:rStyle w:val="selected"/>
          <w:rFonts w:ascii="Times New Roman" w:hAnsi="Times New Roman"/>
          <w:b/>
          <w:color w:val="000000" w:themeColor="text1"/>
          <w:sz w:val="22"/>
          <w:szCs w:val="22"/>
          <w:lang w:eastAsia="ko-KR"/>
        </w:rPr>
        <w:t xml:space="preserve"> Table</w:t>
      </w:r>
      <w:r w:rsidRPr="0015183E">
        <w:rPr>
          <w:rStyle w:val="selected"/>
          <w:rFonts w:ascii="Times New Roman" w:hAnsi="Times New Roman"/>
          <w:b/>
          <w:color w:val="000000" w:themeColor="text1"/>
          <w:sz w:val="22"/>
          <w:szCs w:val="22"/>
        </w:rPr>
        <w:t xml:space="preserve"> </w:t>
      </w:r>
      <w:r w:rsidRPr="0015183E">
        <w:rPr>
          <w:rStyle w:val="selected"/>
          <w:rFonts w:ascii="Times New Roman" w:hAnsi="Times New Roman"/>
          <w:b/>
          <w:color w:val="000000" w:themeColor="text1"/>
          <w:sz w:val="22"/>
          <w:szCs w:val="22"/>
          <w:lang w:eastAsia="ko-KR"/>
        </w:rPr>
        <w:t>2</w:t>
      </w:r>
      <w:r w:rsidRPr="0015183E">
        <w:rPr>
          <w:rStyle w:val="selected"/>
          <w:rFonts w:ascii="Times New Roman" w:hAnsi="Times New Roman"/>
          <w:b/>
          <w:color w:val="000000" w:themeColor="text1"/>
          <w:sz w:val="22"/>
          <w:szCs w:val="22"/>
        </w:rPr>
        <w:t>.</w:t>
      </w:r>
      <w:r w:rsidRPr="0015183E">
        <w:rPr>
          <w:rStyle w:val="selected"/>
          <w:rFonts w:ascii="Times New Roman" w:hAnsi="Times New Roman"/>
          <w:color w:val="000000" w:themeColor="text1"/>
          <w:sz w:val="22"/>
          <w:szCs w:val="22"/>
        </w:rPr>
        <w:t xml:space="preserve"> </w:t>
      </w:r>
      <w:r w:rsidRPr="0015183E">
        <w:rPr>
          <w:rFonts w:ascii="Times New Roman" w:eastAsia="바탕" w:hAnsi="Times New Roman"/>
          <w:color w:val="000000" w:themeColor="text1"/>
          <w:sz w:val="22"/>
          <w:szCs w:val="22"/>
          <w:lang w:eastAsia="ko-KR"/>
        </w:rPr>
        <w:t>Reference HSPICE Level 3 compact-model parameters for the vertically stacked NTC transistor. The three parameter sets describe the lower-layer electron branch, lower-layer hole branch and upper-layer p-type CNT FET. V</w:t>
      </w:r>
      <w:r w:rsidRPr="0015183E">
        <w:rPr>
          <w:rFonts w:ascii="Times New Roman" w:eastAsia="바탕" w:hAnsi="Times New Roman"/>
          <w:color w:val="000000" w:themeColor="text1"/>
          <w:sz w:val="22"/>
          <w:szCs w:val="22"/>
          <w:vertAlign w:val="subscript"/>
          <w:lang w:eastAsia="ko-KR"/>
        </w:rPr>
        <w:t>TO</w:t>
      </w:r>
      <w:r w:rsidRPr="0015183E">
        <w:rPr>
          <w:rFonts w:ascii="Times New Roman" w:eastAsia="바탕" w:hAnsi="Times New Roman"/>
          <w:color w:val="000000" w:themeColor="text1"/>
          <w:sz w:val="22"/>
          <w:szCs w:val="22"/>
          <w:lang w:eastAsia="ko-KR"/>
        </w:rPr>
        <w:t xml:space="preserve"> is the model threshold-voltage parameter, NFS is the fast surface state density parameter and KP is the intrinsic transconductance parameter. W and L denote the model channel width and length, respectively, while R</w:t>
      </w:r>
      <w:r w:rsidRPr="0015183E">
        <w:rPr>
          <w:rFonts w:ascii="Times New Roman" w:eastAsia="바탕" w:hAnsi="Times New Roman"/>
          <w:color w:val="000000" w:themeColor="text1"/>
          <w:sz w:val="22"/>
          <w:szCs w:val="22"/>
          <w:vertAlign w:val="subscript"/>
          <w:lang w:eastAsia="ko-KR"/>
        </w:rPr>
        <w:t>S</w:t>
      </w:r>
      <w:r w:rsidRPr="0015183E">
        <w:rPr>
          <w:rFonts w:ascii="Times New Roman" w:eastAsia="바탕" w:hAnsi="Times New Roman"/>
          <w:color w:val="000000" w:themeColor="text1"/>
          <w:sz w:val="22"/>
          <w:szCs w:val="22"/>
          <w:lang w:eastAsia="ko-KR"/>
        </w:rPr>
        <w:t xml:space="preserve"> and R</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denote the source and drain series resistances. The parameter sets were calibrated to the isolated transfer characteristics measured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for the lower-layer transistor and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for the upper-layer transistor.</w:t>
      </w:r>
    </w:p>
    <w:p w14:paraId="52EA4BA8" w14:textId="625D6CB1" w:rsidR="00300B23" w:rsidRPr="0015183E" w:rsidRDefault="00300B23">
      <w:pPr>
        <w:rPr>
          <w:rFonts w:ascii="Times New Roman" w:hAnsi="Times New Roman"/>
          <w:color w:val="000000" w:themeColor="text1"/>
          <w:sz w:val="24"/>
          <w:lang w:eastAsia="ko-KR"/>
        </w:rPr>
      </w:pPr>
      <w:r w:rsidRPr="0015183E">
        <w:rPr>
          <w:rFonts w:ascii="Times New Roman" w:hAnsi="Times New Roman"/>
          <w:color w:val="000000" w:themeColor="text1"/>
          <w:lang w:eastAsia="ko-KR"/>
        </w:rPr>
        <w:br w:type="page"/>
      </w:r>
    </w:p>
    <w:p w14:paraId="6BEB484B" w14:textId="77777777" w:rsidR="00300B23" w:rsidRPr="0015183E" w:rsidRDefault="00300B23" w:rsidP="00804AC9">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Statistical summary of the measured peak-to-valley current contrast</w:t>
      </w:r>
    </w:p>
    <w:p w14:paraId="3C415F58" w14:textId="77777777" w:rsidR="00300B23" w:rsidRPr="0015183E" w:rsidRDefault="00300B23" w:rsidP="00804AC9">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Table 3</w:t>
      </w:r>
      <w:r w:rsidRPr="0015183E">
        <w:rPr>
          <w:rFonts w:ascii="Times New Roman" w:hAnsi="Times New Roman"/>
          <w:color w:val="000000" w:themeColor="text1"/>
          <w:sz w:val="22"/>
          <w:szCs w:val="22"/>
        </w:rPr>
        <w:t xml:space="preserve"> summarizes the PVR distributions obtained from the additional HD and MD transfer measurements in </w:t>
      </w:r>
      <w:r w:rsidRPr="0015183E">
        <w:rPr>
          <w:rFonts w:ascii="Times New Roman" w:hAnsi="Times New Roman"/>
          <w:b/>
          <w:bCs/>
          <w:color w:val="000000" w:themeColor="text1"/>
          <w:sz w:val="22"/>
          <w:szCs w:val="22"/>
        </w:rPr>
        <w:t>Supplementary Fig. 9</w:t>
      </w:r>
      <w:r w:rsidRPr="0015183E">
        <w:rPr>
          <w:rFonts w:ascii="Times New Roman" w:hAnsi="Times New Roman"/>
          <w:color w:val="000000" w:themeColor="text1"/>
          <w:sz w:val="22"/>
          <w:szCs w:val="22"/>
        </w:rPr>
        <w:t>. Each density and integration-setting group contains 30 device records measured at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The same peak/pre-rise extraction procedure described in Methods was applied to all records, without selection by PVR rank. Statistics were calculated separately for PLC = 1 and PLC = 5, rather than pooling records from different integration settings as additional independent devices.</w:t>
      </w:r>
    </w:p>
    <w:p w14:paraId="32F37907" w14:textId="77777777" w:rsidR="00300B23" w:rsidRPr="0015183E" w:rsidRDefault="00300B23" w:rsidP="00804AC9">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 median describes the central value of the measured PVR distribution, while Q1–Q3 denotes the interval between its 25th and 75th percentiles. This interval characterizes the spread of the middle half of the distribution. The maximum is reported separately to distinguish upper-range performance from the population response. These quantities therefore provide complementary information about representative current contrast, device-to-device variation and the highest observed value within each dataset.</w:t>
      </w:r>
    </w:p>
    <w:p w14:paraId="4176D503" w14:textId="6FEF04DA" w:rsidR="00300B23" w:rsidRPr="0015183E" w:rsidRDefault="00300B23" w:rsidP="00804AC9">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The HD median PVR values are 6.42 × 10</w:t>
      </w:r>
      <w:r w:rsidR="00804AC9" w:rsidRPr="0015183E">
        <w:rPr>
          <w:rFonts w:ascii="Times New Roman" w:hAnsi="Times New Roman"/>
          <w:color w:val="000000" w:themeColor="text1"/>
          <w:sz w:val="22"/>
          <w:szCs w:val="22"/>
          <w:vertAlign w:val="superscript"/>
        </w:rPr>
        <w:t>3</w:t>
      </w:r>
      <w:r w:rsidRPr="0015183E">
        <w:rPr>
          <w:rFonts w:ascii="Times New Roman" w:hAnsi="Times New Roman"/>
          <w:color w:val="000000" w:themeColor="text1"/>
          <w:sz w:val="22"/>
          <w:szCs w:val="22"/>
        </w:rPr>
        <w:t xml:space="preserve"> and 5.95 × 10</w:t>
      </w:r>
      <w:r w:rsidR="00804AC9" w:rsidRPr="0015183E">
        <w:rPr>
          <w:rFonts w:ascii="Times New Roman" w:hAnsi="Times New Roman"/>
          <w:color w:val="000000" w:themeColor="text1"/>
          <w:sz w:val="22"/>
          <w:szCs w:val="22"/>
          <w:vertAlign w:val="superscript"/>
        </w:rPr>
        <w:t>3</w:t>
      </w:r>
      <w:r w:rsidRPr="0015183E">
        <w:rPr>
          <w:rFonts w:ascii="Times New Roman" w:hAnsi="Times New Roman"/>
          <w:color w:val="000000" w:themeColor="text1"/>
          <w:sz w:val="22"/>
          <w:szCs w:val="22"/>
        </w:rPr>
        <w:t xml:space="preserve"> at PLC = 1 and 5, respectively, whereas the corresponding MD values are 4.16 × 10</w:t>
      </w:r>
      <w:r w:rsidR="00804AC9"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xml:space="preserve"> and 4.94 × 10</w:t>
      </w:r>
      <w:r w:rsidR="00804AC9" w:rsidRPr="0015183E">
        <w:rPr>
          <w:rFonts w:ascii="Times New Roman" w:hAnsi="Times New Roman"/>
          <w:color w:val="000000" w:themeColor="text1"/>
          <w:sz w:val="22"/>
          <w:szCs w:val="22"/>
          <w:vertAlign w:val="superscript"/>
        </w:rPr>
        <w:t>2</w:t>
      </w:r>
      <w:r w:rsidRPr="0015183E">
        <w:rPr>
          <w:rFonts w:ascii="Times New Roman" w:hAnsi="Times New Roman"/>
          <w:color w:val="000000" w:themeColor="text1"/>
          <w:sz w:val="22"/>
          <w:szCs w:val="22"/>
        </w:rPr>
        <w:t>. Thus, the higher current contrast of the HD condition is retained at both integration settings. The original representative PVR of approximately 1.6 × 10</w:t>
      </w:r>
      <w:r w:rsidR="00804AC9" w:rsidRPr="0015183E">
        <w:rPr>
          <w:rFonts w:ascii="Times New Roman" w:hAnsi="Times New Roman"/>
          <w:color w:val="000000" w:themeColor="text1"/>
          <w:sz w:val="22"/>
          <w:szCs w:val="22"/>
          <w:vertAlign w:val="superscript"/>
        </w:rPr>
        <w:t>4</w:t>
      </w:r>
      <w:r w:rsidRPr="0015183E">
        <w:rPr>
          <w:rFonts w:ascii="Times New Roman" w:hAnsi="Times New Roman"/>
          <w:color w:val="000000" w:themeColor="text1"/>
          <w:sz w:val="22"/>
          <w:szCs w:val="22"/>
        </w:rPr>
        <w:t xml:space="preserve"> in </w:t>
      </w:r>
      <w:r w:rsidRPr="0015183E">
        <w:rPr>
          <w:rFonts w:ascii="Times New Roman" w:hAnsi="Times New Roman"/>
          <w:b/>
          <w:bCs/>
          <w:color w:val="000000" w:themeColor="text1"/>
          <w:sz w:val="22"/>
          <w:szCs w:val="22"/>
        </w:rPr>
        <w:t>Fig. 4</w:t>
      </w:r>
      <w:r w:rsidRPr="0015183E">
        <w:rPr>
          <w:rFonts w:ascii="Times New Roman" w:hAnsi="Times New Roman"/>
          <w:color w:val="000000" w:themeColor="text1"/>
          <w:sz w:val="22"/>
          <w:szCs w:val="22"/>
        </w:rPr>
        <w:t xml:space="preserve"> is distinguished from these population medians rather than treated as the typical response of every HD device. The statistics describe the operational PVR obtained using the stated extraction procedure; the complementary low-current controls are presented in </w:t>
      </w:r>
      <w:r w:rsidRPr="0015183E">
        <w:rPr>
          <w:rFonts w:ascii="Times New Roman" w:hAnsi="Times New Roman"/>
          <w:b/>
          <w:bCs/>
          <w:color w:val="000000" w:themeColor="text1"/>
          <w:sz w:val="22"/>
          <w:szCs w:val="22"/>
        </w:rPr>
        <w:t>Supplementary Fig. 10</w:t>
      </w:r>
      <w:r w:rsidRPr="0015183E">
        <w:rPr>
          <w:rFonts w:ascii="Times New Roman" w:hAnsi="Times New Roman"/>
          <w:color w:val="000000" w:themeColor="text1"/>
          <w:sz w:val="22"/>
          <w:szCs w:val="22"/>
        </w:rPr>
        <w:t>.</w:t>
      </w:r>
    </w:p>
    <w:p w14:paraId="1F9DD944" w14:textId="02182EAC" w:rsidR="00597C3F" w:rsidRPr="0015183E" w:rsidRDefault="00597C3F" w:rsidP="0007480A">
      <w:pPr>
        <w:pStyle w:val="10"/>
        <w:rPr>
          <w:color w:val="000000" w:themeColor="text1"/>
          <w:lang w:eastAsia="ko-KR"/>
        </w:rPr>
      </w:pPr>
    </w:p>
    <w:p w14:paraId="3FCE99BB" w14:textId="0C4C499F" w:rsidR="0007480A" w:rsidRPr="0015183E" w:rsidRDefault="00597C3F" w:rsidP="00597C3F">
      <w:pPr>
        <w:rPr>
          <w:rFonts w:ascii="Times" w:hAnsi="Times"/>
          <w:color w:val="000000" w:themeColor="text1"/>
          <w:sz w:val="24"/>
          <w:lang w:eastAsia="ko-KR"/>
        </w:rPr>
      </w:pPr>
      <w:r w:rsidRPr="0015183E">
        <w:rPr>
          <w:color w:val="000000" w:themeColor="text1"/>
          <w:lang w:eastAsia="ko-KR"/>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477"/>
        <w:gridCol w:w="1679"/>
        <w:gridCol w:w="3547"/>
        <w:gridCol w:w="1984"/>
      </w:tblGrid>
      <w:tr w:rsidR="0015183E" w:rsidRPr="0015183E" w14:paraId="4BF0346D" w14:textId="77777777" w:rsidTr="00597C3F">
        <w:trPr>
          <w:cantSplit/>
          <w:trHeight w:val="146"/>
          <w:tblHeader/>
          <w:jc w:val="center"/>
        </w:trPr>
        <w:tc>
          <w:tcPr>
            <w:tcW w:w="889" w:type="pct"/>
            <w:shd w:val="clear" w:color="auto" w:fill="D9D9D9" w:themeFill="background1" w:themeFillShade="D9"/>
            <w:tcMar>
              <w:top w:w="85" w:type="dxa"/>
              <w:left w:w="85" w:type="dxa"/>
              <w:bottom w:w="85" w:type="dxa"/>
              <w:right w:w="85" w:type="dxa"/>
            </w:tcMar>
            <w:vAlign w:val="center"/>
          </w:tcPr>
          <w:p w14:paraId="2295D745" w14:textId="77777777" w:rsidR="0007480A" w:rsidRPr="0015183E" w:rsidRDefault="0007480A" w:rsidP="00597C3F">
            <w:pPr>
              <w:widowControl w:val="0"/>
              <w:jc w:val="center"/>
              <w:rPr>
                <w:rFonts w:ascii="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lastRenderedPageBreak/>
              <w:t>Condition</w:t>
            </w:r>
          </w:p>
        </w:tc>
        <w:tc>
          <w:tcPr>
            <w:tcW w:w="255" w:type="pct"/>
            <w:shd w:val="clear" w:color="auto" w:fill="D9D9D9" w:themeFill="background1" w:themeFillShade="D9"/>
            <w:tcMar>
              <w:top w:w="85" w:type="dxa"/>
              <w:left w:w="85" w:type="dxa"/>
              <w:bottom w:w="85" w:type="dxa"/>
              <w:right w:w="85" w:type="dxa"/>
            </w:tcMar>
            <w:vAlign w:val="center"/>
          </w:tcPr>
          <w:p w14:paraId="69703846"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b/>
                <w:color w:val="000000" w:themeColor="text1"/>
                <w:sz w:val="16"/>
                <w:szCs w:val="16"/>
              </w:rPr>
              <w:t>n</w:t>
            </w:r>
          </w:p>
        </w:tc>
        <w:tc>
          <w:tcPr>
            <w:tcW w:w="898" w:type="pct"/>
            <w:shd w:val="clear" w:color="auto" w:fill="D9D9D9" w:themeFill="background1" w:themeFillShade="D9"/>
            <w:tcMar>
              <w:top w:w="85" w:type="dxa"/>
              <w:left w:w="85" w:type="dxa"/>
              <w:bottom w:w="85" w:type="dxa"/>
              <w:right w:w="85" w:type="dxa"/>
            </w:tcMar>
            <w:vAlign w:val="center"/>
          </w:tcPr>
          <w:p w14:paraId="112BB6D7"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b/>
                <w:color w:val="000000" w:themeColor="text1"/>
                <w:sz w:val="16"/>
                <w:szCs w:val="16"/>
              </w:rPr>
              <w:t>Median PVR</w:t>
            </w:r>
          </w:p>
        </w:tc>
        <w:tc>
          <w:tcPr>
            <w:tcW w:w="1897" w:type="pct"/>
            <w:shd w:val="clear" w:color="auto" w:fill="D9D9D9" w:themeFill="background1" w:themeFillShade="D9"/>
            <w:tcMar>
              <w:top w:w="85" w:type="dxa"/>
              <w:left w:w="85" w:type="dxa"/>
              <w:bottom w:w="85" w:type="dxa"/>
              <w:right w:w="85" w:type="dxa"/>
            </w:tcMar>
            <w:vAlign w:val="center"/>
          </w:tcPr>
          <w:p w14:paraId="55120EAD"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b/>
                <w:color w:val="000000" w:themeColor="text1"/>
                <w:sz w:val="16"/>
                <w:szCs w:val="16"/>
              </w:rPr>
              <w:t>25th–75th percentiles, Q1–Q3</w:t>
            </w:r>
          </w:p>
        </w:tc>
        <w:tc>
          <w:tcPr>
            <w:tcW w:w="1062" w:type="pct"/>
            <w:shd w:val="clear" w:color="auto" w:fill="D9D9D9" w:themeFill="background1" w:themeFillShade="D9"/>
            <w:tcMar>
              <w:top w:w="85" w:type="dxa"/>
              <w:left w:w="85" w:type="dxa"/>
              <w:bottom w:w="85" w:type="dxa"/>
              <w:right w:w="85" w:type="dxa"/>
            </w:tcMar>
            <w:vAlign w:val="center"/>
          </w:tcPr>
          <w:p w14:paraId="30C9E202"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b/>
                <w:color w:val="000000" w:themeColor="text1"/>
                <w:sz w:val="16"/>
                <w:szCs w:val="16"/>
              </w:rPr>
              <w:t>Maximum PVR</w:t>
            </w:r>
          </w:p>
        </w:tc>
      </w:tr>
      <w:tr w:rsidR="0015183E" w:rsidRPr="0015183E" w14:paraId="7EF56D40" w14:textId="77777777" w:rsidTr="00597C3F">
        <w:trPr>
          <w:cantSplit/>
          <w:jc w:val="center"/>
        </w:trPr>
        <w:tc>
          <w:tcPr>
            <w:tcW w:w="889" w:type="pct"/>
            <w:shd w:val="clear" w:color="auto" w:fill="D9D9D9" w:themeFill="background1" w:themeFillShade="D9"/>
            <w:tcMar>
              <w:top w:w="85" w:type="dxa"/>
              <w:left w:w="85" w:type="dxa"/>
              <w:bottom w:w="85" w:type="dxa"/>
              <w:right w:w="85" w:type="dxa"/>
            </w:tcMar>
            <w:vAlign w:val="center"/>
          </w:tcPr>
          <w:p w14:paraId="5918214C" w14:textId="77777777" w:rsidR="0007480A" w:rsidRPr="0015183E" w:rsidRDefault="0007480A" w:rsidP="00597C3F">
            <w:pPr>
              <w:widowControl w:val="0"/>
              <w:jc w:val="center"/>
              <w:rPr>
                <w:rFonts w:ascii="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HD, PLC = 1</w:t>
            </w:r>
          </w:p>
        </w:tc>
        <w:tc>
          <w:tcPr>
            <w:tcW w:w="255" w:type="pct"/>
            <w:tcMar>
              <w:top w:w="85" w:type="dxa"/>
              <w:left w:w="85" w:type="dxa"/>
              <w:bottom w:w="85" w:type="dxa"/>
              <w:right w:w="85" w:type="dxa"/>
            </w:tcMar>
            <w:vAlign w:val="center"/>
          </w:tcPr>
          <w:p w14:paraId="0DC24970"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30</w:t>
            </w:r>
          </w:p>
        </w:tc>
        <w:tc>
          <w:tcPr>
            <w:tcW w:w="898" w:type="pct"/>
            <w:tcMar>
              <w:top w:w="85" w:type="dxa"/>
              <w:left w:w="85" w:type="dxa"/>
              <w:bottom w:w="85" w:type="dxa"/>
              <w:right w:w="85" w:type="dxa"/>
            </w:tcMar>
            <w:vAlign w:val="center"/>
          </w:tcPr>
          <w:p w14:paraId="71880595"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6.42 × 10</w:t>
            </w:r>
            <w:r w:rsidRPr="0015183E">
              <w:rPr>
                <w:rFonts w:ascii="Times New Roman" w:eastAsia="Times New Roman" w:hAnsi="Times New Roman"/>
                <w:color w:val="000000" w:themeColor="text1"/>
                <w:sz w:val="16"/>
                <w:szCs w:val="16"/>
                <w:vertAlign w:val="superscript"/>
              </w:rPr>
              <w:t>3</w:t>
            </w:r>
          </w:p>
        </w:tc>
        <w:tc>
          <w:tcPr>
            <w:tcW w:w="1897" w:type="pct"/>
            <w:tcMar>
              <w:top w:w="85" w:type="dxa"/>
              <w:left w:w="85" w:type="dxa"/>
              <w:bottom w:w="85" w:type="dxa"/>
              <w:right w:w="85" w:type="dxa"/>
            </w:tcMar>
            <w:vAlign w:val="center"/>
          </w:tcPr>
          <w:p w14:paraId="0A4B124E"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(4.28–7.66) × 10</w:t>
            </w:r>
            <w:r w:rsidRPr="0015183E">
              <w:rPr>
                <w:rFonts w:ascii="Times New Roman" w:eastAsia="Times New Roman" w:hAnsi="Times New Roman"/>
                <w:color w:val="000000" w:themeColor="text1"/>
                <w:sz w:val="16"/>
                <w:szCs w:val="16"/>
                <w:vertAlign w:val="superscript"/>
              </w:rPr>
              <w:t>3</w:t>
            </w:r>
          </w:p>
        </w:tc>
        <w:tc>
          <w:tcPr>
            <w:tcW w:w="1062" w:type="pct"/>
            <w:tcMar>
              <w:top w:w="85" w:type="dxa"/>
              <w:left w:w="85" w:type="dxa"/>
              <w:bottom w:w="85" w:type="dxa"/>
              <w:right w:w="85" w:type="dxa"/>
            </w:tcMar>
            <w:vAlign w:val="center"/>
          </w:tcPr>
          <w:p w14:paraId="7D09E079"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1.84 × 10</w:t>
            </w:r>
            <w:r w:rsidRPr="0015183E">
              <w:rPr>
                <w:rFonts w:ascii="Times New Roman" w:eastAsia="Times New Roman" w:hAnsi="Times New Roman"/>
                <w:color w:val="000000" w:themeColor="text1"/>
                <w:sz w:val="16"/>
                <w:szCs w:val="16"/>
                <w:vertAlign w:val="superscript"/>
              </w:rPr>
              <w:t>4</w:t>
            </w:r>
          </w:p>
        </w:tc>
      </w:tr>
      <w:tr w:rsidR="0015183E" w:rsidRPr="0015183E" w14:paraId="3B9646D0" w14:textId="77777777" w:rsidTr="00597C3F">
        <w:trPr>
          <w:cantSplit/>
          <w:jc w:val="center"/>
        </w:trPr>
        <w:tc>
          <w:tcPr>
            <w:tcW w:w="889" w:type="pct"/>
            <w:shd w:val="clear" w:color="auto" w:fill="D9D9D9" w:themeFill="background1" w:themeFillShade="D9"/>
            <w:tcMar>
              <w:top w:w="85" w:type="dxa"/>
              <w:left w:w="85" w:type="dxa"/>
              <w:bottom w:w="85" w:type="dxa"/>
              <w:right w:w="85" w:type="dxa"/>
            </w:tcMar>
            <w:vAlign w:val="center"/>
          </w:tcPr>
          <w:p w14:paraId="286D34A6" w14:textId="77777777" w:rsidR="0007480A" w:rsidRPr="0015183E" w:rsidRDefault="0007480A" w:rsidP="00597C3F">
            <w:pPr>
              <w:widowControl w:val="0"/>
              <w:jc w:val="center"/>
              <w:rPr>
                <w:rFonts w:ascii="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HD, PLC = 5</w:t>
            </w:r>
          </w:p>
        </w:tc>
        <w:tc>
          <w:tcPr>
            <w:tcW w:w="255" w:type="pct"/>
            <w:tcMar>
              <w:top w:w="85" w:type="dxa"/>
              <w:left w:w="85" w:type="dxa"/>
              <w:bottom w:w="85" w:type="dxa"/>
              <w:right w:w="85" w:type="dxa"/>
            </w:tcMar>
            <w:vAlign w:val="center"/>
          </w:tcPr>
          <w:p w14:paraId="00899CA6"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30</w:t>
            </w:r>
          </w:p>
        </w:tc>
        <w:tc>
          <w:tcPr>
            <w:tcW w:w="898" w:type="pct"/>
            <w:tcMar>
              <w:top w:w="85" w:type="dxa"/>
              <w:left w:w="85" w:type="dxa"/>
              <w:bottom w:w="85" w:type="dxa"/>
              <w:right w:w="85" w:type="dxa"/>
            </w:tcMar>
            <w:vAlign w:val="center"/>
          </w:tcPr>
          <w:p w14:paraId="3A4B45B3"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5.95 × 10</w:t>
            </w:r>
            <w:r w:rsidRPr="0015183E">
              <w:rPr>
                <w:rFonts w:ascii="Times New Roman" w:eastAsia="Times New Roman" w:hAnsi="Times New Roman"/>
                <w:color w:val="000000" w:themeColor="text1"/>
                <w:sz w:val="16"/>
                <w:szCs w:val="16"/>
                <w:vertAlign w:val="superscript"/>
              </w:rPr>
              <w:t>3</w:t>
            </w:r>
          </w:p>
        </w:tc>
        <w:tc>
          <w:tcPr>
            <w:tcW w:w="1897" w:type="pct"/>
            <w:tcMar>
              <w:top w:w="85" w:type="dxa"/>
              <w:left w:w="85" w:type="dxa"/>
              <w:bottom w:w="85" w:type="dxa"/>
              <w:right w:w="85" w:type="dxa"/>
            </w:tcMar>
            <w:vAlign w:val="center"/>
          </w:tcPr>
          <w:p w14:paraId="74BDC31C"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(4.98–6.88) × 10</w:t>
            </w:r>
            <w:r w:rsidRPr="0015183E">
              <w:rPr>
                <w:rFonts w:ascii="Times New Roman" w:eastAsia="Times New Roman" w:hAnsi="Times New Roman"/>
                <w:color w:val="000000" w:themeColor="text1"/>
                <w:sz w:val="16"/>
                <w:szCs w:val="16"/>
                <w:vertAlign w:val="superscript"/>
              </w:rPr>
              <w:t>3</w:t>
            </w:r>
          </w:p>
        </w:tc>
        <w:tc>
          <w:tcPr>
            <w:tcW w:w="1062" w:type="pct"/>
            <w:tcMar>
              <w:top w:w="85" w:type="dxa"/>
              <w:left w:w="85" w:type="dxa"/>
              <w:bottom w:w="85" w:type="dxa"/>
              <w:right w:w="85" w:type="dxa"/>
            </w:tcMar>
            <w:vAlign w:val="center"/>
          </w:tcPr>
          <w:p w14:paraId="2EF301BC"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9.10 × 10</w:t>
            </w:r>
            <w:r w:rsidRPr="0015183E">
              <w:rPr>
                <w:rFonts w:ascii="Times New Roman" w:eastAsia="Times New Roman" w:hAnsi="Times New Roman"/>
                <w:color w:val="000000" w:themeColor="text1"/>
                <w:sz w:val="16"/>
                <w:szCs w:val="16"/>
                <w:vertAlign w:val="superscript"/>
              </w:rPr>
              <w:t>3</w:t>
            </w:r>
          </w:p>
        </w:tc>
      </w:tr>
      <w:tr w:rsidR="0015183E" w:rsidRPr="0015183E" w14:paraId="332A1FEF" w14:textId="77777777" w:rsidTr="00597C3F">
        <w:trPr>
          <w:cantSplit/>
          <w:jc w:val="center"/>
        </w:trPr>
        <w:tc>
          <w:tcPr>
            <w:tcW w:w="889" w:type="pct"/>
            <w:shd w:val="clear" w:color="auto" w:fill="D9D9D9" w:themeFill="background1" w:themeFillShade="D9"/>
            <w:tcMar>
              <w:top w:w="85" w:type="dxa"/>
              <w:left w:w="85" w:type="dxa"/>
              <w:bottom w:w="85" w:type="dxa"/>
              <w:right w:w="85" w:type="dxa"/>
            </w:tcMar>
            <w:vAlign w:val="center"/>
          </w:tcPr>
          <w:p w14:paraId="0F277846" w14:textId="77777777" w:rsidR="0007480A" w:rsidRPr="0015183E" w:rsidRDefault="0007480A" w:rsidP="00597C3F">
            <w:pPr>
              <w:widowControl w:val="0"/>
              <w:jc w:val="center"/>
              <w:rPr>
                <w:rFonts w:ascii="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MD, PLC = 1</w:t>
            </w:r>
          </w:p>
        </w:tc>
        <w:tc>
          <w:tcPr>
            <w:tcW w:w="255" w:type="pct"/>
            <w:tcMar>
              <w:top w:w="85" w:type="dxa"/>
              <w:left w:w="85" w:type="dxa"/>
              <w:bottom w:w="85" w:type="dxa"/>
              <w:right w:w="85" w:type="dxa"/>
            </w:tcMar>
            <w:vAlign w:val="center"/>
          </w:tcPr>
          <w:p w14:paraId="783DDFAE"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30</w:t>
            </w:r>
          </w:p>
        </w:tc>
        <w:tc>
          <w:tcPr>
            <w:tcW w:w="898" w:type="pct"/>
            <w:tcMar>
              <w:top w:w="85" w:type="dxa"/>
              <w:left w:w="85" w:type="dxa"/>
              <w:bottom w:w="85" w:type="dxa"/>
              <w:right w:w="85" w:type="dxa"/>
            </w:tcMar>
            <w:vAlign w:val="center"/>
          </w:tcPr>
          <w:p w14:paraId="78BB16A3"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4.16 × 10</w:t>
            </w:r>
            <w:r w:rsidRPr="0015183E">
              <w:rPr>
                <w:rFonts w:ascii="Times New Roman" w:eastAsia="Times New Roman" w:hAnsi="Times New Roman"/>
                <w:color w:val="000000" w:themeColor="text1"/>
                <w:sz w:val="16"/>
                <w:szCs w:val="16"/>
                <w:vertAlign w:val="superscript"/>
              </w:rPr>
              <w:t>2</w:t>
            </w:r>
          </w:p>
        </w:tc>
        <w:tc>
          <w:tcPr>
            <w:tcW w:w="1897" w:type="pct"/>
            <w:tcMar>
              <w:top w:w="85" w:type="dxa"/>
              <w:left w:w="85" w:type="dxa"/>
              <w:bottom w:w="85" w:type="dxa"/>
              <w:right w:w="85" w:type="dxa"/>
            </w:tcMar>
            <w:vAlign w:val="center"/>
          </w:tcPr>
          <w:p w14:paraId="3C6051F1"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(2.93–5.37) × 10</w:t>
            </w:r>
            <w:r w:rsidRPr="0015183E">
              <w:rPr>
                <w:rFonts w:ascii="Times New Roman" w:eastAsia="Times New Roman" w:hAnsi="Times New Roman"/>
                <w:color w:val="000000" w:themeColor="text1"/>
                <w:sz w:val="16"/>
                <w:szCs w:val="16"/>
                <w:vertAlign w:val="superscript"/>
              </w:rPr>
              <w:t>2</w:t>
            </w:r>
          </w:p>
        </w:tc>
        <w:tc>
          <w:tcPr>
            <w:tcW w:w="1062" w:type="pct"/>
            <w:tcMar>
              <w:top w:w="85" w:type="dxa"/>
              <w:left w:w="85" w:type="dxa"/>
              <w:bottom w:w="85" w:type="dxa"/>
              <w:right w:w="85" w:type="dxa"/>
            </w:tcMar>
            <w:vAlign w:val="center"/>
          </w:tcPr>
          <w:p w14:paraId="56346596"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9.61 × 10</w:t>
            </w:r>
            <w:r w:rsidRPr="0015183E">
              <w:rPr>
                <w:rFonts w:ascii="Times New Roman" w:eastAsia="Times New Roman" w:hAnsi="Times New Roman"/>
                <w:color w:val="000000" w:themeColor="text1"/>
                <w:sz w:val="16"/>
                <w:szCs w:val="16"/>
                <w:vertAlign w:val="superscript"/>
              </w:rPr>
              <w:t>2</w:t>
            </w:r>
          </w:p>
        </w:tc>
      </w:tr>
      <w:tr w:rsidR="0015183E" w:rsidRPr="0015183E" w14:paraId="7E321460" w14:textId="77777777" w:rsidTr="00597C3F">
        <w:trPr>
          <w:cantSplit/>
          <w:jc w:val="center"/>
        </w:trPr>
        <w:tc>
          <w:tcPr>
            <w:tcW w:w="889" w:type="pct"/>
            <w:shd w:val="clear" w:color="auto" w:fill="D9D9D9" w:themeFill="background1" w:themeFillShade="D9"/>
            <w:tcMar>
              <w:top w:w="85" w:type="dxa"/>
              <w:left w:w="85" w:type="dxa"/>
              <w:bottom w:w="85" w:type="dxa"/>
              <w:right w:w="85" w:type="dxa"/>
            </w:tcMar>
            <w:vAlign w:val="center"/>
          </w:tcPr>
          <w:p w14:paraId="7217D1A3" w14:textId="77777777" w:rsidR="0007480A" w:rsidRPr="0015183E" w:rsidRDefault="0007480A" w:rsidP="00597C3F">
            <w:pPr>
              <w:widowControl w:val="0"/>
              <w:jc w:val="center"/>
              <w:rPr>
                <w:rFonts w:ascii="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MD, PLC = 5</w:t>
            </w:r>
          </w:p>
        </w:tc>
        <w:tc>
          <w:tcPr>
            <w:tcW w:w="255" w:type="pct"/>
            <w:tcMar>
              <w:top w:w="85" w:type="dxa"/>
              <w:left w:w="85" w:type="dxa"/>
              <w:bottom w:w="85" w:type="dxa"/>
              <w:right w:w="85" w:type="dxa"/>
            </w:tcMar>
            <w:vAlign w:val="center"/>
          </w:tcPr>
          <w:p w14:paraId="16D254CD"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30</w:t>
            </w:r>
          </w:p>
        </w:tc>
        <w:tc>
          <w:tcPr>
            <w:tcW w:w="898" w:type="pct"/>
            <w:tcMar>
              <w:top w:w="85" w:type="dxa"/>
              <w:left w:w="85" w:type="dxa"/>
              <w:bottom w:w="85" w:type="dxa"/>
              <w:right w:w="85" w:type="dxa"/>
            </w:tcMar>
            <w:vAlign w:val="center"/>
          </w:tcPr>
          <w:p w14:paraId="1E0BF63F"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4.94 × 10</w:t>
            </w:r>
            <w:r w:rsidRPr="0015183E">
              <w:rPr>
                <w:rFonts w:ascii="Times New Roman" w:eastAsia="Times New Roman" w:hAnsi="Times New Roman"/>
                <w:color w:val="000000" w:themeColor="text1"/>
                <w:sz w:val="16"/>
                <w:szCs w:val="16"/>
                <w:vertAlign w:val="superscript"/>
              </w:rPr>
              <w:t>2</w:t>
            </w:r>
          </w:p>
        </w:tc>
        <w:tc>
          <w:tcPr>
            <w:tcW w:w="1897" w:type="pct"/>
            <w:tcMar>
              <w:top w:w="85" w:type="dxa"/>
              <w:left w:w="85" w:type="dxa"/>
              <w:bottom w:w="85" w:type="dxa"/>
              <w:right w:w="85" w:type="dxa"/>
            </w:tcMar>
            <w:vAlign w:val="center"/>
          </w:tcPr>
          <w:p w14:paraId="4BF28416"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(3.79–6.08) × 10</w:t>
            </w:r>
            <w:r w:rsidRPr="0015183E">
              <w:rPr>
                <w:rFonts w:ascii="Times New Roman" w:eastAsia="Times New Roman" w:hAnsi="Times New Roman"/>
                <w:color w:val="000000" w:themeColor="text1"/>
                <w:sz w:val="16"/>
                <w:szCs w:val="16"/>
                <w:vertAlign w:val="superscript"/>
              </w:rPr>
              <w:t>2</w:t>
            </w:r>
          </w:p>
        </w:tc>
        <w:tc>
          <w:tcPr>
            <w:tcW w:w="1062" w:type="pct"/>
            <w:tcMar>
              <w:top w:w="85" w:type="dxa"/>
              <w:left w:w="85" w:type="dxa"/>
              <w:bottom w:w="85" w:type="dxa"/>
              <w:right w:w="85" w:type="dxa"/>
            </w:tcMar>
            <w:vAlign w:val="center"/>
          </w:tcPr>
          <w:p w14:paraId="31C2187C" w14:textId="77777777" w:rsidR="0007480A" w:rsidRPr="0015183E" w:rsidRDefault="0007480A" w:rsidP="00597C3F">
            <w:pPr>
              <w:widowControl w:val="0"/>
              <w:jc w:val="center"/>
              <w:rPr>
                <w:rFonts w:ascii="Times New Roman" w:hAnsi="Times New Roman"/>
                <w:color w:val="000000" w:themeColor="text1"/>
                <w:sz w:val="16"/>
                <w:szCs w:val="16"/>
              </w:rPr>
            </w:pPr>
            <w:r w:rsidRPr="0015183E">
              <w:rPr>
                <w:rFonts w:ascii="Times New Roman" w:eastAsia="Times New Roman" w:hAnsi="Times New Roman"/>
                <w:color w:val="000000" w:themeColor="text1"/>
                <w:sz w:val="16"/>
                <w:szCs w:val="16"/>
              </w:rPr>
              <w:t>8.40 × 10</w:t>
            </w:r>
            <w:r w:rsidRPr="0015183E">
              <w:rPr>
                <w:rFonts w:ascii="Times New Roman" w:eastAsia="Times New Roman" w:hAnsi="Times New Roman"/>
                <w:color w:val="000000" w:themeColor="text1"/>
                <w:sz w:val="16"/>
                <w:szCs w:val="16"/>
                <w:vertAlign w:val="superscript"/>
              </w:rPr>
              <w:t>2</w:t>
            </w:r>
          </w:p>
        </w:tc>
      </w:tr>
    </w:tbl>
    <w:p w14:paraId="5F539095" w14:textId="77777777" w:rsidR="00521B7F" w:rsidRPr="0015183E" w:rsidRDefault="00521B7F" w:rsidP="00521B7F">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color w:val="000000" w:themeColor="text1"/>
          <w:sz w:val="22"/>
          <w:szCs w:val="22"/>
          <w:lang w:eastAsia="ko-KR"/>
        </w:rPr>
        <w:t>Supplementary Table 3.</w:t>
      </w:r>
      <w:r w:rsidRPr="0015183E">
        <w:rPr>
          <w:rFonts w:ascii="Times New Roman" w:eastAsia="바탕" w:hAnsi="Times New Roman"/>
          <w:color w:val="000000" w:themeColor="text1"/>
          <w:sz w:val="22"/>
          <w:szCs w:val="22"/>
          <w:lang w:eastAsia="ko-KR"/>
        </w:rPr>
        <w:t xml:space="preserve"> Population statistics of the operational PVR. Values were calculated from the complete HD and MD datasets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using the extraction procedure described in Methods. Q1–Q3 denotes the interval between the 25th and 75th percentiles of the record-level PVR values.</w:t>
      </w:r>
    </w:p>
    <w:p w14:paraId="578AD5B4" w14:textId="04354C70" w:rsidR="00300B23" w:rsidRPr="0015183E" w:rsidRDefault="00300B23">
      <w:pPr>
        <w:rPr>
          <w:rFonts w:ascii="Times New Roman" w:hAnsi="Times New Roman"/>
          <w:color w:val="000000" w:themeColor="text1"/>
          <w:sz w:val="24"/>
          <w:lang w:eastAsia="ko-KR"/>
        </w:rPr>
      </w:pPr>
      <w:r w:rsidRPr="0015183E">
        <w:rPr>
          <w:rFonts w:ascii="Times New Roman" w:hAnsi="Times New Roman"/>
          <w:color w:val="000000" w:themeColor="text1"/>
          <w:lang w:eastAsia="ko-KR"/>
        </w:rPr>
        <w:br w:type="page"/>
      </w:r>
    </w:p>
    <w:p w14:paraId="3D741AD7" w14:textId="77777777" w:rsidR="00300B23" w:rsidRPr="0015183E" w:rsidRDefault="00300B23" w:rsidP="00525477">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Quantification of the open-contact measurement background</w:t>
      </w:r>
    </w:p>
    <w:p w14:paraId="2A369122"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Table 4</w:t>
      </w:r>
      <w:r w:rsidRPr="0015183E">
        <w:rPr>
          <w:rFonts w:ascii="Times New Roman" w:hAnsi="Times New Roman"/>
          <w:color w:val="000000" w:themeColor="text1"/>
          <w:sz w:val="22"/>
          <w:szCs w:val="22"/>
        </w:rPr>
        <w:t xml:space="preserve"> summarizes the signed drain-, source- and gate-current readings from the open-contact control shown in </w:t>
      </w:r>
      <w:r w:rsidRPr="0015183E">
        <w:rPr>
          <w:rFonts w:ascii="Times New Roman" w:hAnsi="Times New Roman"/>
          <w:b/>
          <w:bCs/>
          <w:color w:val="000000" w:themeColor="text1"/>
          <w:sz w:val="22"/>
          <w:szCs w:val="22"/>
        </w:rPr>
        <w:t>Supplementary Fig. 10e</w:t>
      </w:r>
      <w:r w:rsidRPr="0015183E">
        <w:rPr>
          <w:rFonts w:ascii="Times New Roman" w:hAnsi="Times New Roman"/>
          <w:color w:val="000000" w:themeColor="text1"/>
          <w:sz w:val="22"/>
          <w:szCs w:val="22"/>
        </w:rPr>
        <w:t>. All probe contacts were disconnected, and the programmed gate voltage was swept from −3 to +3 V in 0.05 V steps at PLC = 1, with V</w:t>
      </w:r>
      <w:r w:rsidRPr="0015183E">
        <w:rPr>
          <w:rFonts w:ascii="Times New Roman" w:hAnsi="Times New Roman"/>
          <w:color w:val="000000" w:themeColor="text1"/>
          <w:sz w:val="22"/>
          <w:szCs w:val="22"/>
          <w:vertAlign w:val="subscript"/>
        </w:rPr>
        <w:t>D</w:t>
      </w:r>
      <w:r w:rsidRPr="0015183E">
        <w:rPr>
          <w:rFonts w:ascii="Times New Roman" w:hAnsi="Times New Roman"/>
          <w:color w:val="000000" w:themeColor="text1"/>
          <w:sz w:val="22"/>
          <w:szCs w:val="22"/>
        </w:rPr>
        <w:t xml:space="preserve"> = −0.1 V and V</w:t>
      </w:r>
      <w:r w:rsidRPr="0015183E">
        <w:rPr>
          <w:rFonts w:ascii="Times New Roman" w:hAnsi="Times New Roman"/>
          <w:color w:val="000000" w:themeColor="text1"/>
          <w:sz w:val="22"/>
          <w:szCs w:val="22"/>
          <w:vertAlign w:val="subscript"/>
        </w:rPr>
        <w:t>S</w:t>
      </w:r>
      <w:r w:rsidRPr="0015183E">
        <w:rPr>
          <w:rFonts w:ascii="Times New Roman" w:hAnsi="Times New Roman"/>
          <w:color w:val="000000" w:themeColor="text1"/>
          <w:sz w:val="22"/>
          <w:szCs w:val="22"/>
        </w:rPr>
        <w:t xml:space="preserve"> = 0 V. The table reports the mean, standard deviation, minimum and maximum across the 121 readings for each measurement channel.</w:t>
      </w:r>
    </w:p>
    <w:p w14:paraId="0A6A95D4"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 drain-channel mean is −14.9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with a standard deviation of 18.4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and recorded values ranging from −55 to +47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The source and gate channels exhibit different mean backgrounds, showing that the baseline is channel-dependent. In particular, the nonzero gate-current reading under open-contact conditions cautions against assigning the entire sub-</w:t>
      </w:r>
      <w:proofErr w:type="spellStart"/>
      <w:r w:rsidRPr="0015183E">
        <w:rPr>
          <w:rFonts w:ascii="Times New Roman" w:hAnsi="Times New Roman"/>
          <w:color w:val="000000" w:themeColor="text1"/>
          <w:sz w:val="22"/>
          <w:szCs w:val="22"/>
        </w:rPr>
        <w:t>pA</w:t>
      </w:r>
      <w:proofErr w:type="spellEnd"/>
      <w:r w:rsidRPr="0015183E">
        <w:rPr>
          <w:rFonts w:ascii="Times New Roman" w:hAnsi="Times New Roman"/>
          <w:color w:val="000000" w:themeColor="text1"/>
          <w:sz w:val="22"/>
          <w:szCs w:val="22"/>
        </w:rPr>
        <w:t xml:space="preserve"> gate-current reading of a contacted device to dielectric leakage.</w:t>
      </w:r>
    </w:p>
    <w:p w14:paraId="36029CA4"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For comparison at the same integration setting, the median operational pre-rise currents extracted from the device transfer characteristics are 660 </w:t>
      </w:r>
      <w:proofErr w:type="spellStart"/>
      <w:proofErr w:type="gramStart"/>
      <w:r w:rsidRPr="0015183E">
        <w:rPr>
          <w:rFonts w:ascii="Times New Roman" w:hAnsi="Times New Roman"/>
          <w:color w:val="000000" w:themeColor="text1"/>
          <w:sz w:val="22"/>
          <w:szCs w:val="22"/>
        </w:rPr>
        <w:t>fA</w:t>
      </w:r>
      <w:proofErr w:type="spellEnd"/>
      <w:proofErr w:type="gramEnd"/>
      <w:r w:rsidRPr="0015183E">
        <w:rPr>
          <w:rFonts w:ascii="Times New Roman" w:hAnsi="Times New Roman"/>
          <w:color w:val="000000" w:themeColor="text1"/>
          <w:sz w:val="22"/>
          <w:szCs w:val="22"/>
        </w:rPr>
        <w:t xml:space="preserve"> for HD and 260 </w:t>
      </w:r>
      <w:proofErr w:type="spellStart"/>
      <w:r w:rsidRPr="0015183E">
        <w:rPr>
          <w:rFonts w:ascii="Times New Roman" w:hAnsi="Times New Roman"/>
          <w:color w:val="000000" w:themeColor="text1"/>
          <w:sz w:val="22"/>
          <w:szCs w:val="22"/>
        </w:rPr>
        <w:t>fA</w:t>
      </w:r>
      <w:proofErr w:type="spellEnd"/>
      <w:r w:rsidRPr="0015183E">
        <w:rPr>
          <w:rFonts w:ascii="Times New Roman" w:hAnsi="Times New Roman"/>
          <w:color w:val="000000" w:themeColor="text1"/>
          <w:sz w:val="22"/>
          <w:szCs w:val="22"/>
        </w:rPr>
        <w:t xml:space="preserve"> for MD, as shown in </w:t>
      </w:r>
      <w:r w:rsidRPr="0015183E">
        <w:rPr>
          <w:rFonts w:ascii="Times New Roman" w:hAnsi="Times New Roman"/>
          <w:b/>
          <w:bCs/>
          <w:color w:val="000000" w:themeColor="text1"/>
          <w:sz w:val="22"/>
          <w:szCs w:val="22"/>
        </w:rPr>
        <w:t>Supplementary Fig. 10f</w:t>
      </w:r>
      <w:r w:rsidRPr="0015183E">
        <w:rPr>
          <w:rFonts w:ascii="Times New Roman" w:hAnsi="Times New Roman"/>
          <w:color w:val="000000" w:themeColor="text1"/>
          <w:sz w:val="22"/>
          <w:szCs w:val="22"/>
        </w:rPr>
        <w:t>. These values exceed the drain-current magnitude range observed in the open-contact control. The comparison provides a measured reference for interpreting the low-current levels used in the PVR analysis, without applying background subtraction. The listed standard deviations describe variation across the programmed sweep, not fixed-bias temporal noise or instrument accuracy. The control therefore characterizes the open-contact background at PLC = 1 rather than a complete uncertainty bound for contacted-device measurements or a calibration at PLC = 5.</w:t>
      </w:r>
    </w:p>
    <w:p w14:paraId="1CDCF7B3" w14:textId="2B87159F" w:rsidR="0009297A" w:rsidRPr="0015183E" w:rsidRDefault="0009297A" w:rsidP="00521B7F">
      <w:pPr>
        <w:pStyle w:val="10"/>
        <w:rPr>
          <w:color w:val="000000" w:themeColor="text1"/>
          <w:lang w:eastAsia="ko-KR"/>
        </w:rPr>
      </w:pPr>
    </w:p>
    <w:p w14:paraId="23FCD2E2" w14:textId="50FF1748" w:rsidR="00521B7F" w:rsidRPr="0015183E" w:rsidRDefault="0009297A" w:rsidP="0009297A">
      <w:pPr>
        <w:rPr>
          <w:rFonts w:ascii="Times" w:hAnsi="Times"/>
          <w:color w:val="000000" w:themeColor="text1"/>
          <w:sz w:val="24"/>
          <w:lang w:eastAsia="ko-KR"/>
        </w:rPr>
      </w:pPr>
      <w:r w:rsidRPr="0015183E">
        <w:rPr>
          <w:color w:val="000000" w:themeColor="text1"/>
          <w:lang w:eastAsia="ko-KR"/>
        </w:rPr>
        <w:br w:type="page"/>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1889"/>
        <w:gridCol w:w="2358"/>
        <w:gridCol w:w="1792"/>
        <w:gridCol w:w="2112"/>
      </w:tblGrid>
      <w:tr w:rsidR="0015183E" w:rsidRPr="0015183E" w14:paraId="608CDB3D" w14:textId="77777777" w:rsidTr="00597C3F">
        <w:trPr>
          <w:cantSplit/>
          <w:trHeight w:val="184"/>
          <w:tblHeader/>
          <w:jc w:val="center"/>
        </w:trPr>
        <w:tc>
          <w:tcPr>
            <w:tcW w:w="1200" w:type="dxa"/>
            <w:shd w:val="clear" w:color="auto" w:fill="D9D9D9" w:themeFill="background1" w:themeFillShade="D9"/>
            <w:tcMar>
              <w:top w:w="85" w:type="dxa"/>
              <w:left w:w="85" w:type="dxa"/>
              <w:bottom w:w="85" w:type="dxa"/>
              <w:right w:w="85" w:type="dxa"/>
            </w:tcMar>
            <w:vAlign w:val="center"/>
          </w:tcPr>
          <w:p w14:paraId="74EFD33D" w14:textId="77777777" w:rsidR="0009297A" w:rsidRPr="0015183E" w:rsidRDefault="0009297A" w:rsidP="00597C3F">
            <w:pPr>
              <w:widowControl w:val="0"/>
              <w:jc w:val="center"/>
              <w:rPr>
                <w:rFonts w:ascii="Times New Roman" w:eastAsia="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lastRenderedPageBreak/>
              <w:t>Channel</w:t>
            </w:r>
          </w:p>
        </w:tc>
        <w:tc>
          <w:tcPr>
            <w:tcW w:w="1889" w:type="dxa"/>
            <w:shd w:val="clear" w:color="auto" w:fill="D9D9D9" w:themeFill="background1" w:themeFillShade="D9"/>
            <w:tcMar>
              <w:top w:w="85" w:type="dxa"/>
              <w:left w:w="85" w:type="dxa"/>
              <w:bottom w:w="85" w:type="dxa"/>
              <w:right w:w="85" w:type="dxa"/>
            </w:tcMar>
            <w:vAlign w:val="center"/>
          </w:tcPr>
          <w:p w14:paraId="2F87BCD4" w14:textId="77777777" w:rsidR="0009297A" w:rsidRPr="0015183E" w:rsidRDefault="0009297A" w:rsidP="00597C3F">
            <w:pPr>
              <w:widowControl w:val="0"/>
              <w:jc w:val="center"/>
              <w:rPr>
                <w:rFonts w:ascii="Times New Roman" w:eastAsia="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Mean current (</w:t>
            </w:r>
            <w:proofErr w:type="spellStart"/>
            <w:r w:rsidRPr="0015183E">
              <w:rPr>
                <w:rFonts w:ascii="Times New Roman" w:eastAsia="Times New Roman" w:hAnsi="Times New Roman"/>
                <w:b/>
                <w:color w:val="000000" w:themeColor="text1"/>
                <w:sz w:val="16"/>
                <w:szCs w:val="16"/>
              </w:rPr>
              <w:t>fA</w:t>
            </w:r>
            <w:proofErr w:type="spellEnd"/>
            <w:r w:rsidRPr="0015183E">
              <w:rPr>
                <w:rFonts w:ascii="Times New Roman" w:eastAsia="Times New Roman" w:hAnsi="Times New Roman"/>
                <w:b/>
                <w:color w:val="000000" w:themeColor="text1"/>
                <w:sz w:val="16"/>
                <w:szCs w:val="16"/>
              </w:rPr>
              <w:t>)</w:t>
            </w:r>
          </w:p>
        </w:tc>
        <w:tc>
          <w:tcPr>
            <w:tcW w:w="2358" w:type="dxa"/>
            <w:shd w:val="clear" w:color="auto" w:fill="D9D9D9" w:themeFill="background1" w:themeFillShade="D9"/>
            <w:tcMar>
              <w:top w:w="85" w:type="dxa"/>
              <w:left w:w="85" w:type="dxa"/>
              <w:bottom w:w="85" w:type="dxa"/>
              <w:right w:w="85" w:type="dxa"/>
            </w:tcMar>
            <w:vAlign w:val="center"/>
          </w:tcPr>
          <w:p w14:paraId="0563D9A0" w14:textId="77777777" w:rsidR="0009297A" w:rsidRPr="0015183E" w:rsidRDefault="0009297A" w:rsidP="00597C3F">
            <w:pPr>
              <w:widowControl w:val="0"/>
              <w:jc w:val="center"/>
              <w:rPr>
                <w:rFonts w:ascii="Times New Roman" w:eastAsia="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Across-sweep SD (</w:t>
            </w:r>
            <w:proofErr w:type="spellStart"/>
            <w:r w:rsidRPr="0015183E">
              <w:rPr>
                <w:rFonts w:ascii="Times New Roman" w:eastAsia="Times New Roman" w:hAnsi="Times New Roman"/>
                <w:b/>
                <w:color w:val="000000" w:themeColor="text1"/>
                <w:sz w:val="16"/>
                <w:szCs w:val="16"/>
              </w:rPr>
              <w:t>fA</w:t>
            </w:r>
            <w:proofErr w:type="spellEnd"/>
            <w:r w:rsidRPr="0015183E">
              <w:rPr>
                <w:rFonts w:ascii="Times New Roman" w:eastAsia="Times New Roman" w:hAnsi="Times New Roman"/>
                <w:b/>
                <w:color w:val="000000" w:themeColor="text1"/>
                <w:sz w:val="16"/>
                <w:szCs w:val="16"/>
              </w:rPr>
              <w:t>)</w:t>
            </w:r>
          </w:p>
        </w:tc>
        <w:tc>
          <w:tcPr>
            <w:tcW w:w="1792" w:type="dxa"/>
            <w:shd w:val="clear" w:color="auto" w:fill="D9D9D9" w:themeFill="background1" w:themeFillShade="D9"/>
            <w:tcMar>
              <w:top w:w="85" w:type="dxa"/>
              <w:left w:w="85" w:type="dxa"/>
              <w:bottom w:w="85" w:type="dxa"/>
              <w:right w:w="85" w:type="dxa"/>
            </w:tcMar>
            <w:vAlign w:val="center"/>
          </w:tcPr>
          <w:p w14:paraId="62A082F9" w14:textId="77777777" w:rsidR="0009297A" w:rsidRPr="0015183E" w:rsidRDefault="0009297A" w:rsidP="00597C3F">
            <w:pPr>
              <w:widowControl w:val="0"/>
              <w:jc w:val="center"/>
              <w:rPr>
                <w:rFonts w:ascii="Times New Roman" w:eastAsia="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Minimum (</w:t>
            </w:r>
            <w:proofErr w:type="spellStart"/>
            <w:r w:rsidRPr="0015183E">
              <w:rPr>
                <w:rFonts w:ascii="Times New Roman" w:eastAsia="Times New Roman" w:hAnsi="Times New Roman"/>
                <w:b/>
                <w:color w:val="000000" w:themeColor="text1"/>
                <w:sz w:val="16"/>
                <w:szCs w:val="16"/>
              </w:rPr>
              <w:t>fA</w:t>
            </w:r>
            <w:proofErr w:type="spellEnd"/>
            <w:r w:rsidRPr="0015183E">
              <w:rPr>
                <w:rFonts w:ascii="Times New Roman" w:eastAsia="Times New Roman" w:hAnsi="Times New Roman"/>
                <w:b/>
                <w:color w:val="000000" w:themeColor="text1"/>
                <w:sz w:val="16"/>
                <w:szCs w:val="16"/>
              </w:rPr>
              <w:t>)</w:t>
            </w:r>
          </w:p>
        </w:tc>
        <w:tc>
          <w:tcPr>
            <w:tcW w:w="2112" w:type="dxa"/>
            <w:shd w:val="clear" w:color="auto" w:fill="D9D9D9" w:themeFill="background1" w:themeFillShade="D9"/>
            <w:tcMar>
              <w:top w:w="85" w:type="dxa"/>
              <w:left w:w="85" w:type="dxa"/>
              <w:bottom w:w="85" w:type="dxa"/>
              <w:right w:w="85" w:type="dxa"/>
            </w:tcMar>
            <w:vAlign w:val="center"/>
          </w:tcPr>
          <w:p w14:paraId="42CD7EF8" w14:textId="77777777" w:rsidR="0009297A" w:rsidRPr="0015183E" w:rsidRDefault="0009297A" w:rsidP="00597C3F">
            <w:pPr>
              <w:widowControl w:val="0"/>
              <w:jc w:val="center"/>
              <w:rPr>
                <w:rFonts w:ascii="Times New Roman" w:eastAsia="Times New Roman" w:hAnsi="Times New Roman"/>
                <w:b/>
                <w:color w:val="000000" w:themeColor="text1"/>
                <w:sz w:val="16"/>
                <w:szCs w:val="16"/>
              </w:rPr>
            </w:pPr>
            <w:r w:rsidRPr="0015183E">
              <w:rPr>
                <w:rFonts w:ascii="Times New Roman" w:eastAsia="Times New Roman" w:hAnsi="Times New Roman"/>
                <w:b/>
                <w:color w:val="000000" w:themeColor="text1"/>
                <w:sz w:val="16"/>
                <w:szCs w:val="16"/>
              </w:rPr>
              <w:t>Maximum (</w:t>
            </w:r>
            <w:proofErr w:type="spellStart"/>
            <w:r w:rsidRPr="0015183E">
              <w:rPr>
                <w:rFonts w:ascii="Times New Roman" w:eastAsia="Times New Roman" w:hAnsi="Times New Roman"/>
                <w:b/>
                <w:color w:val="000000" w:themeColor="text1"/>
                <w:sz w:val="16"/>
                <w:szCs w:val="16"/>
              </w:rPr>
              <w:t>fA</w:t>
            </w:r>
            <w:proofErr w:type="spellEnd"/>
            <w:r w:rsidRPr="0015183E">
              <w:rPr>
                <w:rFonts w:ascii="Times New Roman" w:eastAsia="Times New Roman" w:hAnsi="Times New Roman"/>
                <w:b/>
                <w:color w:val="000000" w:themeColor="text1"/>
                <w:sz w:val="16"/>
                <w:szCs w:val="16"/>
              </w:rPr>
              <w:t>)</w:t>
            </w:r>
          </w:p>
        </w:tc>
      </w:tr>
      <w:tr w:rsidR="0015183E" w:rsidRPr="0015183E" w14:paraId="58CFBE28" w14:textId="77777777" w:rsidTr="00597C3F">
        <w:trPr>
          <w:cantSplit/>
          <w:trHeight w:val="184"/>
          <w:jc w:val="center"/>
        </w:trPr>
        <w:tc>
          <w:tcPr>
            <w:tcW w:w="1200" w:type="dxa"/>
            <w:shd w:val="clear" w:color="auto" w:fill="D9D9D9" w:themeFill="background1" w:themeFillShade="D9"/>
            <w:tcMar>
              <w:top w:w="85" w:type="dxa"/>
              <w:left w:w="85" w:type="dxa"/>
              <w:bottom w:w="85" w:type="dxa"/>
              <w:right w:w="85" w:type="dxa"/>
            </w:tcMar>
            <w:vAlign w:val="center"/>
          </w:tcPr>
          <w:p w14:paraId="16C3A9A0" w14:textId="77777777" w:rsidR="0009297A" w:rsidRPr="0015183E" w:rsidRDefault="0009297A" w:rsidP="00597C3F">
            <w:pPr>
              <w:widowControl w:val="0"/>
              <w:jc w:val="center"/>
              <w:rPr>
                <w:rFonts w:ascii="Times New Roman" w:eastAsia="Times New Roman" w:hAnsi="Times New Roman"/>
                <w:b/>
                <w:bCs/>
                <w:color w:val="000000" w:themeColor="text1"/>
                <w:sz w:val="16"/>
                <w:szCs w:val="16"/>
              </w:rPr>
            </w:pPr>
            <w:r w:rsidRPr="0015183E">
              <w:rPr>
                <w:rFonts w:ascii="Times New Roman" w:eastAsia="Times New Roman" w:hAnsi="Times New Roman"/>
                <w:b/>
                <w:bCs/>
                <w:color w:val="000000" w:themeColor="text1"/>
                <w:sz w:val="16"/>
                <w:szCs w:val="16"/>
              </w:rPr>
              <w:t>I</w:t>
            </w:r>
            <w:r w:rsidRPr="0015183E">
              <w:rPr>
                <w:rFonts w:ascii="Times New Roman" w:eastAsia="Times New Roman" w:hAnsi="Times New Roman"/>
                <w:b/>
                <w:bCs/>
                <w:color w:val="000000" w:themeColor="text1"/>
                <w:sz w:val="16"/>
                <w:szCs w:val="16"/>
                <w:vertAlign w:val="subscript"/>
              </w:rPr>
              <w:t>D</w:t>
            </w:r>
          </w:p>
        </w:tc>
        <w:tc>
          <w:tcPr>
            <w:tcW w:w="1889" w:type="dxa"/>
            <w:tcMar>
              <w:top w:w="85" w:type="dxa"/>
              <w:left w:w="85" w:type="dxa"/>
              <w:bottom w:w="85" w:type="dxa"/>
              <w:right w:w="85" w:type="dxa"/>
            </w:tcMar>
            <w:vAlign w:val="center"/>
          </w:tcPr>
          <w:p w14:paraId="6B4F1944"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−14.9</w:t>
            </w:r>
          </w:p>
        </w:tc>
        <w:tc>
          <w:tcPr>
            <w:tcW w:w="2358" w:type="dxa"/>
            <w:tcMar>
              <w:top w:w="85" w:type="dxa"/>
              <w:left w:w="85" w:type="dxa"/>
              <w:bottom w:w="85" w:type="dxa"/>
              <w:right w:w="85" w:type="dxa"/>
            </w:tcMar>
            <w:vAlign w:val="center"/>
          </w:tcPr>
          <w:p w14:paraId="5489441B"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18.4</w:t>
            </w:r>
          </w:p>
        </w:tc>
        <w:tc>
          <w:tcPr>
            <w:tcW w:w="1792" w:type="dxa"/>
            <w:tcMar>
              <w:top w:w="85" w:type="dxa"/>
              <w:left w:w="85" w:type="dxa"/>
              <w:bottom w:w="85" w:type="dxa"/>
              <w:right w:w="85" w:type="dxa"/>
            </w:tcMar>
            <w:vAlign w:val="center"/>
          </w:tcPr>
          <w:p w14:paraId="3106AA22"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−55</w:t>
            </w:r>
          </w:p>
        </w:tc>
        <w:tc>
          <w:tcPr>
            <w:tcW w:w="2112" w:type="dxa"/>
            <w:tcMar>
              <w:top w:w="85" w:type="dxa"/>
              <w:left w:w="85" w:type="dxa"/>
              <w:bottom w:w="85" w:type="dxa"/>
              <w:right w:w="85" w:type="dxa"/>
            </w:tcMar>
            <w:vAlign w:val="center"/>
          </w:tcPr>
          <w:p w14:paraId="67B9AA86"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+47</w:t>
            </w:r>
          </w:p>
        </w:tc>
      </w:tr>
      <w:tr w:rsidR="0015183E" w:rsidRPr="0015183E" w14:paraId="4960F158" w14:textId="77777777" w:rsidTr="00597C3F">
        <w:trPr>
          <w:cantSplit/>
          <w:trHeight w:val="184"/>
          <w:jc w:val="center"/>
        </w:trPr>
        <w:tc>
          <w:tcPr>
            <w:tcW w:w="1200" w:type="dxa"/>
            <w:shd w:val="clear" w:color="auto" w:fill="D9D9D9" w:themeFill="background1" w:themeFillShade="D9"/>
            <w:tcMar>
              <w:top w:w="85" w:type="dxa"/>
              <w:left w:w="85" w:type="dxa"/>
              <w:bottom w:w="85" w:type="dxa"/>
              <w:right w:w="85" w:type="dxa"/>
            </w:tcMar>
            <w:vAlign w:val="center"/>
          </w:tcPr>
          <w:p w14:paraId="34BED874" w14:textId="77777777" w:rsidR="0009297A" w:rsidRPr="0015183E" w:rsidRDefault="0009297A" w:rsidP="00597C3F">
            <w:pPr>
              <w:widowControl w:val="0"/>
              <w:jc w:val="center"/>
              <w:rPr>
                <w:rFonts w:ascii="Times New Roman" w:eastAsia="Times New Roman" w:hAnsi="Times New Roman"/>
                <w:b/>
                <w:bCs/>
                <w:color w:val="000000" w:themeColor="text1"/>
                <w:sz w:val="16"/>
                <w:szCs w:val="16"/>
              </w:rPr>
            </w:pPr>
            <w:r w:rsidRPr="0015183E">
              <w:rPr>
                <w:rFonts w:ascii="Times New Roman" w:eastAsia="Times New Roman" w:hAnsi="Times New Roman"/>
                <w:b/>
                <w:bCs/>
                <w:color w:val="000000" w:themeColor="text1"/>
                <w:sz w:val="16"/>
                <w:szCs w:val="16"/>
              </w:rPr>
              <w:t>I</w:t>
            </w:r>
            <w:r w:rsidRPr="0015183E">
              <w:rPr>
                <w:rFonts w:ascii="Times New Roman" w:eastAsia="Times New Roman" w:hAnsi="Times New Roman"/>
                <w:b/>
                <w:bCs/>
                <w:color w:val="000000" w:themeColor="text1"/>
                <w:sz w:val="16"/>
                <w:szCs w:val="16"/>
                <w:vertAlign w:val="subscript"/>
              </w:rPr>
              <w:t>S</w:t>
            </w:r>
          </w:p>
        </w:tc>
        <w:tc>
          <w:tcPr>
            <w:tcW w:w="1889" w:type="dxa"/>
            <w:tcMar>
              <w:top w:w="85" w:type="dxa"/>
              <w:left w:w="85" w:type="dxa"/>
              <w:bottom w:w="85" w:type="dxa"/>
              <w:right w:w="85" w:type="dxa"/>
            </w:tcMar>
            <w:vAlign w:val="center"/>
          </w:tcPr>
          <w:p w14:paraId="18829E67"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+33.5</w:t>
            </w:r>
          </w:p>
        </w:tc>
        <w:tc>
          <w:tcPr>
            <w:tcW w:w="2358" w:type="dxa"/>
            <w:tcMar>
              <w:top w:w="85" w:type="dxa"/>
              <w:left w:w="85" w:type="dxa"/>
              <w:bottom w:w="85" w:type="dxa"/>
              <w:right w:w="85" w:type="dxa"/>
            </w:tcMar>
            <w:vAlign w:val="center"/>
          </w:tcPr>
          <w:p w14:paraId="66039B19"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17.6</w:t>
            </w:r>
          </w:p>
        </w:tc>
        <w:tc>
          <w:tcPr>
            <w:tcW w:w="1792" w:type="dxa"/>
            <w:tcMar>
              <w:top w:w="85" w:type="dxa"/>
              <w:left w:w="85" w:type="dxa"/>
              <w:bottom w:w="85" w:type="dxa"/>
              <w:right w:w="85" w:type="dxa"/>
            </w:tcMar>
            <w:vAlign w:val="center"/>
          </w:tcPr>
          <w:p w14:paraId="33620B70"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−5</w:t>
            </w:r>
          </w:p>
        </w:tc>
        <w:tc>
          <w:tcPr>
            <w:tcW w:w="2112" w:type="dxa"/>
            <w:tcMar>
              <w:top w:w="85" w:type="dxa"/>
              <w:left w:w="85" w:type="dxa"/>
              <w:bottom w:w="85" w:type="dxa"/>
              <w:right w:w="85" w:type="dxa"/>
            </w:tcMar>
            <w:vAlign w:val="center"/>
          </w:tcPr>
          <w:p w14:paraId="535D9D1B"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+81</w:t>
            </w:r>
          </w:p>
        </w:tc>
      </w:tr>
      <w:tr w:rsidR="0015183E" w:rsidRPr="0015183E" w14:paraId="2B5D1BE4" w14:textId="77777777" w:rsidTr="00597C3F">
        <w:trPr>
          <w:cantSplit/>
          <w:trHeight w:val="184"/>
          <w:jc w:val="center"/>
        </w:trPr>
        <w:tc>
          <w:tcPr>
            <w:tcW w:w="1200" w:type="dxa"/>
            <w:shd w:val="clear" w:color="auto" w:fill="D9D9D9" w:themeFill="background1" w:themeFillShade="D9"/>
            <w:tcMar>
              <w:top w:w="85" w:type="dxa"/>
              <w:left w:w="85" w:type="dxa"/>
              <w:bottom w:w="85" w:type="dxa"/>
              <w:right w:w="85" w:type="dxa"/>
            </w:tcMar>
            <w:vAlign w:val="center"/>
          </w:tcPr>
          <w:p w14:paraId="2717A353" w14:textId="77777777" w:rsidR="0009297A" w:rsidRPr="0015183E" w:rsidRDefault="0009297A" w:rsidP="00597C3F">
            <w:pPr>
              <w:widowControl w:val="0"/>
              <w:jc w:val="center"/>
              <w:rPr>
                <w:rFonts w:ascii="Times New Roman" w:eastAsia="Times New Roman" w:hAnsi="Times New Roman"/>
                <w:b/>
                <w:bCs/>
                <w:color w:val="000000" w:themeColor="text1"/>
                <w:sz w:val="16"/>
                <w:szCs w:val="16"/>
              </w:rPr>
            </w:pPr>
            <w:r w:rsidRPr="0015183E">
              <w:rPr>
                <w:rFonts w:ascii="Times New Roman" w:eastAsia="Times New Roman" w:hAnsi="Times New Roman"/>
                <w:b/>
                <w:bCs/>
                <w:color w:val="000000" w:themeColor="text1"/>
                <w:sz w:val="16"/>
                <w:szCs w:val="16"/>
              </w:rPr>
              <w:t>I</w:t>
            </w:r>
            <w:r w:rsidRPr="0015183E">
              <w:rPr>
                <w:rFonts w:ascii="Times New Roman" w:eastAsia="Times New Roman" w:hAnsi="Times New Roman"/>
                <w:b/>
                <w:bCs/>
                <w:color w:val="000000" w:themeColor="text1"/>
                <w:sz w:val="16"/>
                <w:szCs w:val="16"/>
                <w:vertAlign w:val="subscript"/>
              </w:rPr>
              <w:t>G</w:t>
            </w:r>
          </w:p>
        </w:tc>
        <w:tc>
          <w:tcPr>
            <w:tcW w:w="1889" w:type="dxa"/>
            <w:tcMar>
              <w:top w:w="85" w:type="dxa"/>
              <w:left w:w="85" w:type="dxa"/>
              <w:bottom w:w="85" w:type="dxa"/>
              <w:right w:w="85" w:type="dxa"/>
            </w:tcMar>
            <w:vAlign w:val="center"/>
          </w:tcPr>
          <w:p w14:paraId="50E15F46"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−210.0</w:t>
            </w:r>
          </w:p>
        </w:tc>
        <w:tc>
          <w:tcPr>
            <w:tcW w:w="2358" w:type="dxa"/>
            <w:tcMar>
              <w:top w:w="85" w:type="dxa"/>
              <w:left w:w="85" w:type="dxa"/>
              <w:bottom w:w="85" w:type="dxa"/>
              <w:right w:w="85" w:type="dxa"/>
            </w:tcMar>
            <w:vAlign w:val="center"/>
          </w:tcPr>
          <w:p w14:paraId="7110DC24"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20.4</w:t>
            </w:r>
          </w:p>
        </w:tc>
        <w:tc>
          <w:tcPr>
            <w:tcW w:w="1792" w:type="dxa"/>
            <w:tcMar>
              <w:top w:w="85" w:type="dxa"/>
              <w:left w:w="85" w:type="dxa"/>
              <w:bottom w:w="85" w:type="dxa"/>
              <w:right w:w="85" w:type="dxa"/>
            </w:tcMar>
            <w:vAlign w:val="center"/>
          </w:tcPr>
          <w:p w14:paraId="2EDA3782"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−261</w:t>
            </w:r>
          </w:p>
        </w:tc>
        <w:tc>
          <w:tcPr>
            <w:tcW w:w="2112" w:type="dxa"/>
            <w:tcMar>
              <w:top w:w="85" w:type="dxa"/>
              <w:left w:w="85" w:type="dxa"/>
              <w:bottom w:w="85" w:type="dxa"/>
              <w:right w:w="85" w:type="dxa"/>
            </w:tcMar>
            <w:vAlign w:val="center"/>
          </w:tcPr>
          <w:p w14:paraId="04903565" w14:textId="77777777" w:rsidR="0009297A" w:rsidRPr="0015183E" w:rsidRDefault="0009297A" w:rsidP="00597C3F">
            <w:pPr>
              <w:widowControl w:val="0"/>
              <w:jc w:val="center"/>
              <w:rPr>
                <w:rFonts w:ascii="Times New Roman" w:eastAsia="Times New Roman" w:hAnsi="Times New Roman"/>
                <w:color w:val="000000" w:themeColor="text1"/>
                <w:sz w:val="16"/>
                <w:szCs w:val="16"/>
              </w:rPr>
            </w:pPr>
            <w:r w:rsidRPr="0015183E">
              <w:rPr>
                <w:rFonts w:ascii="Times New Roman" w:eastAsia="Times New Roman" w:hAnsi="Times New Roman"/>
                <w:color w:val="000000" w:themeColor="text1"/>
                <w:sz w:val="16"/>
                <w:szCs w:val="16"/>
              </w:rPr>
              <w:t>−149</w:t>
            </w:r>
          </w:p>
        </w:tc>
      </w:tr>
    </w:tbl>
    <w:p w14:paraId="17328D7D" w14:textId="77777777" w:rsidR="00521B7F" w:rsidRPr="0015183E" w:rsidRDefault="00521B7F" w:rsidP="00521B7F">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color w:val="000000" w:themeColor="text1"/>
          <w:sz w:val="22"/>
          <w:szCs w:val="22"/>
          <w:lang w:eastAsia="ko-KR"/>
        </w:rPr>
        <w:t>Supplementary Table 4.</w:t>
      </w:r>
      <w:r w:rsidRPr="0015183E">
        <w:rPr>
          <w:rFonts w:ascii="Times New Roman" w:eastAsia="바탕" w:hAnsi="Times New Roman"/>
          <w:color w:val="000000" w:themeColor="text1"/>
          <w:sz w:val="22"/>
          <w:szCs w:val="22"/>
          <w:lang w:eastAsia="ko-KR"/>
        </w:rPr>
        <w:t xml:space="preserve"> Open-contact current statistics at PLC = 1. Signed-current statistics were calculated across the 121-point programmed gate sweep from −3 to +3 V at V</w:t>
      </w:r>
      <w:r w:rsidRPr="0015183E">
        <w:rPr>
          <w:rFonts w:ascii="Times New Roman" w:eastAsia="바탕" w:hAnsi="Times New Roman"/>
          <w:color w:val="000000" w:themeColor="text1"/>
          <w:sz w:val="22"/>
          <w:szCs w:val="22"/>
          <w:vertAlign w:val="subscript"/>
          <w:lang w:eastAsia="ko-KR"/>
        </w:rPr>
        <w:t>D</w:t>
      </w:r>
      <w:r w:rsidRPr="0015183E">
        <w:rPr>
          <w:rFonts w:ascii="Times New Roman" w:eastAsia="바탕" w:hAnsi="Times New Roman"/>
          <w:color w:val="000000" w:themeColor="text1"/>
          <w:sz w:val="22"/>
          <w:szCs w:val="22"/>
          <w:lang w:eastAsia="ko-KR"/>
        </w:rPr>
        <w:t xml:space="preserve"> = −0.1 V with all probe contacts disconnected. The standard deviation describes variation across this sweep and is not an instrument accuracy specification.</w:t>
      </w:r>
    </w:p>
    <w:p w14:paraId="4A6B8268" w14:textId="1976AD5F" w:rsidR="00300B23" w:rsidRPr="0015183E" w:rsidRDefault="00300B23">
      <w:pPr>
        <w:rPr>
          <w:rFonts w:ascii="Times New Roman" w:hAnsi="Times New Roman"/>
          <w:color w:val="000000" w:themeColor="text1"/>
          <w:sz w:val="24"/>
          <w:lang w:eastAsia="ko-KR"/>
        </w:rPr>
      </w:pPr>
      <w:r w:rsidRPr="0015183E">
        <w:rPr>
          <w:rFonts w:ascii="Times New Roman" w:hAnsi="Times New Roman"/>
          <w:color w:val="000000" w:themeColor="text1"/>
          <w:lang w:eastAsia="ko-KR"/>
        </w:rPr>
        <w:br w:type="page"/>
      </w:r>
    </w:p>
    <w:p w14:paraId="11454C82" w14:textId="77777777" w:rsidR="00300B23" w:rsidRPr="0015183E" w:rsidRDefault="00300B23" w:rsidP="00525477">
      <w:pPr>
        <w:pStyle w:val="VAFigureCaption"/>
        <w:rPr>
          <w:rFonts w:ascii="Times New Roman" w:hAnsi="Times New Roman"/>
          <w:b/>
          <w:bCs/>
          <w:color w:val="000000" w:themeColor="text1"/>
          <w:sz w:val="22"/>
          <w:szCs w:val="22"/>
        </w:rPr>
      </w:pPr>
      <w:r w:rsidRPr="0015183E">
        <w:rPr>
          <w:rFonts w:ascii="Times New Roman" w:hAnsi="Times New Roman"/>
          <w:b/>
          <w:bCs/>
          <w:color w:val="000000" w:themeColor="text1"/>
          <w:sz w:val="22"/>
          <w:szCs w:val="22"/>
        </w:rPr>
        <w:lastRenderedPageBreak/>
        <w:t>Circuit-footprint estimates under matched layout conventions</w:t>
      </w:r>
    </w:p>
    <w:p w14:paraId="2A94E35B"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b/>
          <w:bCs/>
          <w:color w:val="000000" w:themeColor="text1"/>
          <w:sz w:val="22"/>
          <w:szCs w:val="22"/>
        </w:rPr>
        <w:t>Supplementary Table 5</w:t>
      </w:r>
      <w:r w:rsidRPr="0015183E">
        <w:rPr>
          <w:rFonts w:ascii="Times New Roman" w:hAnsi="Times New Roman"/>
          <w:color w:val="000000" w:themeColor="text1"/>
          <w:sz w:val="22"/>
          <w:szCs w:val="22"/>
        </w:rPr>
        <w:t xml:space="preserve"> summarizes the footprint calculations for the vertical and lateral inverter references in </w:t>
      </w:r>
      <w:r w:rsidRPr="0015183E">
        <w:rPr>
          <w:rFonts w:ascii="Times New Roman" w:hAnsi="Times New Roman"/>
          <w:b/>
          <w:bCs/>
          <w:color w:val="000000" w:themeColor="text1"/>
          <w:sz w:val="22"/>
          <w:szCs w:val="22"/>
        </w:rPr>
        <w:t>Supplementary Fig. 13</w:t>
      </w:r>
      <w:r w:rsidRPr="0015183E">
        <w:rPr>
          <w:rFonts w:ascii="Times New Roman" w:hAnsi="Times New Roman"/>
          <w:color w:val="000000" w:themeColor="text1"/>
          <w:sz w:val="22"/>
          <w:szCs w:val="22"/>
        </w:rPr>
        <w:t>. The vertical unit-cell reference corresponds to the fabricated inverter containing a vertically stacked NTC transistor and a separate n-type CNT pull-down. The lateral reference places the two constituent channels of the NTC pull-up at separate lateral positions while retaining the same channel dimensions, separate pull-down and input-control topology. The lateral counterpart has not been fabricated.</w:t>
      </w:r>
    </w:p>
    <w:p w14:paraId="2CE2E284"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 documented cell envelopes are 900 × 1,200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for the vertical reference and 900 × 1,600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for the lateral reference. These dimensions include the contact-landing and supply-routing regions retained in the comparison. The corresponding areas are 1.08 and 1.44 mm², giving a 25% reduction in the assessed inverter footprint and a density ratio of 1.33. The calculation therefore concerns the inverter layout rather than the sum of CNT-channel areas alone.</w:t>
      </w:r>
    </w:p>
    <w:p w14:paraId="1718AE3C"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For the four- and eight-stage arrangements, the unit cells were repeated with a common inter-cell gap of 50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xml:space="preserve">. The row width was calculated as 900N + 50(N − 1) </w:t>
      </w:r>
      <w:proofErr w:type="spellStart"/>
      <w:r w:rsidRPr="0015183E">
        <w:rPr>
          <w:rFonts w:ascii="Times New Roman" w:hAnsi="Times New Roman"/>
          <w:color w:val="000000" w:themeColor="text1"/>
          <w:sz w:val="22"/>
          <w:szCs w:val="22"/>
        </w:rPr>
        <w:t>μm</w:t>
      </w:r>
      <w:proofErr w:type="spellEnd"/>
      <w:r w:rsidRPr="0015183E">
        <w:rPr>
          <w:rFonts w:ascii="Times New Roman" w:hAnsi="Times New Roman"/>
          <w:color w:val="000000" w:themeColor="text1"/>
          <w:sz w:val="22"/>
          <w:szCs w:val="22"/>
        </w:rPr>
        <w:t>, where N is the number of stages, and multiplied by the corresponding cell height. The resulting vertical/lateral areas are 4.50/6.00 mm² for four stages and 9.06/12.08 mm² for eight stages. The reduction remains 25% in this repeated-cell model because both arrangements use the same row width and retain their respective unit-cell heights.</w:t>
      </w:r>
    </w:p>
    <w:p w14:paraId="28E0E3D4" w14:textId="77777777" w:rsidR="00300B23" w:rsidRPr="0015183E" w:rsidRDefault="00300B23" w:rsidP="00525477">
      <w:pPr>
        <w:pStyle w:val="VAFigureCaption"/>
        <w:ind w:firstLineChars="100" w:firstLine="220"/>
        <w:rPr>
          <w:rFonts w:ascii="Times New Roman" w:hAnsi="Times New Roman"/>
          <w:color w:val="000000" w:themeColor="text1"/>
          <w:sz w:val="22"/>
          <w:szCs w:val="22"/>
        </w:rPr>
      </w:pPr>
      <w:r w:rsidRPr="0015183E">
        <w:rPr>
          <w:rFonts w:ascii="Times New Roman" w:hAnsi="Times New Roman"/>
          <w:color w:val="000000" w:themeColor="text1"/>
          <w:sz w:val="22"/>
          <w:szCs w:val="22"/>
        </w:rPr>
        <w:t xml:space="preserve">The table uses the documented envelopes without an additional routing-height allowance. It therefore reports layout-derived multistage estimates rather than measured areas of fabricated cascades or routing-verified implementations. Sensitivity to additional in-plane routing space is evaluated separately in </w:t>
      </w:r>
      <w:r w:rsidRPr="0015183E">
        <w:rPr>
          <w:rFonts w:ascii="Times New Roman" w:hAnsi="Times New Roman"/>
          <w:b/>
          <w:bCs/>
          <w:color w:val="000000" w:themeColor="text1"/>
          <w:sz w:val="22"/>
          <w:szCs w:val="22"/>
        </w:rPr>
        <w:t>Supplementary Fig. 13d</w:t>
      </w:r>
      <w:r w:rsidRPr="0015183E">
        <w:rPr>
          <w:rFonts w:ascii="Times New Roman" w:hAnsi="Times New Roman"/>
          <w:color w:val="000000" w:themeColor="text1"/>
          <w:sz w:val="22"/>
          <w:szCs w:val="22"/>
        </w:rPr>
        <w:t>. This separation identifies which values follow directly from the stated cell dimensions and which depend on further routing assumptions.</w:t>
      </w:r>
    </w:p>
    <w:p w14:paraId="78E5C3F7" w14:textId="11BDF07C" w:rsidR="00300B23" w:rsidRPr="0015183E" w:rsidRDefault="00300B23" w:rsidP="003711F9">
      <w:pPr>
        <w:pStyle w:val="10"/>
        <w:rPr>
          <w:rFonts w:ascii="Times New Roman" w:hAnsi="Times New Roman"/>
          <w:color w:val="000000" w:themeColor="text1"/>
          <w:lang w:eastAsia="ko-KR"/>
        </w:rPr>
      </w:pPr>
    </w:p>
    <w:tbl>
      <w:tblPr>
        <w:tblStyle w:val="af1"/>
        <w:tblW w:w="0" w:type="auto"/>
        <w:tblLook w:val="04A0" w:firstRow="1" w:lastRow="0" w:firstColumn="1" w:lastColumn="0" w:noHBand="0" w:noVBand="1"/>
      </w:tblPr>
      <w:tblGrid>
        <w:gridCol w:w="1335"/>
        <w:gridCol w:w="1336"/>
        <w:gridCol w:w="1336"/>
        <w:gridCol w:w="1335"/>
        <w:gridCol w:w="1336"/>
        <w:gridCol w:w="1336"/>
        <w:gridCol w:w="1336"/>
      </w:tblGrid>
      <w:tr w:rsidR="0015183E" w:rsidRPr="0015183E" w14:paraId="36FFFEE4" w14:textId="77777777" w:rsidTr="00597C3F">
        <w:trPr>
          <w:trHeight w:val="523"/>
        </w:trPr>
        <w:tc>
          <w:tcPr>
            <w:tcW w:w="1335" w:type="dxa"/>
            <w:shd w:val="clear" w:color="auto" w:fill="D9D9D9" w:themeFill="background1" w:themeFillShade="D9"/>
            <w:vAlign w:val="center"/>
            <w:hideMark/>
          </w:tcPr>
          <w:p w14:paraId="0D642304"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lastRenderedPageBreak/>
              <w:t>Stages, N</w:t>
            </w:r>
          </w:p>
        </w:tc>
        <w:tc>
          <w:tcPr>
            <w:tcW w:w="1336" w:type="dxa"/>
            <w:shd w:val="clear" w:color="auto" w:fill="D9D9D9" w:themeFill="background1" w:themeFillShade="D9"/>
            <w:vAlign w:val="center"/>
            <w:hideMark/>
          </w:tcPr>
          <w:p w14:paraId="559FF671"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Row width (</w:t>
            </w:r>
            <w:proofErr w:type="spellStart"/>
            <w:r w:rsidRPr="0015183E">
              <w:rPr>
                <w:rFonts w:ascii="Times New Roman" w:eastAsia="굴림" w:hAnsi="Times New Roman"/>
                <w:b/>
                <w:bCs/>
                <w:color w:val="000000" w:themeColor="text1"/>
                <w:sz w:val="16"/>
                <w:szCs w:val="16"/>
                <w:lang w:eastAsia="ko-KR"/>
              </w:rPr>
              <w:t>μm</w:t>
            </w:r>
            <w:proofErr w:type="spellEnd"/>
            <w:r w:rsidRPr="0015183E">
              <w:rPr>
                <w:rFonts w:ascii="Times New Roman" w:eastAsia="굴림" w:hAnsi="Times New Roman"/>
                <w:b/>
                <w:bCs/>
                <w:color w:val="000000" w:themeColor="text1"/>
                <w:sz w:val="16"/>
                <w:szCs w:val="16"/>
                <w:lang w:eastAsia="ko-KR"/>
              </w:rPr>
              <w:t>)</w:t>
            </w:r>
          </w:p>
        </w:tc>
        <w:tc>
          <w:tcPr>
            <w:tcW w:w="1336" w:type="dxa"/>
            <w:shd w:val="clear" w:color="auto" w:fill="D9D9D9" w:themeFill="background1" w:themeFillShade="D9"/>
            <w:vAlign w:val="center"/>
            <w:hideMark/>
          </w:tcPr>
          <w:p w14:paraId="74BE2A69"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Vertical height (</w:t>
            </w:r>
            <w:proofErr w:type="spellStart"/>
            <w:r w:rsidRPr="0015183E">
              <w:rPr>
                <w:rFonts w:ascii="Times New Roman" w:eastAsia="굴림" w:hAnsi="Times New Roman"/>
                <w:b/>
                <w:bCs/>
                <w:color w:val="000000" w:themeColor="text1"/>
                <w:sz w:val="16"/>
                <w:szCs w:val="16"/>
                <w:lang w:eastAsia="ko-KR"/>
              </w:rPr>
              <w:t>μm</w:t>
            </w:r>
            <w:proofErr w:type="spellEnd"/>
            <w:r w:rsidRPr="0015183E">
              <w:rPr>
                <w:rFonts w:ascii="Times New Roman" w:eastAsia="굴림" w:hAnsi="Times New Roman"/>
                <w:b/>
                <w:bCs/>
                <w:color w:val="000000" w:themeColor="text1"/>
                <w:sz w:val="16"/>
                <w:szCs w:val="16"/>
                <w:lang w:eastAsia="ko-KR"/>
              </w:rPr>
              <w:t>)</w:t>
            </w:r>
          </w:p>
        </w:tc>
        <w:tc>
          <w:tcPr>
            <w:tcW w:w="1335" w:type="dxa"/>
            <w:shd w:val="clear" w:color="auto" w:fill="D9D9D9" w:themeFill="background1" w:themeFillShade="D9"/>
            <w:vAlign w:val="center"/>
            <w:hideMark/>
          </w:tcPr>
          <w:p w14:paraId="3E6DE46C"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Lateral height (</w:t>
            </w:r>
            <w:proofErr w:type="spellStart"/>
            <w:r w:rsidRPr="0015183E">
              <w:rPr>
                <w:rFonts w:ascii="Times New Roman" w:eastAsia="굴림" w:hAnsi="Times New Roman"/>
                <w:b/>
                <w:bCs/>
                <w:color w:val="000000" w:themeColor="text1"/>
                <w:sz w:val="16"/>
                <w:szCs w:val="16"/>
                <w:lang w:eastAsia="ko-KR"/>
              </w:rPr>
              <w:t>μm</w:t>
            </w:r>
            <w:proofErr w:type="spellEnd"/>
            <w:r w:rsidRPr="0015183E">
              <w:rPr>
                <w:rFonts w:ascii="Times New Roman" w:eastAsia="굴림" w:hAnsi="Times New Roman"/>
                <w:b/>
                <w:bCs/>
                <w:color w:val="000000" w:themeColor="text1"/>
                <w:sz w:val="16"/>
                <w:szCs w:val="16"/>
                <w:lang w:eastAsia="ko-KR"/>
              </w:rPr>
              <w:t>)</w:t>
            </w:r>
          </w:p>
        </w:tc>
        <w:tc>
          <w:tcPr>
            <w:tcW w:w="1336" w:type="dxa"/>
            <w:shd w:val="clear" w:color="auto" w:fill="D9D9D9" w:themeFill="background1" w:themeFillShade="D9"/>
            <w:vAlign w:val="center"/>
            <w:hideMark/>
          </w:tcPr>
          <w:p w14:paraId="18E0DAD4"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Vertical area (mm²)</w:t>
            </w:r>
          </w:p>
        </w:tc>
        <w:tc>
          <w:tcPr>
            <w:tcW w:w="1336" w:type="dxa"/>
            <w:shd w:val="clear" w:color="auto" w:fill="D9D9D9" w:themeFill="background1" w:themeFillShade="D9"/>
            <w:vAlign w:val="center"/>
            <w:hideMark/>
          </w:tcPr>
          <w:p w14:paraId="0537B775"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Lateral area (mm²)</w:t>
            </w:r>
          </w:p>
        </w:tc>
        <w:tc>
          <w:tcPr>
            <w:tcW w:w="1336" w:type="dxa"/>
            <w:shd w:val="clear" w:color="auto" w:fill="D9D9D9" w:themeFill="background1" w:themeFillShade="D9"/>
            <w:vAlign w:val="center"/>
            <w:hideMark/>
          </w:tcPr>
          <w:p w14:paraId="4585BF12"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Reduction</w:t>
            </w:r>
          </w:p>
        </w:tc>
      </w:tr>
      <w:tr w:rsidR="0015183E" w:rsidRPr="0015183E" w14:paraId="21D0F895" w14:textId="77777777" w:rsidTr="00597C3F">
        <w:trPr>
          <w:trHeight w:val="523"/>
        </w:trPr>
        <w:tc>
          <w:tcPr>
            <w:tcW w:w="1335" w:type="dxa"/>
            <w:shd w:val="clear" w:color="auto" w:fill="D9D9D9" w:themeFill="background1" w:themeFillShade="D9"/>
            <w:vAlign w:val="center"/>
            <w:hideMark/>
          </w:tcPr>
          <w:p w14:paraId="15E23324"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1</w:t>
            </w:r>
          </w:p>
        </w:tc>
        <w:tc>
          <w:tcPr>
            <w:tcW w:w="1336" w:type="dxa"/>
            <w:vAlign w:val="center"/>
            <w:hideMark/>
          </w:tcPr>
          <w:p w14:paraId="21D0BC67"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900</w:t>
            </w:r>
          </w:p>
        </w:tc>
        <w:tc>
          <w:tcPr>
            <w:tcW w:w="1336" w:type="dxa"/>
            <w:vAlign w:val="center"/>
            <w:hideMark/>
          </w:tcPr>
          <w:p w14:paraId="5FD88A77"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1,200</w:t>
            </w:r>
          </w:p>
        </w:tc>
        <w:tc>
          <w:tcPr>
            <w:tcW w:w="1335" w:type="dxa"/>
            <w:vAlign w:val="center"/>
            <w:hideMark/>
          </w:tcPr>
          <w:p w14:paraId="1144E946"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1,600</w:t>
            </w:r>
          </w:p>
        </w:tc>
        <w:tc>
          <w:tcPr>
            <w:tcW w:w="1336" w:type="dxa"/>
            <w:vAlign w:val="center"/>
            <w:hideMark/>
          </w:tcPr>
          <w:p w14:paraId="1BB5E771"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1.08</w:t>
            </w:r>
          </w:p>
        </w:tc>
        <w:tc>
          <w:tcPr>
            <w:tcW w:w="1336" w:type="dxa"/>
            <w:vAlign w:val="center"/>
            <w:hideMark/>
          </w:tcPr>
          <w:p w14:paraId="2C7C98B1"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1.44</w:t>
            </w:r>
          </w:p>
        </w:tc>
        <w:tc>
          <w:tcPr>
            <w:tcW w:w="1336" w:type="dxa"/>
            <w:vAlign w:val="center"/>
            <w:hideMark/>
          </w:tcPr>
          <w:p w14:paraId="42FA9272"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25.0%</w:t>
            </w:r>
          </w:p>
        </w:tc>
      </w:tr>
      <w:tr w:rsidR="0015183E" w:rsidRPr="0015183E" w14:paraId="1E61CB05" w14:textId="77777777" w:rsidTr="00597C3F">
        <w:trPr>
          <w:trHeight w:val="523"/>
        </w:trPr>
        <w:tc>
          <w:tcPr>
            <w:tcW w:w="1335" w:type="dxa"/>
            <w:shd w:val="clear" w:color="auto" w:fill="D9D9D9" w:themeFill="background1" w:themeFillShade="D9"/>
            <w:vAlign w:val="center"/>
            <w:hideMark/>
          </w:tcPr>
          <w:p w14:paraId="68DD2572"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4</w:t>
            </w:r>
          </w:p>
        </w:tc>
        <w:tc>
          <w:tcPr>
            <w:tcW w:w="1336" w:type="dxa"/>
            <w:vAlign w:val="center"/>
            <w:hideMark/>
          </w:tcPr>
          <w:p w14:paraId="06F284E6"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3,750</w:t>
            </w:r>
          </w:p>
        </w:tc>
        <w:tc>
          <w:tcPr>
            <w:tcW w:w="1336" w:type="dxa"/>
            <w:vAlign w:val="center"/>
            <w:hideMark/>
          </w:tcPr>
          <w:p w14:paraId="20E1100C"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1,200</w:t>
            </w:r>
          </w:p>
        </w:tc>
        <w:tc>
          <w:tcPr>
            <w:tcW w:w="1335" w:type="dxa"/>
            <w:vAlign w:val="center"/>
            <w:hideMark/>
          </w:tcPr>
          <w:p w14:paraId="75316171"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1,600</w:t>
            </w:r>
          </w:p>
        </w:tc>
        <w:tc>
          <w:tcPr>
            <w:tcW w:w="1336" w:type="dxa"/>
            <w:vAlign w:val="center"/>
            <w:hideMark/>
          </w:tcPr>
          <w:p w14:paraId="02741807"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4.50</w:t>
            </w:r>
          </w:p>
        </w:tc>
        <w:tc>
          <w:tcPr>
            <w:tcW w:w="1336" w:type="dxa"/>
            <w:vAlign w:val="center"/>
            <w:hideMark/>
          </w:tcPr>
          <w:p w14:paraId="3ACA6E47"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6.00</w:t>
            </w:r>
          </w:p>
        </w:tc>
        <w:tc>
          <w:tcPr>
            <w:tcW w:w="1336" w:type="dxa"/>
            <w:vAlign w:val="center"/>
            <w:hideMark/>
          </w:tcPr>
          <w:p w14:paraId="02F57A4F"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25.0%</w:t>
            </w:r>
          </w:p>
        </w:tc>
      </w:tr>
      <w:tr w:rsidR="0015183E" w:rsidRPr="0015183E" w14:paraId="529896F6" w14:textId="77777777" w:rsidTr="00597C3F">
        <w:trPr>
          <w:trHeight w:val="523"/>
        </w:trPr>
        <w:tc>
          <w:tcPr>
            <w:tcW w:w="1335" w:type="dxa"/>
            <w:shd w:val="clear" w:color="auto" w:fill="D9D9D9" w:themeFill="background1" w:themeFillShade="D9"/>
            <w:vAlign w:val="center"/>
            <w:hideMark/>
          </w:tcPr>
          <w:p w14:paraId="28B639A4" w14:textId="77777777" w:rsidR="00432605" w:rsidRPr="0015183E" w:rsidRDefault="00432605" w:rsidP="00597C3F">
            <w:pPr>
              <w:widowControl w:val="0"/>
              <w:jc w:val="center"/>
              <w:rPr>
                <w:rFonts w:ascii="Times New Roman" w:eastAsia="굴림" w:hAnsi="Times New Roman"/>
                <w:b/>
                <w:bCs/>
                <w:color w:val="000000" w:themeColor="text1"/>
                <w:sz w:val="16"/>
                <w:szCs w:val="16"/>
                <w:lang w:eastAsia="ko-KR"/>
              </w:rPr>
            </w:pPr>
            <w:r w:rsidRPr="0015183E">
              <w:rPr>
                <w:rFonts w:ascii="Times New Roman" w:eastAsia="굴림" w:hAnsi="Times New Roman"/>
                <w:b/>
                <w:bCs/>
                <w:color w:val="000000" w:themeColor="text1"/>
                <w:sz w:val="16"/>
                <w:szCs w:val="16"/>
                <w:lang w:eastAsia="ko-KR"/>
              </w:rPr>
              <w:t>8</w:t>
            </w:r>
          </w:p>
        </w:tc>
        <w:tc>
          <w:tcPr>
            <w:tcW w:w="1336" w:type="dxa"/>
            <w:vAlign w:val="center"/>
            <w:hideMark/>
          </w:tcPr>
          <w:p w14:paraId="71CE033F"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7,550</w:t>
            </w:r>
          </w:p>
        </w:tc>
        <w:tc>
          <w:tcPr>
            <w:tcW w:w="1336" w:type="dxa"/>
            <w:vAlign w:val="center"/>
            <w:hideMark/>
          </w:tcPr>
          <w:p w14:paraId="075F6A59"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1,200</w:t>
            </w:r>
          </w:p>
        </w:tc>
        <w:tc>
          <w:tcPr>
            <w:tcW w:w="1335" w:type="dxa"/>
            <w:vAlign w:val="center"/>
            <w:hideMark/>
          </w:tcPr>
          <w:p w14:paraId="727F7F84"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1,600</w:t>
            </w:r>
          </w:p>
        </w:tc>
        <w:tc>
          <w:tcPr>
            <w:tcW w:w="1336" w:type="dxa"/>
            <w:vAlign w:val="center"/>
            <w:hideMark/>
          </w:tcPr>
          <w:p w14:paraId="204BEB15"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9.06</w:t>
            </w:r>
          </w:p>
        </w:tc>
        <w:tc>
          <w:tcPr>
            <w:tcW w:w="1336" w:type="dxa"/>
            <w:vAlign w:val="center"/>
            <w:hideMark/>
          </w:tcPr>
          <w:p w14:paraId="1B864F7C"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12.08</w:t>
            </w:r>
          </w:p>
        </w:tc>
        <w:tc>
          <w:tcPr>
            <w:tcW w:w="1336" w:type="dxa"/>
            <w:vAlign w:val="center"/>
            <w:hideMark/>
          </w:tcPr>
          <w:p w14:paraId="0AA40D22" w14:textId="77777777" w:rsidR="00432605" w:rsidRPr="0015183E" w:rsidRDefault="00432605" w:rsidP="00597C3F">
            <w:pPr>
              <w:widowControl w:val="0"/>
              <w:jc w:val="center"/>
              <w:rPr>
                <w:rFonts w:ascii="Times New Roman" w:eastAsia="굴림" w:hAnsi="Times New Roman"/>
                <w:color w:val="000000" w:themeColor="text1"/>
                <w:sz w:val="16"/>
                <w:szCs w:val="16"/>
                <w:lang w:eastAsia="ko-KR"/>
              </w:rPr>
            </w:pPr>
            <w:r w:rsidRPr="0015183E">
              <w:rPr>
                <w:rFonts w:ascii="Times New Roman" w:eastAsia="굴림" w:hAnsi="Times New Roman"/>
                <w:color w:val="000000" w:themeColor="text1"/>
                <w:sz w:val="16"/>
                <w:szCs w:val="16"/>
                <w:lang w:eastAsia="ko-KR"/>
              </w:rPr>
              <w:t>25.0%</w:t>
            </w:r>
          </w:p>
        </w:tc>
      </w:tr>
    </w:tbl>
    <w:p w14:paraId="03EAC627" w14:textId="39CD7105" w:rsidR="00210E09" w:rsidRPr="0015183E" w:rsidRDefault="00210E09" w:rsidP="00525477">
      <w:pPr>
        <w:pStyle w:val="VAFigureCaption"/>
        <w:spacing w:line="360" w:lineRule="auto"/>
        <w:rPr>
          <w:rFonts w:ascii="Times New Roman" w:eastAsia="바탕" w:hAnsi="Times New Roman"/>
          <w:color w:val="000000" w:themeColor="text1"/>
          <w:sz w:val="22"/>
          <w:szCs w:val="22"/>
          <w:lang w:eastAsia="ko-KR"/>
        </w:rPr>
      </w:pPr>
      <w:r w:rsidRPr="0015183E">
        <w:rPr>
          <w:rFonts w:ascii="Times New Roman" w:eastAsia="바탕" w:hAnsi="Times New Roman"/>
          <w:b/>
          <w:bCs/>
          <w:color w:val="000000" w:themeColor="text1"/>
          <w:sz w:val="22"/>
          <w:szCs w:val="22"/>
          <w:lang w:eastAsia="ko-KR"/>
        </w:rPr>
        <w:t xml:space="preserve">Supplementary Table 5. </w:t>
      </w:r>
      <w:r w:rsidRPr="0015183E">
        <w:rPr>
          <w:rFonts w:ascii="Times New Roman" w:eastAsia="바탕" w:hAnsi="Times New Roman"/>
          <w:color w:val="000000" w:themeColor="text1"/>
          <w:sz w:val="22"/>
          <w:szCs w:val="22"/>
          <w:lang w:eastAsia="ko-KR"/>
        </w:rPr>
        <w:t xml:space="preserve">Footprints calculated using the matched repeated-cell layout convention. Row widths were calculated as 900N + 50(N − 1) </w:t>
      </w:r>
      <w:proofErr w:type="spellStart"/>
      <w:r w:rsidRPr="0015183E">
        <w:rPr>
          <w:rFonts w:ascii="Times New Roman" w:eastAsia="바탕" w:hAnsi="Times New Roman"/>
          <w:color w:val="000000" w:themeColor="text1"/>
          <w:sz w:val="22"/>
          <w:szCs w:val="22"/>
          <w:lang w:eastAsia="ko-KR"/>
        </w:rPr>
        <w:t>μm</w:t>
      </w:r>
      <w:proofErr w:type="spellEnd"/>
      <w:r w:rsidRPr="0015183E">
        <w:rPr>
          <w:rFonts w:ascii="Times New Roman" w:eastAsia="바탕" w:hAnsi="Times New Roman"/>
          <w:color w:val="000000" w:themeColor="text1"/>
          <w:sz w:val="22"/>
          <w:szCs w:val="22"/>
          <w:lang w:eastAsia="ko-KR"/>
        </w:rPr>
        <w:t>. The listed areas use the documented unit-cell heights without an additional routing-height allowance. The single-cell vertical reference corresponds to the fabricated inverter layout, whereas the lateral counterpart and multistage extensions are design estimates.</w:t>
      </w:r>
    </w:p>
    <w:p w14:paraId="01655CBA" w14:textId="77777777" w:rsidR="009B58A8" w:rsidRPr="0015183E" w:rsidRDefault="009B58A8" w:rsidP="003711F9">
      <w:pPr>
        <w:rPr>
          <w:rFonts w:ascii="Times New Roman" w:hAnsi="Times New Roman"/>
          <w:color w:val="000000" w:themeColor="text1"/>
          <w:sz w:val="24"/>
          <w:lang w:eastAsia="ko-KR"/>
        </w:rPr>
      </w:pPr>
      <w:r w:rsidRPr="0015183E">
        <w:rPr>
          <w:rFonts w:ascii="Times New Roman" w:hAnsi="Times New Roman"/>
          <w:color w:val="000000" w:themeColor="text1"/>
          <w:lang w:eastAsia="ko-KR"/>
        </w:rPr>
        <w:br w:type="page"/>
      </w:r>
    </w:p>
    <w:p w14:paraId="76538144" w14:textId="77777777" w:rsidR="009B58A8" w:rsidRPr="0015183E" w:rsidRDefault="009B58A8" w:rsidP="003711F9">
      <w:pPr>
        <w:pStyle w:val="10"/>
        <w:spacing w:line="480" w:lineRule="auto"/>
        <w:rPr>
          <w:rFonts w:ascii="Times New Roman" w:hAnsi="Times New Roman"/>
          <w:b/>
          <w:bCs/>
          <w:color w:val="000000" w:themeColor="text1"/>
          <w:szCs w:val="24"/>
          <w:lang w:eastAsia="ko-KR"/>
        </w:rPr>
      </w:pPr>
      <w:r w:rsidRPr="0015183E">
        <w:rPr>
          <w:rFonts w:ascii="Times New Roman" w:hAnsi="Times New Roman"/>
          <w:b/>
          <w:bCs/>
          <w:color w:val="000000" w:themeColor="text1"/>
          <w:szCs w:val="24"/>
          <w:lang w:eastAsia="ko-KR"/>
        </w:rPr>
        <w:lastRenderedPageBreak/>
        <w:t>REFERENCES</w:t>
      </w:r>
    </w:p>
    <w:p w14:paraId="7C92F733"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(1)</w:t>
      </w:r>
      <w:r w:rsidRPr="0015183E">
        <w:rPr>
          <w:rFonts w:ascii="Times New Roman" w:hAnsi="Times New Roman"/>
          <w:color w:val="000000" w:themeColor="text1"/>
          <w:sz w:val="22"/>
          <w:szCs w:val="22"/>
          <w:lang w:eastAsia="ko-KR"/>
        </w:rPr>
        <w:t xml:space="preserve"> </w:t>
      </w:r>
      <w:proofErr w:type="spellStart"/>
      <w:r w:rsidRPr="0015183E">
        <w:rPr>
          <w:rFonts w:ascii="Times New Roman" w:eastAsia="Times New Roman" w:hAnsi="Times New Roman"/>
          <w:color w:val="000000" w:themeColor="text1"/>
          <w:sz w:val="22"/>
          <w:szCs w:val="22"/>
        </w:rPr>
        <w:t>Jorio</w:t>
      </w:r>
      <w:proofErr w:type="spellEnd"/>
      <w:r w:rsidRPr="0015183E">
        <w:rPr>
          <w:rFonts w:ascii="Times New Roman" w:eastAsia="Times New Roman" w:hAnsi="Times New Roman"/>
          <w:color w:val="000000" w:themeColor="text1"/>
          <w:sz w:val="22"/>
          <w:szCs w:val="22"/>
        </w:rPr>
        <w:t xml:space="preserve">, A. et al. G-band resonant Raman study of 62 isolated single-wall carbon nanotubes. </w:t>
      </w:r>
      <w:r w:rsidRPr="0015183E">
        <w:rPr>
          <w:rFonts w:ascii="Times New Roman" w:eastAsia="Times New Roman" w:hAnsi="Times New Roman"/>
          <w:i/>
          <w:iCs/>
          <w:color w:val="000000" w:themeColor="text1"/>
          <w:sz w:val="22"/>
          <w:szCs w:val="22"/>
        </w:rPr>
        <w:t>Phys. Rev. B</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65</w:t>
      </w:r>
      <w:r w:rsidRPr="0015183E">
        <w:rPr>
          <w:rFonts w:ascii="Times New Roman" w:eastAsia="Times New Roman" w:hAnsi="Times New Roman"/>
          <w:color w:val="000000" w:themeColor="text1"/>
          <w:sz w:val="22"/>
          <w:szCs w:val="22"/>
        </w:rPr>
        <w:t>, 155412 (2002).</w:t>
      </w:r>
    </w:p>
    <w:p w14:paraId="2D225624"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(2)</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Miyata, Y., Mizuno, K. &amp; </w:t>
      </w:r>
      <w:proofErr w:type="spellStart"/>
      <w:r w:rsidRPr="0015183E">
        <w:rPr>
          <w:rFonts w:ascii="Times New Roman" w:eastAsia="Times New Roman" w:hAnsi="Times New Roman"/>
          <w:color w:val="000000" w:themeColor="text1"/>
          <w:sz w:val="22"/>
          <w:szCs w:val="22"/>
        </w:rPr>
        <w:t>Kataura</w:t>
      </w:r>
      <w:proofErr w:type="spellEnd"/>
      <w:r w:rsidRPr="0015183E">
        <w:rPr>
          <w:rFonts w:ascii="Times New Roman" w:eastAsia="Times New Roman" w:hAnsi="Times New Roman"/>
          <w:color w:val="000000" w:themeColor="text1"/>
          <w:sz w:val="22"/>
          <w:szCs w:val="22"/>
        </w:rPr>
        <w:t xml:space="preserve">, H. Purity and defect characterization of single-wall carbon nanotubes using Raman spectroscopy. </w:t>
      </w:r>
      <w:r w:rsidRPr="0015183E">
        <w:rPr>
          <w:rFonts w:ascii="Times New Roman" w:eastAsia="Times New Roman" w:hAnsi="Times New Roman"/>
          <w:i/>
          <w:iCs/>
          <w:color w:val="000000" w:themeColor="text1"/>
          <w:sz w:val="22"/>
          <w:szCs w:val="22"/>
        </w:rPr>
        <w:t xml:space="preserve">J. </w:t>
      </w:r>
      <w:proofErr w:type="spellStart"/>
      <w:r w:rsidRPr="0015183E">
        <w:rPr>
          <w:rFonts w:ascii="Times New Roman" w:eastAsia="Times New Roman" w:hAnsi="Times New Roman"/>
          <w:i/>
          <w:iCs/>
          <w:color w:val="000000" w:themeColor="text1"/>
          <w:sz w:val="22"/>
          <w:szCs w:val="22"/>
        </w:rPr>
        <w:t>Nanomater</w:t>
      </w:r>
      <w:proofErr w:type="spellEnd"/>
      <w:r w:rsidRPr="0015183E">
        <w:rPr>
          <w:rFonts w:ascii="Times New Roman" w:eastAsia="Times New Roman" w:hAnsi="Times New Roman"/>
          <w:i/>
          <w:iCs/>
          <w:color w:val="000000" w:themeColor="text1"/>
          <w:sz w:val="22"/>
          <w:szCs w:val="22"/>
        </w:rPr>
        <w:t>.</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2011</w:t>
      </w:r>
      <w:r w:rsidRPr="0015183E">
        <w:rPr>
          <w:rFonts w:ascii="Times New Roman" w:eastAsia="Times New Roman" w:hAnsi="Times New Roman"/>
          <w:color w:val="000000" w:themeColor="text1"/>
          <w:sz w:val="22"/>
          <w:szCs w:val="22"/>
        </w:rPr>
        <w:t>, 786763 (2011).</w:t>
      </w:r>
    </w:p>
    <w:p w14:paraId="194F6B3D"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(3)</w:t>
      </w:r>
      <w:r w:rsidRPr="0015183E">
        <w:rPr>
          <w:rFonts w:ascii="Times New Roman" w:hAnsi="Times New Roman"/>
          <w:color w:val="000000" w:themeColor="text1"/>
          <w:sz w:val="22"/>
          <w:szCs w:val="22"/>
          <w:lang w:eastAsia="ko-KR"/>
        </w:rPr>
        <w:t xml:space="preserve"> </w:t>
      </w:r>
      <w:proofErr w:type="spellStart"/>
      <w:r w:rsidRPr="0015183E">
        <w:rPr>
          <w:rFonts w:ascii="Times New Roman" w:eastAsia="Times New Roman" w:hAnsi="Times New Roman"/>
          <w:color w:val="000000" w:themeColor="text1"/>
          <w:sz w:val="22"/>
          <w:szCs w:val="22"/>
        </w:rPr>
        <w:t>Jorio</w:t>
      </w:r>
      <w:proofErr w:type="spellEnd"/>
      <w:r w:rsidRPr="0015183E">
        <w:rPr>
          <w:rFonts w:ascii="Times New Roman" w:eastAsia="Times New Roman" w:hAnsi="Times New Roman"/>
          <w:color w:val="000000" w:themeColor="text1"/>
          <w:sz w:val="22"/>
          <w:szCs w:val="22"/>
        </w:rPr>
        <w:t>, A. et al. Structural (</w:t>
      </w:r>
      <w:proofErr w:type="spellStart"/>
      <w:proofErr w:type="gramStart"/>
      <w:r w:rsidRPr="0015183E">
        <w:rPr>
          <w:rFonts w:ascii="Times New Roman" w:eastAsia="Times New Roman" w:hAnsi="Times New Roman"/>
          <w:color w:val="000000" w:themeColor="text1"/>
          <w:sz w:val="22"/>
          <w:szCs w:val="22"/>
        </w:rPr>
        <w:t>n,m</w:t>
      </w:r>
      <w:proofErr w:type="spellEnd"/>
      <w:proofErr w:type="gramEnd"/>
      <w:r w:rsidRPr="0015183E">
        <w:rPr>
          <w:rFonts w:ascii="Times New Roman" w:eastAsia="Times New Roman" w:hAnsi="Times New Roman"/>
          <w:color w:val="000000" w:themeColor="text1"/>
          <w:sz w:val="22"/>
          <w:szCs w:val="22"/>
        </w:rPr>
        <w:t xml:space="preserve">) determination of isolated single-wall carbon nanotubes by resonant Raman scattering. </w:t>
      </w:r>
      <w:r w:rsidRPr="0015183E">
        <w:rPr>
          <w:rFonts w:ascii="Times New Roman" w:eastAsia="Times New Roman" w:hAnsi="Times New Roman"/>
          <w:i/>
          <w:iCs/>
          <w:color w:val="000000" w:themeColor="text1"/>
          <w:sz w:val="22"/>
          <w:szCs w:val="22"/>
        </w:rPr>
        <w:t>Phys. Rev. Lett.</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86</w:t>
      </w:r>
      <w:r w:rsidRPr="0015183E">
        <w:rPr>
          <w:rFonts w:ascii="Times New Roman" w:eastAsia="Times New Roman" w:hAnsi="Times New Roman"/>
          <w:color w:val="000000" w:themeColor="text1"/>
          <w:sz w:val="22"/>
          <w:szCs w:val="22"/>
        </w:rPr>
        <w:t>, 1118–1121 (2001).</w:t>
      </w:r>
    </w:p>
    <w:p w14:paraId="16D1B391"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(4)</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Tseng, Y.-C., </w:t>
      </w:r>
      <w:proofErr w:type="spellStart"/>
      <w:r w:rsidRPr="0015183E">
        <w:rPr>
          <w:rFonts w:ascii="Times New Roman" w:eastAsia="Times New Roman" w:hAnsi="Times New Roman"/>
          <w:color w:val="000000" w:themeColor="text1"/>
          <w:sz w:val="22"/>
          <w:szCs w:val="22"/>
        </w:rPr>
        <w:t>Phoa</w:t>
      </w:r>
      <w:proofErr w:type="spellEnd"/>
      <w:r w:rsidRPr="0015183E">
        <w:rPr>
          <w:rFonts w:ascii="Times New Roman" w:eastAsia="Times New Roman" w:hAnsi="Times New Roman"/>
          <w:color w:val="000000" w:themeColor="text1"/>
          <w:sz w:val="22"/>
          <w:szCs w:val="22"/>
        </w:rPr>
        <w:t xml:space="preserve">, K., Carlton, D. &amp; Bokor, J. Effect of diameter variation in a large set of carbon nanotube transistors. </w:t>
      </w:r>
      <w:r w:rsidRPr="0015183E">
        <w:rPr>
          <w:rFonts w:ascii="Times New Roman" w:eastAsia="Times New Roman" w:hAnsi="Times New Roman"/>
          <w:i/>
          <w:iCs/>
          <w:color w:val="000000" w:themeColor="text1"/>
          <w:sz w:val="22"/>
          <w:szCs w:val="22"/>
        </w:rPr>
        <w:t>Nano Lett.</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6</w:t>
      </w:r>
      <w:r w:rsidRPr="0015183E">
        <w:rPr>
          <w:rFonts w:ascii="Times New Roman" w:eastAsia="Times New Roman" w:hAnsi="Times New Roman"/>
          <w:color w:val="000000" w:themeColor="text1"/>
          <w:sz w:val="22"/>
          <w:szCs w:val="22"/>
        </w:rPr>
        <w:t>, 1364–1368 (2006).</w:t>
      </w:r>
    </w:p>
    <w:p w14:paraId="05E28231"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(5)</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Cao, Q. et al. Medium-scale carbon nanotube thin-film integrated circuits on flexible plastic substrates. </w:t>
      </w:r>
      <w:r w:rsidRPr="0015183E">
        <w:rPr>
          <w:rFonts w:ascii="Times New Roman" w:eastAsia="Times New Roman" w:hAnsi="Times New Roman"/>
          <w:i/>
          <w:iCs/>
          <w:color w:val="000000" w:themeColor="text1"/>
          <w:sz w:val="22"/>
          <w:szCs w:val="22"/>
        </w:rPr>
        <w:t>Nature</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454</w:t>
      </w:r>
      <w:r w:rsidRPr="0015183E">
        <w:rPr>
          <w:rFonts w:ascii="Times New Roman" w:eastAsia="Times New Roman" w:hAnsi="Times New Roman"/>
          <w:color w:val="000000" w:themeColor="text1"/>
          <w:sz w:val="22"/>
          <w:szCs w:val="22"/>
        </w:rPr>
        <w:t>, 495–500 (2008).</w:t>
      </w:r>
    </w:p>
    <w:p w14:paraId="5DA95456"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(6)</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Synopsys, Inc. </w:t>
      </w:r>
      <w:r w:rsidRPr="0015183E">
        <w:rPr>
          <w:rFonts w:ascii="Times New Roman" w:eastAsia="Times New Roman" w:hAnsi="Times New Roman"/>
          <w:i/>
          <w:iCs/>
          <w:color w:val="000000" w:themeColor="text1"/>
          <w:sz w:val="22"/>
          <w:szCs w:val="22"/>
        </w:rPr>
        <w:t>HSPICE MOSFET Models Manual</w:t>
      </w:r>
      <w:r w:rsidRPr="0015183E">
        <w:rPr>
          <w:rFonts w:ascii="Times New Roman" w:eastAsia="Times New Roman" w:hAnsi="Times New Roman"/>
          <w:color w:val="000000" w:themeColor="text1"/>
          <w:sz w:val="22"/>
          <w:szCs w:val="22"/>
        </w:rPr>
        <w:t>, Version X-2005.09 (Synopsys, 2005).</w:t>
      </w:r>
    </w:p>
    <w:p w14:paraId="44154C78" w14:textId="77777777" w:rsidR="009B58A8" w:rsidRPr="0015183E" w:rsidRDefault="009B58A8" w:rsidP="003711F9">
      <w:pPr>
        <w:pStyle w:val="10"/>
        <w:spacing w:line="480" w:lineRule="auto"/>
        <w:rPr>
          <w:rFonts w:ascii="Times New Roman" w:eastAsiaTheme="minorEastAsia"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(7)</w:t>
      </w:r>
      <w:r w:rsidRPr="0015183E">
        <w:rPr>
          <w:rFonts w:ascii="Times New Roman" w:hAnsi="Times New Roman"/>
          <w:color w:val="000000" w:themeColor="text1"/>
          <w:sz w:val="22"/>
          <w:szCs w:val="22"/>
          <w:lang w:eastAsia="ko-KR"/>
        </w:rPr>
        <w:t xml:space="preserve"> </w:t>
      </w:r>
      <w:proofErr w:type="spellStart"/>
      <w:r w:rsidRPr="0015183E">
        <w:rPr>
          <w:rFonts w:ascii="Times New Roman" w:eastAsia="Times New Roman" w:hAnsi="Times New Roman"/>
          <w:color w:val="000000" w:themeColor="text1"/>
          <w:sz w:val="22"/>
          <w:szCs w:val="22"/>
        </w:rPr>
        <w:t>Biercuk</w:t>
      </w:r>
      <w:proofErr w:type="spellEnd"/>
      <w:r w:rsidRPr="0015183E">
        <w:rPr>
          <w:rFonts w:ascii="Times New Roman" w:eastAsia="Times New Roman" w:hAnsi="Times New Roman"/>
          <w:color w:val="000000" w:themeColor="text1"/>
          <w:sz w:val="22"/>
          <w:szCs w:val="22"/>
        </w:rPr>
        <w:t xml:space="preserve">, M. J., </w:t>
      </w:r>
      <w:proofErr w:type="spellStart"/>
      <w:r w:rsidRPr="0015183E">
        <w:rPr>
          <w:rFonts w:ascii="Times New Roman" w:eastAsia="Times New Roman" w:hAnsi="Times New Roman"/>
          <w:color w:val="000000" w:themeColor="text1"/>
          <w:sz w:val="22"/>
          <w:szCs w:val="22"/>
        </w:rPr>
        <w:t>Monsma</w:t>
      </w:r>
      <w:proofErr w:type="spellEnd"/>
      <w:r w:rsidRPr="0015183E">
        <w:rPr>
          <w:rFonts w:ascii="Times New Roman" w:eastAsia="Times New Roman" w:hAnsi="Times New Roman"/>
          <w:color w:val="000000" w:themeColor="text1"/>
          <w:sz w:val="22"/>
          <w:szCs w:val="22"/>
        </w:rPr>
        <w:t xml:space="preserve">, D. J., Marcus, C. M., Becker, J. S. &amp; Gordon, R. G. Low-temperature atomic-layer-deposition lift-off method for microelectronic and </w:t>
      </w:r>
      <w:proofErr w:type="spellStart"/>
      <w:r w:rsidRPr="0015183E">
        <w:rPr>
          <w:rFonts w:ascii="Times New Roman" w:eastAsia="Times New Roman" w:hAnsi="Times New Roman"/>
          <w:color w:val="000000" w:themeColor="text1"/>
          <w:sz w:val="22"/>
          <w:szCs w:val="22"/>
        </w:rPr>
        <w:t>nanoelectronic</w:t>
      </w:r>
      <w:proofErr w:type="spellEnd"/>
      <w:r w:rsidRPr="0015183E">
        <w:rPr>
          <w:rFonts w:ascii="Times New Roman" w:eastAsia="Times New Roman" w:hAnsi="Times New Roman"/>
          <w:color w:val="000000" w:themeColor="text1"/>
          <w:sz w:val="22"/>
          <w:szCs w:val="22"/>
        </w:rPr>
        <w:t xml:space="preserve"> applications. </w:t>
      </w:r>
      <w:r w:rsidRPr="0015183E">
        <w:rPr>
          <w:rFonts w:ascii="Times New Roman" w:eastAsia="Times New Roman" w:hAnsi="Times New Roman"/>
          <w:i/>
          <w:iCs/>
          <w:color w:val="000000" w:themeColor="text1"/>
          <w:sz w:val="22"/>
          <w:szCs w:val="22"/>
        </w:rPr>
        <w:t>Appl. Phys. Lett.</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83</w:t>
      </w:r>
      <w:r w:rsidRPr="0015183E">
        <w:rPr>
          <w:rFonts w:ascii="Times New Roman" w:eastAsia="Times New Roman" w:hAnsi="Times New Roman"/>
          <w:color w:val="000000" w:themeColor="text1"/>
          <w:sz w:val="22"/>
          <w:szCs w:val="22"/>
        </w:rPr>
        <w:t>, 2405–2407 (2003).</w:t>
      </w:r>
    </w:p>
    <w:p w14:paraId="002380A6" w14:textId="77777777" w:rsidR="009B58A8" w:rsidRPr="0015183E" w:rsidRDefault="009B58A8" w:rsidP="003711F9">
      <w:pPr>
        <w:pStyle w:val="10"/>
        <w:spacing w:line="480" w:lineRule="auto"/>
        <w:rPr>
          <w:rFonts w:ascii="Times New Roman" w:hAnsi="Times New Roman"/>
          <w:b/>
          <w:bCs/>
          <w:color w:val="000000" w:themeColor="text1"/>
          <w:sz w:val="22"/>
          <w:szCs w:val="22"/>
          <w:lang w:eastAsia="ko-KR"/>
        </w:rPr>
      </w:pPr>
      <w:r w:rsidRPr="0015183E">
        <w:rPr>
          <w:rFonts w:ascii="Times New Roman" w:hAnsi="Times New Roman" w:hint="eastAsia"/>
          <w:color w:val="000000" w:themeColor="text1"/>
          <w:sz w:val="22"/>
          <w:szCs w:val="22"/>
          <w:lang w:eastAsia="ko-KR"/>
        </w:rPr>
        <w:t>(8)</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Lee, H. Y. et al. Mixed-dimensional semiconductors-based ternary circuits with tunable negative transconductance characteristics. </w:t>
      </w:r>
      <w:r w:rsidRPr="0015183E">
        <w:rPr>
          <w:rFonts w:ascii="Times New Roman" w:eastAsia="Times New Roman" w:hAnsi="Times New Roman"/>
          <w:i/>
          <w:iCs/>
          <w:color w:val="000000" w:themeColor="text1"/>
          <w:sz w:val="22"/>
          <w:szCs w:val="22"/>
        </w:rPr>
        <w:t>ACS Appl. Mater. Interfaces</w:t>
      </w:r>
      <w:r w:rsidRPr="0015183E">
        <w:rPr>
          <w:rFonts w:ascii="Times New Roman" w:eastAsia="Times New Roman" w:hAnsi="Times New Roman"/>
          <w:color w:val="000000" w:themeColor="text1"/>
          <w:sz w:val="22"/>
          <w:szCs w:val="22"/>
        </w:rPr>
        <w:t xml:space="preserve"> </w:t>
      </w:r>
      <w:r w:rsidRPr="0015183E">
        <w:rPr>
          <w:rFonts w:ascii="Times New Roman" w:eastAsia="Times New Roman" w:hAnsi="Times New Roman"/>
          <w:b/>
          <w:bCs/>
          <w:color w:val="000000" w:themeColor="text1"/>
          <w:sz w:val="22"/>
          <w:szCs w:val="22"/>
        </w:rPr>
        <w:t>17</w:t>
      </w:r>
      <w:r w:rsidRPr="0015183E">
        <w:rPr>
          <w:rFonts w:ascii="Times New Roman" w:eastAsia="Times New Roman" w:hAnsi="Times New Roman"/>
          <w:color w:val="000000" w:themeColor="text1"/>
          <w:sz w:val="22"/>
          <w:szCs w:val="22"/>
        </w:rPr>
        <w:t>, 6774–6782 (2025).</w:t>
      </w:r>
    </w:p>
    <w:p w14:paraId="6D0B06BE" w14:textId="77777777" w:rsidR="009B58A8" w:rsidRPr="0015183E" w:rsidRDefault="009B58A8" w:rsidP="003711F9">
      <w:pPr>
        <w:pStyle w:val="TFReferencesSection"/>
        <w:spacing w:after="240"/>
        <w:ind w:firstLine="0"/>
        <w:rPr>
          <w:rFonts w:ascii="Times New Roman" w:hAnsi="Times New Roman"/>
          <w:color w:val="000000" w:themeColor="text1"/>
          <w:sz w:val="22"/>
          <w:szCs w:val="22"/>
        </w:rPr>
      </w:pPr>
      <w:r w:rsidRPr="0015183E">
        <w:rPr>
          <w:rFonts w:ascii="Times New Roman" w:hAnsi="Times New Roman" w:hint="eastAsia"/>
          <w:color w:val="000000" w:themeColor="text1"/>
          <w:sz w:val="22"/>
          <w:szCs w:val="22"/>
          <w:lang w:eastAsia="ko-KR"/>
        </w:rPr>
        <w:t>(9)</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Lee, Y. et al. Demonstration of anti-ambipolar switch and its applications for extremely low power ternary logic circuits. </w:t>
      </w:r>
      <w:r w:rsidRPr="0015183E">
        <w:rPr>
          <w:rFonts w:ascii="Times New Roman" w:eastAsia="Times New Roman" w:hAnsi="Times New Roman"/>
          <w:i/>
          <w:color w:val="000000" w:themeColor="text1"/>
          <w:sz w:val="22"/>
          <w:szCs w:val="22"/>
        </w:rPr>
        <w:t xml:space="preserve">ACS Nano </w:t>
      </w:r>
      <w:r w:rsidRPr="0015183E">
        <w:rPr>
          <w:rFonts w:ascii="Times New Roman" w:eastAsia="Times New Roman" w:hAnsi="Times New Roman"/>
          <w:b/>
          <w:color w:val="000000" w:themeColor="text1"/>
          <w:sz w:val="22"/>
          <w:szCs w:val="22"/>
        </w:rPr>
        <w:t xml:space="preserve">16, </w:t>
      </w:r>
      <w:r w:rsidRPr="0015183E">
        <w:rPr>
          <w:rFonts w:ascii="Times New Roman" w:eastAsia="Times New Roman" w:hAnsi="Times New Roman"/>
          <w:color w:val="000000" w:themeColor="text1"/>
          <w:sz w:val="22"/>
          <w:szCs w:val="22"/>
        </w:rPr>
        <w:t>10994–11003 (2022).</w:t>
      </w:r>
    </w:p>
    <w:p w14:paraId="5B0E87D5" w14:textId="77777777" w:rsidR="009B58A8" w:rsidRPr="0015183E" w:rsidRDefault="009B58A8" w:rsidP="003711F9">
      <w:pPr>
        <w:pStyle w:val="TFReferencesSection"/>
        <w:spacing w:after="240"/>
        <w:ind w:firstLine="0"/>
        <w:rPr>
          <w:rFonts w:ascii="Times New Roman" w:hAnsi="Times New Roman"/>
          <w:color w:val="000000" w:themeColor="text1"/>
          <w:sz w:val="22"/>
          <w:szCs w:val="22"/>
        </w:rPr>
      </w:pPr>
      <w:r w:rsidRPr="0015183E">
        <w:rPr>
          <w:rFonts w:ascii="Times New Roman" w:hAnsi="Times New Roman" w:hint="eastAsia"/>
          <w:color w:val="000000" w:themeColor="text1"/>
          <w:sz w:val="22"/>
          <w:szCs w:val="22"/>
          <w:lang w:eastAsia="ko-KR"/>
        </w:rPr>
        <w:t>(10)</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Jung, C. et al. Scalable ternary logic device based on </w:t>
      </w:r>
      <w:proofErr w:type="spellStart"/>
      <w:r w:rsidRPr="0015183E">
        <w:rPr>
          <w:rFonts w:ascii="Times New Roman" w:eastAsia="Times New Roman" w:hAnsi="Times New Roman"/>
          <w:color w:val="000000" w:themeColor="text1"/>
          <w:sz w:val="22"/>
          <w:szCs w:val="22"/>
        </w:rPr>
        <w:t>TeO</w:t>
      </w:r>
      <w:proofErr w:type="spellEnd"/>
      <w:r w:rsidRPr="0015183E">
        <w:rPr>
          <w:rFonts w:ascii="Times New Roman" w:eastAsia="Times New Roman" w:hAnsi="Times New Roman"/>
          <w:color w:val="000000" w:themeColor="text1"/>
          <w:sz w:val="22"/>
          <w:szCs w:val="22"/>
        </w:rPr>
        <w:t xml:space="preserve">ₓ/IGTO heterojunction transistor. </w:t>
      </w:r>
      <w:r w:rsidRPr="0015183E">
        <w:rPr>
          <w:rFonts w:ascii="Times New Roman" w:eastAsia="Times New Roman" w:hAnsi="Times New Roman"/>
          <w:i/>
          <w:color w:val="000000" w:themeColor="text1"/>
          <w:sz w:val="22"/>
          <w:szCs w:val="22"/>
        </w:rPr>
        <w:t xml:space="preserve">Adv. </w:t>
      </w:r>
      <w:proofErr w:type="spellStart"/>
      <w:r w:rsidRPr="0015183E">
        <w:rPr>
          <w:rFonts w:ascii="Times New Roman" w:eastAsia="Times New Roman" w:hAnsi="Times New Roman"/>
          <w:i/>
          <w:color w:val="000000" w:themeColor="text1"/>
          <w:sz w:val="22"/>
          <w:szCs w:val="22"/>
        </w:rPr>
        <w:t>Funct</w:t>
      </w:r>
      <w:proofErr w:type="spellEnd"/>
      <w:r w:rsidRPr="0015183E">
        <w:rPr>
          <w:rFonts w:ascii="Times New Roman" w:eastAsia="Times New Roman" w:hAnsi="Times New Roman"/>
          <w:i/>
          <w:color w:val="000000" w:themeColor="text1"/>
          <w:sz w:val="22"/>
          <w:szCs w:val="22"/>
        </w:rPr>
        <w:t xml:space="preserve">. Mater. </w:t>
      </w:r>
      <w:r w:rsidRPr="0015183E">
        <w:rPr>
          <w:rFonts w:ascii="Times New Roman" w:eastAsia="Times New Roman" w:hAnsi="Times New Roman"/>
          <w:b/>
          <w:color w:val="000000" w:themeColor="text1"/>
          <w:sz w:val="22"/>
          <w:szCs w:val="22"/>
        </w:rPr>
        <w:t xml:space="preserve">35, </w:t>
      </w:r>
      <w:r w:rsidRPr="0015183E">
        <w:rPr>
          <w:rFonts w:ascii="Times New Roman" w:eastAsia="Times New Roman" w:hAnsi="Times New Roman"/>
          <w:color w:val="000000" w:themeColor="text1"/>
          <w:sz w:val="22"/>
          <w:szCs w:val="22"/>
        </w:rPr>
        <w:t>2501834 (2025).</w:t>
      </w:r>
    </w:p>
    <w:p w14:paraId="577DD251" w14:textId="77777777" w:rsidR="009B58A8" w:rsidRPr="0015183E" w:rsidRDefault="009B58A8" w:rsidP="003711F9">
      <w:pPr>
        <w:pStyle w:val="TFReferencesSection"/>
        <w:spacing w:after="240"/>
        <w:ind w:firstLine="0"/>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lastRenderedPageBreak/>
        <w:t>(11)</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Kim, J. Y. et al. Distinctive field-effect transistors and ternary inverters using cross-type </w:t>
      </w:r>
      <w:proofErr w:type="spellStart"/>
      <w:r w:rsidRPr="0015183E">
        <w:rPr>
          <w:rFonts w:ascii="Times New Roman" w:eastAsia="Times New Roman" w:hAnsi="Times New Roman"/>
          <w:color w:val="000000" w:themeColor="text1"/>
          <w:sz w:val="22"/>
          <w:szCs w:val="22"/>
        </w:rPr>
        <w:t>WSe</w:t>
      </w:r>
      <w:proofErr w:type="spellEnd"/>
      <w:r w:rsidRPr="0015183E">
        <w:rPr>
          <w:rFonts w:ascii="Times New Roman" w:eastAsia="Times New Roman" w:hAnsi="Times New Roman"/>
          <w:color w:val="000000" w:themeColor="text1"/>
          <w:sz w:val="22"/>
          <w:szCs w:val="22"/>
        </w:rPr>
        <w:t>₂/</w:t>
      </w:r>
      <w:proofErr w:type="spellStart"/>
      <w:r w:rsidRPr="0015183E">
        <w:rPr>
          <w:rFonts w:ascii="Times New Roman" w:eastAsia="Times New Roman" w:hAnsi="Times New Roman"/>
          <w:color w:val="000000" w:themeColor="text1"/>
          <w:sz w:val="22"/>
          <w:szCs w:val="22"/>
        </w:rPr>
        <w:t>MoS</w:t>
      </w:r>
      <w:proofErr w:type="spellEnd"/>
      <w:r w:rsidRPr="0015183E">
        <w:rPr>
          <w:rFonts w:ascii="Times New Roman" w:eastAsia="Times New Roman" w:hAnsi="Times New Roman"/>
          <w:color w:val="000000" w:themeColor="text1"/>
          <w:sz w:val="22"/>
          <w:szCs w:val="22"/>
        </w:rPr>
        <w:t xml:space="preserve">₂ heterojunctions treated with polymer acid. </w:t>
      </w:r>
      <w:r w:rsidRPr="0015183E">
        <w:rPr>
          <w:rFonts w:ascii="Times New Roman" w:eastAsia="Times New Roman" w:hAnsi="Times New Roman"/>
          <w:i/>
          <w:color w:val="000000" w:themeColor="text1"/>
          <w:sz w:val="22"/>
          <w:szCs w:val="22"/>
        </w:rPr>
        <w:t xml:space="preserve">ACS Appl. Mater. Interfaces </w:t>
      </w:r>
      <w:r w:rsidRPr="0015183E">
        <w:rPr>
          <w:rFonts w:ascii="Times New Roman" w:eastAsia="Times New Roman" w:hAnsi="Times New Roman"/>
          <w:b/>
          <w:color w:val="000000" w:themeColor="text1"/>
          <w:sz w:val="22"/>
          <w:szCs w:val="22"/>
        </w:rPr>
        <w:t xml:space="preserve">12, </w:t>
      </w:r>
      <w:r w:rsidRPr="0015183E">
        <w:rPr>
          <w:rFonts w:ascii="Times New Roman" w:eastAsia="Times New Roman" w:hAnsi="Times New Roman"/>
          <w:color w:val="000000" w:themeColor="text1"/>
          <w:sz w:val="22"/>
          <w:szCs w:val="22"/>
        </w:rPr>
        <w:t>36530–36539 (2020).</w:t>
      </w:r>
    </w:p>
    <w:p w14:paraId="10FA4266" w14:textId="77777777" w:rsidR="009B58A8" w:rsidRPr="0015183E" w:rsidRDefault="009B58A8" w:rsidP="003711F9">
      <w:pPr>
        <w:pStyle w:val="TFReferencesSection"/>
        <w:spacing w:after="240"/>
        <w:ind w:firstLine="0"/>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(12)</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Kim, S., Jeon, Y., Cho, H. R., Kim, C. H. &amp; </w:t>
      </w:r>
      <w:proofErr w:type="spellStart"/>
      <w:r w:rsidRPr="0015183E">
        <w:rPr>
          <w:rFonts w:ascii="Times New Roman" w:eastAsia="Times New Roman" w:hAnsi="Times New Roman"/>
          <w:color w:val="000000" w:themeColor="text1"/>
          <w:sz w:val="22"/>
          <w:szCs w:val="22"/>
        </w:rPr>
        <w:t>Yoo</w:t>
      </w:r>
      <w:proofErr w:type="spellEnd"/>
      <w:r w:rsidRPr="0015183E">
        <w:rPr>
          <w:rFonts w:ascii="Times New Roman" w:eastAsia="Times New Roman" w:hAnsi="Times New Roman"/>
          <w:color w:val="000000" w:themeColor="text1"/>
          <w:sz w:val="22"/>
          <w:szCs w:val="22"/>
        </w:rPr>
        <w:t xml:space="preserve">, H. Organic ternary logic inverter using negative transconductance pull-down switching transistor. </w:t>
      </w:r>
      <w:r w:rsidRPr="0015183E">
        <w:rPr>
          <w:rFonts w:ascii="Times New Roman" w:eastAsia="Times New Roman" w:hAnsi="Times New Roman"/>
          <w:i/>
          <w:color w:val="000000" w:themeColor="text1"/>
          <w:sz w:val="22"/>
          <w:szCs w:val="22"/>
        </w:rPr>
        <w:t xml:space="preserve">IEEE Electron Device Lett. </w:t>
      </w:r>
      <w:r w:rsidRPr="0015183E">
        <w:rPr>
          <w:rFonts w:ascii="Times New Roman" w:eastAsia="Times New Roman" w:hAnsi="Times New Roman"/>
          <w:b/>
          <w:color w:val="000000" w:themeColor="text1"/>
          <w:sz w:val="22"/>
          <w:szCs w:val="22"/>
        </w:rPr>
        <w:t xml:space="preserve">45, </w:t>
      </w:r>
      <w:r w:rsidRPr="0015183E">
        <w:rPr>
          <w:rFonts w:ascii="Times New Roman" w:eastAsia="Times New Roman" w:hAnsi="Times New Roman"/>
          <w:color w:val="000000" w:themeColor="text1"/>
          <w:sz w:val="22"/>
          <w:szCs w:val="22"/>
        </w:rPr>
        <w:t>590–592 (2024).</w:t>
      </w:r>
    </w:p>
    <w:p w14:paraId="6BD1F5C7" w14:textId="77777777" w:rsidR="009B58A8" w:rsidRPr="0015183E" w:rsidRDefault="009B58A8" w:rsidP="003711F9">
      <w:pPr>
        <w:pStyle w:val="TFReferencesSection"/>
        <w:spacing w:after="240"/>
        <w:ind w:firstLine="0"/>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(13)</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Shin, J. C. et al. Oxide semiconductor heterojunction transistor with negative differential transconductance for multivalued logic circuits. </w:t>
      </w:r>
      <w:r w:rsidRPr="0015183E">
        <w:rPr>
          <w:rFonts w:ascii="Times New Roman" w:eastAsia="Times New Roman" w:hAnsi="Times New Roman"/>
          <w:i/>
          <w:color w:val="000000" w:themeColor="text1"/>
          <w:sz w:val="22"/>
          <w:szCs w:val="22"/>
        </w:rPr>
        <w:t xml:space="preserve">ACS Nano </w:t>
      </w:r>
      <w:r w:rsidRPr="0015183E">
        <w:rPr>
          <w:rFonts w:ascii="Times New Roman" w:eastAsia="Times New Roman" w:hAnsi="Times New Roman"/>
          <w:b/>
          <w:color w:val="000000" w:themeColor="text1"/>
          <w:sz w:val="22"/>
          <w:szCs w:val="22"/>
        </w:rPr>
        <w:t xml:space="preserve">18, </w:t>
      </w:r>
      <w:r w:rsidRPr="0015183E">
        <w:rPr>
          <w:rFonts w:ascii="Times New Roman" w:eastAsia="Times New Roman" w:hAnsi="Times New Roman"/>
          <w:color w:val="000000" w:themeColor="text1"/>
          <w:sz w:val="22"/>
          <w:szCs w:val="22"/>
        </w:rPr>
        <w:t>1543–1554 (2024).</w:t>
      </w:r>
    </w:p>
    <w:p w14:paraId="70CED25E" w14:textId="77777777" w:rsidR="009B58A8" w:rsidRPr="0015183E" w:rsidRDefault="009B58A8" w:rsidP="003711F9">
      <w:pPr>
        <w:pStyle w:val="TFReferencesSection"/>
        <w:spacing w:after="240"/>
        <w:ind w:firstLine="0"/>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(14)</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Duong, N. T. et al. Modulating the functions of </w:t>
      </w:r>
      <w:proofErr w:type="spellStart"/>
      <w:r w:rsidRPr="0015183E">
        <w:rPr>
          <w:rFonts w:ascii="Times New Roman" w:eastAsia="Times New Roman" w:hAnsi="Times New Roman"/>
          <w:color w:val="000000" w:themeColor="text1"/>
          <w:sz w:val="22"/>
          <w:szCs w:val="22"/>
        </w:rPr>
        <w:t>MoS</w:t>
      </w:r>
      <w:proofErr w:type="spellEnd"/>
      <w:r w:rsidRPr="0015183E">
        <w:rPr>
          <w:rFonts w:ascii="Times New Roman" w:eastAsia="Times New Roman" w:hAnsi="Times New Roman"/>
          <w:color w:val="000000" w:themeColor="text1"/>
          <w:sz w:val="22"/>
          <w:szCs w:val="22"/>
        </w:rPr>
        <w:t>₂/</w:t>
      </w:r>
      <w:proofErr w:type="spellStart"/>
      <w:r w:rsidRPr="0015183E">
        <w:rPr>
          <w:rFonts w:ascii="Times New Roman" w:eastAsia="Times New Roman" w:hAnsi="Times New Roman"/>
          <w:color w:val="000000" w:themeColor="text1"/>
          <w:sz w:val="22"/>
          <w:szCs w:val="22"/>
        </w:rPr>
        <w:t>MoTe</w:t>
      </w:r>
      <w:proofErr w:type="spellEnd"/>
      <w:r w:rsidRPr="0015183E">
        <w:rPr>
          <w:rFonts w:ascii="Times New Roman" w:eastAsia="Times New Roman" w:hAnsi="Times New Roman"/>
          <w:color w:val="000000" w:themeColor="text1"/>
          <w:sz w:val="22"/>
          <w:szCs w:val="22"/>
        </w:rPr>
        <w:t xml:space="preserve">₂ van der Waals heterostructure via thickness variation. </w:t>
      </w:r>
      <w:r w:rsidRPr="0015183E">
        <w:rPr>
          <w:rFonts w:ascii="Times New Roman" w:eastAsia="Times New Roman" w:hAnsi="Times New Roman"/>
          <w:i/>
          <w:color w:val="000000" w:themeColor="text1"/>
          <w:sz w:val="22"/>
          <w:szCs w:val="22"/>
        </w:rPr>
        <w:t xml:space="preserve">ACS Nano </w:t>
      </w:r>
      <w:r w:rsidRPr="0015183E">
        <w:rPr>
          <w:rFonts w:ascii="Times New Roman" w:eastAsia="Times New Roman" w:hAnsi="Times New Roman"/>
          <w:b/>
          <w:color w:val="000000" w:themeColor="text1"/>
          <w:sz w:val="22"/>
          <w:szCs w:val="22"/>
        </w:rPr>
        <w:t xml:space="preserve">13, </w:t>
      </w:r>
      <w:r w:rsidRPr="0015183E">
        <w:rPr>
          <w:rFonts w:ascii="Times New Roman" w:eastAsia="Times New Roman" w:hAnsi="Times New Roman"/>
          <w:color w:val="000000" w:themeColor="text1"/>
          <w:sz w:val="22"/>
          <w:szCs w:val="22"/>
        </w:rPr>
        <w:t>4478–4485 (2019).</w:t>
      </w:r>
    </w:p>
    <w:p w14:paraId="496962C0" w14:textId="77777777" w:rsidR="009B58A8" w:rsidRPr="0015183E" w:rsidRDefault="009B58A8" w:rsidP="003711F9">
      <w:pPr>
        <w:spacing w:after="240" w:line="480" w:lineRule="auto"/>
        <w:rPr>
          <w:rFonts w:ascii="Times New Roman" w:eastAsiaTheme="minorEastAsia"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(15)</w:t>
      </w:r>
      <w:r w:rsidRPr="0015183E">
        <w:rPr>
          <w:rFonts w:ascii="Times New Roman" w:hAnsi="Times New Roman"/>
          <w:color w:val="000000" w:themeColor="text1"/>
          <w:sz w:val="22"/>
          <w:szCs w:val="22"/>
          <w:lang w:eastAsia="ko-KR"/>
        </w:rPr>
        <w:t xml:space="preserve"> </w:t>
      </w:r>
      <w:r w:rsidRPr="0015183E">
        <w:rPr>
          <w:rFonts w:ascii="Times New Roman" w:eastAsia="Times New Roman" w:hAnsi="Times New Roman"/>
          <w:color w:val="000000" w:themeColor="text1"/>
          <w:sz w:val="22"/>
          <w:szCs w:val="22"/>
        </w:rPr>
        <w:t xml:space="preserve">Long, Y. et al. Composition-modulated anti-ambipolar behavior enabled by two-dimensional </w:t>
      </w:r>
      <w:proofErr w:type="spellStart"/>
      <w:r w:rsidRPr="0015183E">
        <w:rPr>
          <w:rFonts w:ascii="Times New Roman" w:eastAsia="Times New Roman" w:hAnsi="Times New Roman"/>
          <w:color w:val="000000" w:themeColor="text1"/>
          <w:sz w:val="22"/>
          <w:szCs w:val="22"/>
        </w:rPr>
        <w:t>GeSₓSe</w:t>
      </w:r>
      <w:proofErr w:type="spellEnd"/>
      <w:r w:rsidRPr="0015183E">
        <w:rPr>
          <w:rFonts w:ascii="Times New Roman" w:eastAsia="Times New Roman" w:hAnsi="Times New Roman"/>
          <w:color w:val="000000" w:themeColor="text1"/>
          <w:sz w:val="22"/>
          <w:szCs w:val="22"/>
        </w:rPr>
        <w:t>₁</w:t>
      </w:r>
      <w:r w:rsidRPr="0015183E">
        <w:rPr>
          <w:rFonts w:ascii="Times New Roman" w:eastAsia="Times New Roman" w:hAnsi="Times New Roman"/>
          <w:color w:val="000000" w:themeColor="text1"/>
          <w:sz w:val="22"/>
          <w:szCs w:val="22"/>
          <w:vertAlign w:val="subscript"/>
        </w:rPr>
        <w:t>−</w:t>
      </w:r>
      <w:r w:rsidRPr="0015183E">
        <w:rPr>
          <w:rFonts w:ascii="Times New Roman" w:eastAsia="Times New Roman" w:hAnsi="Times New Roman"/>
          <w:color w:val="000000" w:themeColor="text1"/>
          <w:sz w:val="22"/>
          <w:szCs w:val="22"/>
        </w:rPr>
        <w:t>ₓ/</w:t>
      </w:r>
      <w:proofErr w:type="spellStart"/>
      <w:r w:rsidRPr="0015183E">
        <w:rPr>
          <w:rFonts w:ascii="Times New Roman" w:eastAsia="Times New Roman" w:hAnsi="Times New Roman"/>
          <w:color w:val="000000" w:themeColor="text1"/>
          <w:sz w:val="22"/>
          <w:szCs w:val="22"/>
        </w:rPr>
        <w:t>SnS</w:t>
      </w:r>
      <w:proofErr w:type="spellEnd"/>
      <w:r w:rsidRPr="0015183E">
        <w:rPr>
          <w:rFonts w:ascii="Times New Roman" w:eastAsia="Times New Roman" w:hAnsi="Times New Roman"/>
          <w:color w:val="000000" w:themeColor="text1"/>
          <w:sz w:val="22"/>
          <w:szCs w:val="22"/>
        </w:rPr>
        <w:t xml:space="preserve">₂ van der Waals heterostructures for high-performance logic inverters. </w:t>
      </w:r>
      <w:r w:rsidRPr="0015183E">
        <w:rPr>
          <w:rFonts w:ascii="Times New Roman" w:eastAsia="Times New Roman" w:hAnsi="Times New Roman"/>
          <w:i/>
          <w:color w:val="000000" w:themeColor="text1"/>
          <w:sz w:val="22"/>
          <w:szCs w:val="22"/>
        </w:rPr>
        <w:t xml:space="preserve">Nanoscale </w:t>
      </w:r>
      <w:proofErr w:type="spellStart"/>
      <w:r w:rsidRPr="0015183E">
        <w:rPr>
          <w:rFonts w:ascii="Times New Roman" w:eastAsia="Times New Roman" w:hAnsi="Times New Roman"/>
          <w:i/>
          <w:color w:val="000000" w:themeColor="text1"/>
          <w:sz w:val="22"/>
          <w:szCs w:val="22"/>
        </w:rPr>
        <w:t>Horiz</w:t>
      </w:r>
      <w:proofErr w:type="spellEnd"/>
      <w:r w:rsidRPr="0015183E">
        <w:rPr>
          <w:rFonts w:ascii="Times New Roman" w:eastAsia="Times New Roman" w:hAnsi="Times New Roman"/>
          <w:i/>
          <w:color w:val="000000" w:themeColor="text1"/>
          <w:sz w:val="22"/>
          <w:szCs w:val="22"/>
        </w:rPr>
        <w:t xml:space="preserve">. </w:t>
      </w:r>
      <w:r w:rsidRPr="0015183E">
        <w:rPr>
          <w:rFonts w:ascii="Times New Roman" w:eastAsia="Times New Roman" w:hAnsi="Times New Roman"/>
          <w:b/>
          <w:color w:val="000000" w:themeColor="text1"/>
          <w:sz w:val="22"/>
          <w:szCs w:val="22"/>
        </w:rPr>
        <w:t xml:space="preserve">11, </w:t>
      </w:r>
      <w:r w:rsidRPr="0015183E">
        <w:rPr>
          <w:rFonts w:ascii="Times New Roman" w:eastAsia="Times New Roman" w:hAnsi="Times New Roman"/>
          <w:color w:val="000000" w:themeColor="text1"/>
          <w:sz w:val="22"/>
          <w:szCs w:val="22"/>
        </w:rPr>
        <w:t>572–584 (2026).</w:t>
      </w:r>
    </w:p>
    <w:p w14:paraId="6AFE2A4D" w14:textId="77777777" w:rsidR="009B58A8" w:rsidRPr="0015183E" w:rsidRDefault="009B58A8" w:rsidP="003711F9">
      <w:pPr>
        <w:spacing w:after="240" w:line="480" w:lineRule="auto"/>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(16)</w:t>
      </w:r>
      <w:r w:rsidRPr="0015183E">
        <w:rPr>
          <w:rFonts w:ascii="Times New Roman" w:hAnsi="Times New Roman"/>
          <w:color w:val="000000" w:themeColor="text1"/>
          <w:sz w:val="22"/>
          <w:szCs w:val="22"/>
          <w:lang w:eastAsia="ko-KR"/>
        </w:rPr>
        <w:t xml:space="preserve"> Zhu, X. et al. High-performance ternary logic circuits and neural networks based on carbon nanotube source-gating transistors. </w:t>
      </w:r>
      <w:r w:rsidRPr="0015183E">
        <w:rPr>
          <w:rFonts w:ascii="Times New Roman" w:hAnsi="Times New Roman"/>
          <w:i/>
          <w:iCs/>
          <w:color w:val="000000" w:themeColor="text1"/>
          <w:sz w:val="22"/>
          <w:szCs w:val="22"/>
          <w:lang w:eastAsia="ko-KR"/>
        </w:rPr>
        <w:t>Sci. Adv.</w:t>
      </w:r>
      <w:r w:rsidRPr="0015183E">
        <w:rPr>
          <w:rFonts w:ascii="Times New Roman" w:hAnsi="Times New Roman"/>
          <w:color w:val="000000" w:themeColor="text1"/>
          <w:sz w:val="22"/>
          <w:szCs w:val="22"/>
          <w:lang w:eastAsia="ko-KR"/>
        </w:rPr>
        <w:t xml:space="preserve"> </w:t>
      </w:r>
      <w:r w:rsidRPr="0015183E">
        <w:rPr>
          <w:rFonts w:ascii="Times New Roman" w:hAnsi="Times New Roman"/>
          <w:b/>
          <w:bCs/>
          <w:color w:val="000000" w:themeColor="text1"/>
          <w:sz w:val="22"/>
          <w:szCs w:val="22"/>
          <w:lang w:eastAsia="ko-KR"/>
        </w:rPr>
        <w:t>11</w:t>
      </w:r>
      <w:r w:rsidRPr="0015183E">
        <w:rPr>
          <w:rFonts w:ascii="Times New Roman" w:hAnsi="Times New Roman"/>
          <w:color w:val="000000" w:themeColor="text1"/>
          <w:sz w:val="22"/>
          <w:szCs w:val="22"/>
          <w:lang w:eastAsia="ko-KR"/>
        </w:rPr>
        <w:t>, eadt1909 (2025).</w:t>
      </w:r>
    </w:p>
    <w:p w14:paraId="33A9C1E9" w14:textId="77777777" w:rsidR="009B58A8" w:rsidRPr="0015183E" w:rsidRDefault="009B58A8" w:rsidP="003711F9">
      <w:pPr>
        <w:spacing w:line="480" w:lineRule="auto"/>
        <w:rPr>
          <w:rFonts w:ascii="Times New Roman" w:hAnsi="Times New Roman"/>
          <w:color w:val="000000" w:themeColor="text1"/>
          <w:sz w:val="22"/>
          <w:szCs w:val="22"/>
          <w:lang w:eastAsia="ko-KR"/>
        </w:rPr>
      </w:pPr>
      <w:r w:rsidRPr="0015183E">
        <w:rPr>
          <w:rFonts w:ascii="Times New Roman" w:hAnsi="Times New Roman" w:hint="eastAsia"/>
          <w:color w:val="000000" w:themeColor="text1"/>
          <w:sz w:val="22"/>
          <w:szCs w:val="22"/>
          <w:lang w:eastAsia="ko-KR"/>
        </w:rPr>
        <w:t>(17)</w:t>
      </w:r>
      <w:r w:rsidRPr="0015183E">
        <w:rPr>
          <w:rFonts w:ascii="Times New Roman" w:hAnsi="Times New Roman"/>
          <w:color w:val="000000" w:themeColor="text1"/>
          <w:sz w:val="22"/>
          <w:szCs w:val="22"/>
          <w:lang w:eastAsia="ko-KR"/>
        </w:rPr>
        <w:t xml:space="preserve"> Zhang, Z. et al. Near-perfect standard ternary inverter based on </w:t>
      </w:r>
      <w:proofErr w:type="spellStart"/>
      <w:r w:rsidRPr="0015183E">
        <w:rPr>
          <w:rFonts w:ascii="Times New Roman" w:hAnsi="Times New Roman"/>
          <w:color w:val="000000" w:themeColor="text1"/>
          <w:sz w:val="22"/>
          <w:szCs w:val="22"/>
          <w:lang w:eastAsia="ko-KR"/>
        </w:rPr>
        <w:t>MoTe</w:t>
      </w:r>
      <w:proofErr w:type="spellEnd"/>
      <w:r w:rsidRPr="0015183E">
        <w:rPr>
          <w:rFonts w:ascii="Times New Roman" w:hAnsi="Times New Roman"/>
          <w:color w:val="000000" w:themeColor="text1"/>
          <w:sz w:val="22"/>
          <w:szCs w:val="22"/>
          <w:lang w:eastAsia="ko-KR"/>
        </w:rPr>
        <w:t xml:space="preserve">₂ homojunction anti-ambipolar transistor. </w:t>
      </w:r>
      <w:r w:rsidRPr="0015183E">
        <w:rPr>
          <w:rFonts w:ascii="Times New Roman" w:hAnsi="Times New Roman"/>
          <w:i/>
          <w:iCs/>
          <w:color w:val="000000" w:themeColor="text1"/>
          <w:sz w:val="22"/>
          <w:szCs w:val="22"/>
          <w:lang w:eastAsia="ko-KR"/>
        </w:rPr>
        <w:t xml:space="preserve">Adv. </w:t>
      </w:r>
      <w:proofErr w:type="spellStart"/>
      <w:r w:rsidRPr="0015183E">
        <w:rPr>
          <w:rFonts w:ascii="Times New Roman" w:hAnsi="Times New Roman"/>
          <w:i/>
          <w:iCs/>
          <w:color w:val="000000" w:themeColor="text1"/>
          <w:sz w:val="22"/>
          <w:szCs w:val="22"/>
          <w:lang w:eastAsia="ko-KR"/>
        </w:rPr>
        <w:t>Funct</w:t>
      </w:r>
      <w:proofErr w:type="spellEnd"/>
      <w:r w:rsidRPr="0015183E">
        <w:rPr>
          <w:rFonts w:ascii="Times New Roman" w:hAnsi="Times New Roman"/>
          <w:i/>
          <w:iCs/>
          <w:color w:val="000000" w:themeColor="text1"/>
          <w:sz w:val="22"/>
          <w:szCs w:val="22"/>
          <w:lang w:eastAsia="ko-KR"/>
        </w:rPr>
        <w:t>. Mater.</w:t>
      </w:r>
      <w:r w:rsidRPr="0015183E">
        <w:rPr>
          <w:rFonts w:ascii="Times New Roman" w:hAnsi="Times New Roman"/>
          <w:color w:val="000000" w:themeColor="text1"/>
          <w:sz w:val="22"/>
          <w:szCs w:val="22"/>
          <w:lang w:eastAsia="ko-KR"/>
        </w:rPr>
        <w:t xml:space="preserve"> </w:t>
      </w:r>
      <w:r w:rsidRPr="0015183E">
        <w:rPr>
          <w:rFonts w:ascii="Times New Roman" w:hAnsi="Times New Roman"/>
          <w:b/>
          <w:bCs/>
          <w:color w:val="000000" w:themeColor="text1"/>
          <w:sz w:val="22"/>
          <w:szCs w:val="22"/>
          <w:lang w:eastAsia="ko-KR"/>
        </w:rPr>
        <w:t>35</w:t>
      </w:r>
      <w:r w:rsidRPr="0015183E">
        <w:rPr>
          <w:rFonts w:ascii="Times New Roman" w:hAnsi="Times New Roman"/>
          <w:color w:val="000000" w:themeColor="text1"/>
          <w:sz w:val="22"/>
          <w:szCs w:val="22"/>
          <w:lang w:eastAsia="ko-KR"/>
        </w:rPr>
        <w:t>, 2424728 (2025).</w:t>
      </w:r>
    </w:p>
    <w:p w14:paraId="3549E0DB" w14:textId="1280DDE4" w:rsidR="00F06897" w:rsidRPr="0015183E" w:rsidRDefault="00F06897" w:rsidP="003711F9">
      <w:pPr>
        <w:pStyle w:val="Maintext"/>
        <w:jc w:val="both"/>
        <w:rPr>
          <w:color w:val="000000" w:themeColor="text1"/>
          <w:lang w:eastAsia="ko-KR"/>
        </w:rPr>
      </w:pPr>
    </w:p>
    <w:sectPr w:rsidR="00F06897" w:rsidRPr="0015183E" w:rsidSect="00846292">
      <w:footerReference w:type="even" r:id="rId35"/>
      <w:footerReference w:type="default" r:id="rId36"/>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10EE8" w14:textId="77777777" w:rsidR="009C2823" w:rsidRDefault="009C2823" w:rsidP="00846292">
      <w:pPr>
        <w:pStyle w:val="10"/>
      </w:pPr>
      <w:r>
        <w:separator/>
      </w:r>
    </w:p>
  </w:endnote>
  <w:endnote w:type="continuationSeparator" w:id="0">
    <w:p w14:paraId="56D56F0D" w14:textId="77777777" w:rsidR="009C2823" w:rsidRDefault="009C2823" w:rsidP="00846292">
      <w:pPr>
        <w:pStyle w:val="10"/>
      </w:pPr>
      <w:r>
        <w:continuationSeparator/>
      </w:r>
    </w:p>
  </w:endnote>
  <w:endnote w:type="continuationNotice" w:id="1">
    <w:p w14:paraId="34ECB67E" w14:textId="77777777" w:rsidR="009C2823" w:rsidRDefault="009C2823">
      <w:pPr>
        <w:pStyle w:val="10"/>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E00002AF" w:usb1="5000607B"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35E9" w14:textId="77777777" w:rsidR="005173E4" w:rsidRDefault="005173E4">
    <w:pPr>
      <w:pStyle w:val="17"/>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noProof/>
      </w:rPr>
      <w:t>1</w:t>
    </w:r>
    <w:r>
      <w:rPr>
        <w:rStyle w:val="18"/>
      </w:rPr>
      <w:fldChar w:fldCharType="end"/>
    </w:r>
  </w:p>
  <w:p w14:paraId="3EDD1285" w14:textId="77777777" w:rsidR="005173E4" w:rsidRDefault="005173E4">
    <w:pPr>
      <w:pStyle w:val="1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6035" w14:textId="75ECE896" w:rsidR="005173E4" w:rsidRDefault="005173E4" w:rsidP="00846292">
    <w:pPr>
      <w:pStyle w:val="17"/>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sidR="003873AC">
      <w:rPr>
        <w:rStyle w:val="18"/>
        <w:noProof/>
      </w:rPr>
      <w:t>4</w:t>
    </w:r>
    <w:r>
      <w:rPr>
        <w:rStyle w:val="18"/>
      </w:rPr>
      <w:fldChar w:fldCharType="end"/>
    </w:r>
  </w:p>
  <w:p w14:paraId="4FD9BA4D" w14:textId="77777777" w:rsidR="005173E4" w:rsidRDefault="005173E4">
    <w:pPr>
      <w:pStyle w:val="17"/>
      <w:ind w:right="360"/>
      <w:rPr>
        <w:lang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C4A2F" w14:textId="77777777" w:rsidR="009C2823" w:rsidRDefault="009C2823" w:rsidP="00846292">
      <w:pPr>
        <w:pStyle w:val="10"/>
      </w:pPr>
      <w:r>
        <w:separator/>
      </w:r>
    </w:p>
  </w:footnote>
  <w:footnote w:type="continuationSeparator" w:id="0">
    <w:p w14:paraId="4C722593" w14:textId="77777777" w:rsidR="009C2823" w:rsidRDefault="009C2823" w:rsidP="00846292">
      <w:pPr>
        <w:pStyle w:val="10"/>
      </w:pPr>
      <w:r>
        <w:continuationSeparator/>
      </w:r>
    </w:p>
  </w:footnote>
  <w:footnote w:type="continuationNotice" w:id="1">
    <w:p w14:paraId="09A7CB3E" w14:textId="77777777" w:rsidR="009C2823" w:rsidRDefault="009C2823">
      <w:pPr>
        <w:pStyle w:val="10"/>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8CC9138"/>
    <w:lvl w:ilvl="0">
      <w:numFmt w:val="bullet"/>
      <w:lvlText w:val="*"/>
      <w:lvlJc w:val="left"/>
    </w:lvl>
  </w:abstractNum>
  <w:abstractNum w:abstractNumId="1" w15:restartNumberingAfterBreak="0">
    <w:nsid w:val="06D97289"/>
    <w:multiLevelType w:val="hybridMultilevel"/>
    <w:tmpl w:val="D3563532"/>
    <w:lvl w:ilvl="0" w:tplc="37D2CE7E">
      <w:start w:val="1"/>
      <w:numFmt w:val="decimal"/>
      <w:lvlText w:val="%1."/>
      <w:lvlJc w:val="left"/>
      <w:pPr>
        <w:ind w:left="720" w:hanging="720"/>
      </w:pPr>
      <w:rPr>
        <w:rFonts w:hint="default"/>
      </w:rPr>
    </w:lvl>
    <w:lvl w:ilvl="1" w:tplc="447A6EDE" w:tentative="1">
      <w:start w:val="1"/>
      <w:numFmt w:val="lowerLetter"/>
      <w:lvlText w:val="%2."/>
      <w:lvlJc w:val="left"/>
      <w:pPr>
        <w:ind w:left="1440" w:hanging="360"/>
      </w:pPr>
    </w:lvl>
    <w:lvl w:ilvl="2" w:tplc="9E64F35C" w:tentative="1">
      <w:start w:val="1"/>
      <w:numFmt w:val="lowerRoman"/>
      <w:lvlText w:val="%3."/>
      <w:lvlJc w:val="right"/>
      <w:pPr>
        <w:ind w:left="2160" w:hanging="180"/>
      </w:pPr>
    </w:lvl>
    <w:lvl w:ilvl="3" w:tplc="9746F32A" w:tentative="1">
      <w:start w:val="1"/>
      <w:numFmt w:val="decimal"/>
      <w:lvlText w:val="%4."/>
      <w:lvlJc w:val="left"/>
      <w:pPr>
        <w:ind w:left="2880" w:hanging="360"/>
      </w:pPr>
    </w:lvl>
    <w:lvl w:ilvl="4" w:tplc="1224446E" w:tentative="1">
      <w:start w:val="1"/>
      <w:numFmt w:val="lowerLetter"/>
      <w:lvlText w:val="%5."/>
      <w:lvlJc w:val="left"/>
      <w:pPr>
        <w:ind w:left="3600" w:hanging="360"/>
      </w:pPr>
    </w:lvl>
    <w:lvl w:ilvl="5" w:tplc="C4DA61F4" w:tentative="1">
      <w:start w:val="1"/>
      <w:numFmt w:val="lowerRoman"/>
      <w:lvlText w:val="%6."/>
      <w:lvlJc w:val="right"/>
      <w:pPr>
        <w:ind w:left="4320" w:hanging="180"/>
      </w:pPr>
    </w:lvl>
    <w:lvl w:ilvl="6" w:tplc="2B0A7C12" w:tentative="1">
      <w:start w:val="1"/>
      <w:numFmt w:val="decimal"/>
      <w:lvlText w:val="%7."/>
      <w:lvlJc w:val="left"/>
      <w:pPr>
        <w:ind w:left="5040" w:hanging="360"/>
      </w:pPr>
    </w:lvl>
    <w:lvl w:ilvl="7" w:tplc="3594DF98" w:tentative="1">
      <w:start w:val="1"/>
      <w:numFmt w:val="lowerLetter"/>
      <w:lvlText w:val="%8."/>
      <w:lvlJc w:val="left"/>
      <w:pPr>
        <w:ind w:left="5760" w:hanging="360"/>
      </w:pPr>
    </w:lvl>
    <w:lvl w:ilvl="8" w:tplc="6F1266F4" w:tentative="1">
      <w:start w:val="1"/>
      <w:numFmt w:val="lowerRoman"/>
      <w:lvlText w:val="%9."/>
      <w:lvlJc w:val="right"/>
      <w:pPr>
        <w:ind w:left="6480" w:hanging="180"/>
      </w:pPr>
    </w:lvl>
  </w:abstractNum>
  <w:abstractNum w:abstractNumId="2" w15:restartNumberingAfterBreak="0">
    <w:nsid w:val="0ABB696C"/>
    <w:multiLevelType w:val="hybridMultilevel"/>
    <w:tmpl w:val="7972A7C0"/>
    <w:lvl w:ilvl="0" w:tplc="FFFFFFFF">
      <w:start w:val="3"/>
      <w:numFmt w:val="decimal"/>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3" w15:restartNumberingAfterBreak="0">
    <w:nsid w:val="0D0B1915"/>
    <w:multiLevelType w:val="hybridMultilevel"/>
    <w:tmpl w:val="7972A7C0"/>
    <w:lvl w:ilvl="0" w:tplc="FFFFFFFF">
      <w:start w:val="3"/>
      <w:numFmt w:val="decimal"/>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4" w15:restartNumberingAfterBreak="0">
    <w:nsid w:val="0FED180D"/>
    <w:multiLevelType w:val="hybridMultilevel"/>
    <w:tmpl w:val="EBCCA12E"/>
    <w:lvl w:ilvl="0" w:tplc="DFE63FD2">
      <w:start w:val="1"/>
      <w:numFmt w:val="decimal"/>
      <w:lvlText w:val="%1."/>
      <w:lvlJc w:val="left"/>
      <w:pPr>
        <w:ind w:left="760" w:hanging="360"/>
      </w:pPr>
      <w:rPr>
        <w:rFonts w:eastAsiaTheme="minorEastAsia"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12DA5A06"/>
    <w:multiLevelType w:val="hybridMultilevel"/>
    <w:tmpl w:val="E3722CC2"/>
    <w:lvl w:ilvl="0" w:tplc="6A941980">
      <w:start w:val="1"/>
      <w:numFmt w:val="decimal"/>
      <w:lvlText w:val="(%1)"/>
      <w:lvlJc w:val="left"/>
      <w:pPr>
        <w:ind w:left="800" w:hanging="400"/>
      </w:pPr>
      <w:rPr>
        <w:rFonts w:hint="default"/>
      </w:rPr>
    </w:lvl>
    <w:lvl w:ilvl="1" w:tplc="9E22E93A" w:tentative="1">
      <w:start w:val="1"/>
      <w:numFmt w:val="upperLetter"/>
      <w:lvlText w:val="%2."/>
      <w:lvlJc w:val="left"/>
      <w:pPr>
        <w:ind w:left="1200" w:hanging="400"/>
      </w:pPr>
    </w:lvl>
    <w:lvl w:ilvl="2" w:tplc="EFA29EBC" w:tentative="1">
      <w:start w:val="1"/>
      <w:numFmt w:val="lowerRoman"/>
      <w:lvlText w:val="%3."/>
      <w:lvlJc w:val="right"/>
      <w:pPr>
        <w:ind w:left="1600" w:hanging="400"/>
      </w:pPr>
    </w:lvl>
    <w:lvl w:ilvl="3" w:tplc="40C892AE" w:tentative="1">
      <w:start w:val="1"/>
      <w:numFmt w:val="decimal"/>
      <w:lvlText w:val="%4."/>
      <w:lvlJc w:val="left"/>
      <w:pPr>
        <w:ind w:left="2000" w:hanging="400"/>
      </w:pPr>
    </w:lvl>
    <w:lvl w:ilvl="4" w:tplc="9BA48A8A" w:tentative="1">
      <w:start w:val="1"/>
      <w:numFmt w:val="upperLetter"/>
      <w:lvlText w:val="%5."/>
      <w:lvlJc w:val="left"/>
      <w:pPr>
        <w:ind w:left="2400" w:hanging="400"/>
      </w:pPr>
    </w:lvl>
    <w:lvl w:ilvl="5" w:tplc="7C228E9C" w:tentative="1">
      <w:start w:val="1"/>
      <w:numFmt w:val="lowerRoman"/>
      <w:lvlText w:val="%6."/>
      <w:lvlJc w:val="right"/>
      <w:pPr>
        <w:ind w:left="2800" w:hanging="400"/>
      </w:pPr>
    </w:lvl>
    <w:lvl w:ilvl="6" w:tplc="7534EA9A" w:tentative="1">
      <w:start w:val="1"/>
      <w:numFmt w:val="decimal"/>
      <w:lvlText w:val="%7."/>
      <w:lvlJc w:val="left"/>
      <w:pPr>
        <w:ind w:left="3200" w:hanging="400"/>
      </w:pPr>
    </w:lvl>
    <w:lvl w:ilvl="7" w:tplc="D6AAD0FE" w:tentative="1">
      <w:start w:val="1"/>
      <w:numFmt w:val="upperLetter"/>
      <w:lvlText w:val="%8."/>
      <w:lvlJc w:val="left"/>
      <w:pPr>
        <w:ind w:left="3600" w:hanging="400"/>
      </w:pPr>
    </w:lvl>
    <w:lvl w:ilvl="8" w:tplc="26C854F6" w:tentative="1">
      <w:start w:val="1"/>
      <w:numFmt w:val="lowerRoman"/>
      <w:lvlText w:val="%9."/>
      <w:lvlJc w:val="right"/>
      <w:pPr>
        <w:ind w:left="4000" w:hanging="400"/>
      </w:pPr>
    </w:lvl>
  </w:abstractNum>
  <w:abstractNum w:abstractNumId="6"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55E09"/>
    <w:multiLevelType w:val="hybridMultilevel"/>
    <w:tmpl w:val="EBCCA12E"/>
    <w:lvl w:ilvl="0" w:tplc="DFE63FD2">
      <w:start w:val="1"/>
      <w:numFmt w:val="decimal"/>
      <w:lvlText w:val="%1."/>
      <w:lvlJc w:val="left"/>
      <w:pPr>
        <w:ind w:left="760" w:hanging="360"/>
      </w:pPr>
      <w:rPr>
        <w:rFonts w:eastAsiaTheme="minorEastAsia"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1628F2"/>
    <w:multiLevelType w:val="hybridMultilevel"/>
    <w:tmpl w:val="CD54AA1A"/>
    <w:lvl w:ilvl="0" w:tplc="969A39D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3"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6" w15:restartNumberingAfterBreak="0">
    <w:nsid w:val="3B376EB4"/>
    <w:multiLevelType w:val="hybridMultilevel"/>
    <w:tmpl w:val="201E6F54"/>
    <w:lvl w:ilvl="0" w:tplc="A67A09D0">
      <w:start w:val="1"/>
      <w:numFmt w:val="decimal"/>
      <w:lvlText w:val="(%1)"/>
      <w:lvlJc w:val="left"/>
      <w:pPr>
        <w:ind w:left="760" w:hanging="360"/>
      </w:pPr>
      <w:rPr>
        <w:rFonts w:hint="default"/>
      </w:rPr>
    </w:lvl>
    <w:lvl w:ilvl="1" w:tplc="E95AD3CC" w:tentative="1">
      <w:start w:val="1"/>
      <w:numFmt w:val="upperLetter"/>
      <w:lvlText w:val="%2."/>
      <w:lvlJc w:val="left"/>
      <w:pPr>
        <w:ind w:left="1200" w:hanging="400"/>
      </w:pPr>
    </w:lvl>
    <w:lvl w:ilvl="2" w:tplc="CD5CF502" w:tentative="1">
      <w:start w:val="1"/>
      <w:numFmt w:val="lowerRoman"/>
      <w:lvlText w:val="%3."/>
      <w:lvlJc w:val="right"/>
      <w:pPr>
        <w:ind w:left="1600" w:hanging="400"/>
      </w:pPr>
    </w:lvl>
    <w:lvl w:ilvl="3" w:tplc="11347E66" w:tentative="1">
      <w:start w:val="1"/>
      <w:numFmt w:val="decimal"/>
      <w:lvlText w:val="%4."/>
      <w:lvlJc w:val="left"/>
      <w:pPr>
        <w:ind w:left="2000" w:hanging="400"/>
      </w:pPr>
    </w:lvl>
    <w:lvl w:ilvl="4" w:tplc="8D8000B0" w:tentative="1">
      <w:start w:val="1"/>
      <w:numFmt w:val="upperLetter"/>
      <w:lvlText w:val="%5."/>
      <w:lvlJc w:val="left"/>
      <w:pPr>
        <w:ind w:left="2400" w:hanging="400"/>
      </w:pPr>
    </w:lvl>
    <w:lvl w:ilvl="5" w:tplc="BFA2235A" w:tentative="1">
      <w:start w:val="1"/>
      <w:numFmt w:val="lowerRoman"/>
      <w:lvlText w:val="%6."/>
      <w:lvlJc w:val="right"/>
      <w:pPr>
        <w:ind w:left="2800" w:hanging="400"/>
      </w:pPr>
    </w:lvl>
    <w:lvl w:ilvl="6" w:tplc="91E22934" w:tentative="1">
      <w:start w:val="1"/>
      <w:numFmt w:val="decimal"/>
      <w:lvlText w:val="%7."/>
      <w:lvlJc w:val="left"/>
      <w:pPr>
        <w:ind w:left="3200" w:hanging="400"/>
      </w:pPr>
    </w:lvl>
    <w:lvl w:ilvl="7" w:tplc="11706066" w:tentative="1">
      <w:start w:val="1"/>
      <w:numFmt w:val="upperLetter"/>
      <w:lvlText w:val="%8."/>
      <w:lvlJc w:val="left"/>
      <w:pPr>
        <w:ind w:left="3600" w:hanging="400"/>
      </w:pPr>
    </w:lvl>
    <w:lvl w:ilvl="8" w:tplc="C2744DD2" w:tentative="1">
      <w:start w:val="1"/>
      <w:numFmt w:val="lowerRoman"/>
      <w:lvlText w:val="%9."/>
      <w:lvlJc w:val="right"/>
      <w:pPr>
        <w:ind w:left="4000" w:hanging="400"/>
      </w:pPr>
    </w:lvl>
  </w:abstractNum>
  <w:abstractNum w:abstractNumId="17" w15:restartNumberingAfterBreak="0">
    <w:nsid w:val="3E601A0D"/>
    <w:multiLevelType w:val="hybridMultilevel"/>
    <w:tmpl w:val="A8C4D2AE"/>
    <w:lvl w:ilvl="0" w:tplc="5F466AEC">
      <w:start w:val="1"/>
      <w:numFmt w:val="decimal"/>
      <w:pStyle w:val="TSongREF"/>
      <w:lvlText w:val="[%1]"/>
      <w:lvlJc w:val="left"/>
      <w:pPr>
        <w:tabs>
          <w:tab w:val="num" w:pos="655"/>
        </w:tabs>
        <w:ind w:left="655" w:hanging="475"/>
      </w:pPr>
      <w:rPr>
        <w:rFonts w:hint="eastAsia"/>
      </w:rPr>
    </w:lvl>
    <w:lvl w:ilvl="1" w:tplc="FC168B34">
      <w:start w:val="2"/>
      <w:numFmt w:val="decimal"/>
      <w:lvlText w:val="%2."/>
      <w:lvlJc w:val="left"/>
      <w:pPr>
        <w:tabs>
          <w:tab w:val="num" w:pos="1160"/>
        </w:tabs>
        <w:ind w:left="1160" w:hanging="360"/>
      </w:pPr>
      <w:rPr>
        <w:rFonts w:eastAsia="SimSun" w:hint="default"/>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1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20" w15:restartNumberingAfterBreak="0">
    <w:nsid w:val="47751338"/>
    <w:multiLevelType w:val="hybridMultilevel"/>
    <w:tmpl w:val="7972A7C0"/>
    <w:lvl w:ilvl="0" w:tplc="2E18ACE0">
      <w:start w:val="3"/>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53CB55DD"/>
    <w:multiLevelType w:val="hybridMultilevel"/>
    <w:tmpl w:val="92D22878"/>
    <w:lvl w:ilvl="0" w:tplc="9A56658A">
      <w:start w:val="1"/>
      <w:numFmt w:val="decimal"/>
      <w:lvlText w:val="(%1)"/>
      <w:lvlJc w:val="left"/>
      <w:pPr>
        <w:ind w:left="800" w:hanging="400"/>
      </w:pPr>
      <w:rPr>
        <w:rFonts w:hint="default"/>
      </w:rPr>
    </w:lvl>
    <w:lvl w:ilvl="1" w:tplc="C07E3000" w:tentative="1">
      <w:start w:val="1"/>
      <w:numFmt w:val="upperLetter"/>
      <w:lvlText w:val="%2."/>
      <w:lvlJc w:val="left"/>
      <w:pPr>
        <w:ind w:left="1200" w:hanging="400"/>
      </w:pPr>
    </w:lvl>
    <w:lvl w:ilvl="2" w:tplc="F6361B9C" w:tentative="1">
      <w:start w:val="1"/>
      <w:numFmt w:val="lowerRoman"/>
      <w:lvlText w:val="%3."/>
      <w:lvlJc w:val="right"/>
      <w:pPr>
        <w:ind w:left="1600" w:hanging="400"/>
      </w:pPr>
    </w:lvl>
    <w:lvl w:ilvl="3" w:tplc="9E861134" w:tentative="1">
      <w:start w:val="1"/>
      <w:numFmt w:val="decimal"/>
      <w:lvlText w:val="%4."/>
      <w:lvlJc w:val="left"/>
      <w:pPr>
        <w:ind w:left="2000" w:hanging="400"/>
      </w:pPr>
    </w:lvl>
    <w:lvl w:ilvl="4" w:tplc="461053BA" w:tentative="1">
      <w:start w:val="1"/>
      <w:numFmt w:val="upperLetter"/>
      <w:lvlText w:val="%5."/>
      <w:lvlJc w:val="left"/>
      <w:pPr>
        <w:ind w:left="2400" w:hanging="400"/>
      </w:pPr>
    </w:lvl>
    <w:lvl w:ilvl="5" w:tplc="5C30FFA6" w:tentative="1">
      <w:start w:val="1"/>
      <w:numFmt w:val="lowerRoman"/>
      <w:lvlText w:val="%6."/>
      <w:lvlJc w:val="right"/>
      <w:pPr>
        <w:ind w:left="2800" w:hanging="400"/>
      </w:pPr>
    </w:lvl>
    <w:lvl w:ilvl="6" w:tplc="4F6A102C" w:tentative="1">
      <w:start w:val="1"/>
      <w:numFmt w:val="decimal"/>
      <w:lvlText w:val="%7."/>
      <w:lvlJc w:val="left"/>
      <w:pPr>
        <w:ind w:left="3200" w:hanging="400"/>
      </w:pPr>
    </w:lvl>
    <w:lvl w:ilvl="7" w:tplc="E99E14CC" w:tentative="1">
      <w:start w:val="1"/>
      <w:numFmt w:val="upperLetter"/>
      <w:lvlText w:val="%8."/>
      <w:lvlJc w:val="left"/>
      <w:pPr>
        <w:ind w:left="3600" w:hanging="400"/>
      </w:pPr>
    </w:lvl>
    <w:lvl w:ilvl="8" w:tplc="2B98C164" w:tentative="1">
      <w:start w:val="1"/>
      <w:numFmt w:val="lowerRoman"/>
      <w:lvlText w:val="%9."/>
      <w:lvlJc w:val="right"/>
      <w:pPr>
        <w:ind w:left="4000" w:hanging="400"/>
      </w:pPr>
    </w:lvl>
  </w:abstractNum>
  <w:abstractNum w:abstractNumId="22" w15:restartNumberingAfterBreak="0">
    <w:nsid w:val="562F1279"/>
    <w:multiLevelType w:val="hybridMultilevel"/>
    <w:tmpl w:val="22DCD500"/>
    <w:lvl w:ilvl="0" w:tplc="EC74B574">
      <w:start w:val="1"/>
      <w:numFmt w:val="decimal"/>
      <w:lvlText w:val="(%1)"/>
      <w:lvlJc w:val="left"/>
      <w:pPr>
        <w:ind w:left="760" w:hanging="360"/>
      </w:pPr>
      <w:rPr>
        <w:rFonts w:hint="default"/>
      </w:rPr>
    </w:lvl>
    <w:lvl w:ilvl="1" w:tplc="A6A8F906" w:tentative="1">
      <w:start w:val="1"/>
      <w:numFmt w:val="upperLetter"/>
      <w:lvlText w:val="%2."/>
      <w:lvlJc w:val="left"/>
      <w:pPr>
        <w:ind w:left="1200" w:hanging="400"/>
      </w:pPr>
    </w:lvl>
    <w:lvl w:ilvl="2" w:tplc="0CA440D4" w:tentative="1">
      <w:start w:val="1"/>
      <w:numFmt w:val="lowerRoman"/>
      <w:lvlText w:val="%3."/>
      <w:lvlJc w:val="right"/>
      <w:pPr>
        <w:ind w:left="1600" w:hanging="400"/>
      </w:pPr>
    </w:lvl>
    <w:lvl w:ilvl="3" w:tplc="777093B4" w:tentative="1">
      <w:start w:val="1"/>
      <w:numFmt w:val="decimal"/>
      <w:lvlText w:val="%4."/>
      <w:lvlJc w:val="left"/>
      <w:pPr>
        <w:ind w:left="2000" w:hanging="400"/>
      </w:pPr>
    </w:lvl>
    <w:lvl w:ilvl="4" w:tplc="0DCE16B8" w:tentative="1">
      <w:start w:val="1"/>
      <w:numFmt w:val="upperLetter"/>
      <w:lvlText w:val="%5."/>
      <w:lvlJc w:val="left"/>
      <w:pPr>
        <w:ind w:left="2400" w:hanging="400"/>
      </w:pPr>
    </w:lvl>
    <w:lvl w:ilvl="5" w:tplc="FCA604C8" w:tentative="1">
      <w:start w:val="1"/>
      <w:numFmt w:val="lowerRoman"/>
      <w:lvlText w:val="%6."/>
      <w:lvlJc w:val="right"/>
      <w:pPr>
        <w:ind w:left="2800" w:hanging="400"/>
      </w:pPr>
    </w:lvl>
    <w:lvl w:ilvl="6" w:tplc="DED2C9AE" w:tentative="1">
      <w:start w:val="1"/>
      <w:numFmt w:val="decimal"/>
      <w:lvlText w:val="%7."/>
      <w:lvlJc w:val="left"/>
      <w:pPr>
        <w:ind w:left="3200" w:hanging="400"/>
      </w:pPr>
    </w:lvl>
    <w:lvl w:ilvl="7" w:tplc="9CBE9084" w:tentative="1">
      <w:start w:val="1"/>
      <w:numFmt w:val="upperLetter"/>
      <w:lvlText w:val="%8."/>
      <w:lvlJc w:val="left"/>
      <w:pPr>
        <w:ind w:left="3600" w:hanging="400"/>
      </w:pPr>
    </w:lvl>
    <w:lvl w:ilvl="8" w:tplc="92B238D8" w:tentative="1">
      <w:start w:val="1"/>
      <w:numFmt w:val="lowerRoman"/>
      <w:lvlText w:val="%9."/>
      <w:lvlJc w:val="right"/>
      <w:pPr>
        <w:ind w:left="4000" w:hanging="400"/>
      </w:pPr>
    </w:lvl>
  </w:abstractNum>
  <w:abstractNum w:abstractNumId="23" w15:restartNumberingAfterBreak="0">
    <w:nsid w:val="56BB1C05"/>
    <w:multiLevelType w:val="hybridMultilevel"/>
    <w:tmpl w:val="E28CD8A0"/>
    <w:lvl w:ilvl="0" w:tplc="FFFFFFFF">
      <w:start w:val="1"/>
      <w:numFmt w:val="decimal"/>
      <w:lvlText w:val="%1."/>
      <w:lvlJc w:val="left"/>
      <w:pPr>
        <w:ind w:left="760" w:hanging="360"/>
      </w:pPr>
      <w:rPr>
        <w:rFonts w:eastAsiaTheme="minorEastAsia" w:hint="default"/>
        <w:b/>
        <w:bCs/>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24" w15:restartNumberingAfterBreak="0">
    <w:nsid w:val="5711707C"/>
    <w:multiLevelType w:val="hybridMultilevel"/>
    <w:tmpl w:val="3912C58A"/>
    <w:lvl w:ilvl="0" w:tplc="44AE221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5" w15:restartNumberingAfterBreak="0">
    <w:nsid w:val="62D0162E"/>
    <w:multiLevelType w:val="hybridMultilevel"/>
    <w:tmpl w:val="E28CD8A0"/>
    <w:lvl w:ilvl="0" w:tplc="10141CAE">
      <w:start w:val="1"/>
      <w:numFmt w:val="decimal"/>
      <w:lvlText w:val="%1."/>
      <w:lvlJc w:val="left"/>
      <w:pPr>
        <w:ind w:left="760" w:hanging="360"/>
      </w:pPr>
      <w:rPr>
        <w:rFonts w:eastAsiaTheme="minorEastAsia" w:hint="default"/>
        <w:b/>
        <w:bCs/>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66522501"/>
    <w:multiLevelType w:val="hybridMultilevel"/>
    <w:tmpl w:val="7EF4BDBE"/>
    <w:lvl w:ilvl="0" w:tplc="98A8CAB2">
      <w:start w:val="1"/>
      <w:numFmt w:val="decimal"/>
      <w:lvlText w:val="(%1)"/>
      <w:lvlJc w:val="left"/>
      <w:pPr>
        <w:ind w:left="775" w:hanging="375"/>
      </w:pPr>
      <w:rPr>
        <w:rFonts w:hint="default"/>
      </w:rPr>
    </w:lvl>
    <w:lvl w:ilvl="1" w:tplc="B7884F9E" w:tentative="1">
      <w:start w:val="1"/>
      <w:numFmt w:val="upperLetter"/>
      <w:lvlText w:val="%2."/>
      <w:lvlJc w:val="left"/>
      <w:pPr>
        <w:ind w:left="1200" w:hanging="400"/>
      </w:pPr>
    </w:lvl>
    <w:lvl w:ilvl="2" w:tplc="EC2E3C76" w:tentative="1">
      <w:start w:val="1"/>
      <w:numFmt w:val="lowerRoman"/>
      <w:lvlText w:val="%3."/>
      <w:lvlJc w:val="right"/>
      <w:pPr>
        <w:ind w:left="1600" w:hanging="400"/>
      </w:pPr>
    </w:lvl>
    <w:lvl w:ilvl="3" w:tplc="F1109220" w:tentative="1">
      <w:start w:val="1"/>
      <w:numFmt w:val="decimal"/>
      <w:lvlText w:val="%4."/>
      <w:lvlJc w:val="left"/>
      <w:pPr>
        <w:ind w:left="2000" w:hanging="400"/>
      </w:pPr>
    </w:lvl>
    <w:lvl w:ilvl="4" w:tplc="66486C08" w:tentative="1">
      <w:start w:val="1"/>
      <w:numFmt w:val="upperLetter"/>
      <w:lvlText w:val="%5."/>
      <w:lvlJc w:val="left"/>
      <w:pPr>
        <w:ind w:left="2400" w:hanging="400"/>
      </w:pPr>
    </w:lvl>
    <w:lvl w:ilvl="5" w:tplc="F11207C8" w:tentative="1">
      <w:start w:val="1"/>
      <w:numFmt w:val="lowerRoman"/>
      <w:lvlText w:val="%6."/>
      <w:lvlJc w:val="right"/>
      <w:pPr>
        <w:ind w:left="2800" w:hanging="400"/>
      </w:pPr>
    </w:lvl>
    <w:lvl w:ilvl="6" w:tplc="CF9C3EFC" w:tentative="1">
      <w:start w:val="1"/>
      <w:numFmt w:val="decimal"/>
      <w:lvlText w:val="%7."/>
      <w:lvlJc w:val="left"/>
      <w:pPr>
        <w:ind w:left="3200" w:hanging="400"/>
      </w:pPr>
    </w:lvl>
    <w:lvl w:ilvl="7" w:tplc="9BD02378" w:tentative="1">
      <w:start w:val="1"/>
      <w:numFmt w:val="upperLetter"/>
      <w:lvlText w:val="%8."/>
      <w:lvlJc w:val="left"/>
      <w:pPr>
        <w:ind w:left="3600" w:hanging="400"/>
      </w:pPr>
    </w:lvl>
    <w:lvl w:ilvl="8" w:tplc="14346BF4" w:tentative="1">
      <w:start w:val="1"/>
      <w:numFmt w:val="lowerRoman"/>
      <w:lvlText w:val="%9."/>
      <w:lvlJc w:val="right"/>
      <w:pPr>
        <w:ind w:left="4000" w:hanging="400"/>
      </w:pPr>
    </w:lvl>
  </w:abstractNum>
  <w:abstractNum w:abstractNumId="27" w15:restartNumberingAfterBreak="0">
    <w:nsid w:val="66633F21"/>
    <w:multiLevelType w:val="hybridMultilevel"/>
    <w:tmpl w:val="026E8A66"/>
    <w:lvl w:ilvl="0" w:tplc="6B8EBAF0">
      <w:start w:val="1"/>
      <w:numFmt w:val="decimal"/>
      <w:lvlText w:val="(%1)"/>
      <w:lvlJc w:val="left"/>
      <w:pPr>
        <w:ind w:left="547" w:hanging="360"/>
      </w:pPr>
      <w:rPr>
        <w:rFonts w:hint="default"/>
      </w:rPr>
    </w:lvl>
    <w:lvl w:ilvl="1" w:tplc="30B84E52" w:tentative="1">
      <w:start w:val="1"/>
      <w:numFmt w:val="upperLetter"/>
      <w:lvlText w:val="%2."/>
      <w:lvlJc w:val="left"/>
      <w:pPr>
        <w:ind w:left="987" w:hanging="400"/>
      </w:pPr>
    </w:lvl>
    <w:lvl w:ilvl="2" w:tplc="2E920086" w:tentative="1">
      <w:start w:val="1"/>
      <w:numFmt w:val="lowerRoman"/>
      <w:lvlText w:val="%3."/>
      <w:lvlJc w:val="right"/>
      <w:pPr>
        <w:ind w:left="1387" w:hanging="400"/>
      </w:pPr>
    </w:lvl>
    <w:lvl w:ilvl="3" w:tplc="58E81C7E" w:tentative="1">
      <w:start w:val="1"/>
      <w:numFmt w:val="decimal"/>
      <w:lvlText w:val="%4."/>
      <w:lvlJc w:val="left"/>
      <w:pPr>
        <w:ind w:left="1787" w:hanging="400"/>
      </w:pPr>
    </w:lvl>
    <w:lvl w:ilvl="4" w:tplc="5C1E64CE" w:tentative="1">
      <w:start w:val="1"/>
      <w:numFmt w:val="upperLetter"/>
      <w:lvlText w:val="%5."/>
      <w:lvlJc w:val="left"/>
      <w:pPr>
        <w:ind w:left="2187" w:hanging="400"/>
      </w:pPr>
    </w:lvl>
    <w:lvl w:ilvl="5" w:tplc="CE82D714" w:tentative="1">
      <w:start w:val="1"/>
      <w:numFmt w:val="lowerRoman"/>
      <w:lvlText w:val="%6."/>
      <w:lvlJc w:val="right"/>
      <w:pPr>
        <w:ind w:left="2587" w:hanging="400"/>
      </w:pPr>
    </w:lvl>
    <w:lvl w:ilvl="6" w:tplc="95B027AC" w:tentative="1">
      <w:start w:val="1"/>
      <w:numFmt w:val="decimal"/>
      <w:lvlText w:val="%7."/>
      <w:lvlJc w:val="left"/>
      <w:pPr>
        <w:ind w:left="2987" w:hanging="400"/>
      </w:pPr>
    </w:lvl>
    <w:lvl w:ilvl="7" w:tplc="66B8FEB0" w:tentative="1">
      <w:start w:val="1"/>
      <w:numFmt w:val="upperLetter"/>
      <w:lvlText w:val="%8."/>
      <w:lvlJc w:val="left"/>
      <w:pPr>
        <w:ind w:left="3387" w:hanging="400"/>
      </w:pPr>
    </w:lvl>
    <w:lvl w:ilvl="8" w:tplc="54EAF1E2" w:tentative="1">
      <w:start w:val="1"/>
      <w:numFmt w:val="lowerRoman"/>
      <w:lvlText w:val="%9."/>
      <w:lvlJc w:val="right"/>
      <w:pPr>
        <w:ind w:left="3787" w:hanging="400"/>
      </w:pPr>
    </w:lvl>
  </w:abstractNum>
  <w:abstractNum w:abstractNumId="28" w15:restartNumberingAfterBreak="0">
    <w:nsid w:val="6ECA1865"/>
    <w:multiLevelType w:val="hybridMultilevel"/>
    <w:tmpl w:val="AF143868"/>
    <w:lvl w:ilvl="0" w:tplc="723A873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9" w15:restartNumberingAfterBreak="0">
    <w:nsid w:val="72FF6EF2"/>
    <w:multiLevelType w:val="hybridMultilevel"/>
    <w:tmpl w:val="A5C28D16"/>
    <w:lvl w:ilvl="0" w:tplc="D91CAB50">
      <w:start w:val="8"/>
      <w:numFmt w:val="decimal"/>
      <w:lvlText w:val="%1."/>
      <w:lvlJc w:val="left"/>
      <w:pPr>
        <w:ind w:left="760" w:hanging="360"/>
      </w:pPr>
      <w:rPr>
        <w:rFonts w:eastAsiaTheme="minorEastAsia"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30" w15:restartNumberingAfterBreak="0">
    <w:nsid w:val="74A8205F"/>
    <w:multiLevelType w:val="hybridMultilevel"/>
    <w:tmpl w:val="A5C28D16"/>
    <w:lvl w:ilvl="0" w:tplc="FFFFFFFF">
      <w:start w:val="8"/>
      <w:numFmt w:val="decimal"/>
      <w:lvlText w:val="%1."/>
      <w:lvlJc w:val="left"/>
      <w:pPr>
        <w:ind w:left="760" w:hanging="360"/>
      </w:pPr>
      <w:rPr>
        <w:rFonts w:eastAsiaTheme="minorEastAsia" w:hint="default"/>
      </w:rPr>
    </w:lvl>
    <w:lvl w:ilvl="1" w:tplc="FFFFFFFF" w:tentative="1">
      <w:start w:val="1"/>
      <w:numFmt w:val="upperLetter"/>
      <w:lvlText w:val="%2."/>
      <w:lvlJc w:val="left"/>
      <w:pPr>
        <w:ind w:left="1280" w:hanging="440"/>
      </w:pPr>
    </w:lvl>
    <w:lvl w:ilvl="2" w:tplc="FFFFFFFF" w:tentative="1">
      <w:start w:val="1"/>
      <w:numFmt w:val="lowerRoman"/>
      <w:lvlText w:val="%3."/>
      <w:lvlJc w:val="right"/>
      <w:pPr>
        <w:ind w:left="1720" w:hanging="440"/>
      </w:pPr>
    </w:lvl>
    <w:lvl w:ilvl="3" w:tplc="FFFFFFFF" w:tentative="1">
      <w:start w:val="1"/>
      <w:numFmt w:val="decimal"/>
      <w:lvlText w:val="%4."/>
      <w:lvlJc w:val="left"/>
      <w:pPr>
        <w:ind w:left="2160" w:hanging="440"/>
      </w:pPr>
    </w:lvl>
    <w:lvl w:ilvl="4" w:tplc="FFFFFFFF" w:tentative="1">
      <w:start w:val="1"/>
      <w:numFmt w:val="upperLetter"/>
      <w:lvlText w:val="%5."/>
      <w:lvlJc w:val="left"/>
      <w:pPr>
        <w:ind w:left="2600" w:hanging="440"/>
      </w:pPr>
    </w:lvl>
    <w:lvl w:ilvl="5" w:tplc="FFFFFFFF" w:tentative="1">
      <w:start w:val="1"/>
      <w:numFmt w:val="lowerRoman"/>
      <w:lvlText w:val="%6."/>
      <w:lvlJc w:val="right"/>
      <w:pPr>
        <w:ind w:left="3040" w:hanging="440"/>
      </w:pPr>
    </w:lvl>
    <w:lvl w:ilvl="6" w:tplc="FFFFFFFF" w:tentative="1">
      <w:start w:val="1"/>
      <w:numFmt w:val="decimal"/>
      <w:lvlText w:val="%7."/>
      <w:lvlJc w:val="left"/>
      <w:pPr>
        <w:ind w:left="3480" w:hanging="440"/>
      </w:pPr>
    </w:lvl>
    <w:lvl w:ilvl="7" w:tplc="FFFFFFFF" w:tentative="1">
      <w:start w:val="1"/>
      <w:numFmt w:val="upperLetter"/>
      <w:lvlText w:val="%8."/>
      <w:lvlJc w:val="left"/>
      <w:pPr>
        <w:ind w:left="3920" w:hanging="440"/>
      </w:pPr>
    </w:lvl>
    <w:lvl w:ilvl="8" w:tplc="FFFFFFFF" w:tentative="1">
      <w:start w:val="1"/>
      <w:numFmt w:val="lowerRoman"/>
      <w:lvlText w:val="%9."/>
      <w:lvlJc w:val="right"/>
      <w:pPr>
        <w:ind w:left="4360" w:hanging="440"/>
      </w:pPr>
    </w:lvl>
  </w:abstractNum>
  <w:abstractNum w:abstractNumId="31" w15:restartNumberingAfterBreak="0">
    <w:nsid w:val="78010C06"/>
    <w:multiLevelType w:val="hybridMultilevel"/>
    <w:tmpl w:val="A5C28D16"/>
    <w:lvl w:ilvl="0" w:tplc="FFFFFFFF">
      <w:start w:val="8"/>
      <w:numFmt w:val="decimal"/>
      <w:lvlText w:val="%1."/>
      <w:lvlJc w:val="left"/>
      <w:pPr>
        <w:ind w:left="760" w:hanging="360"/>
      </w:pPr>
      <w:rPr>
        <w:rFonts w:eastAsiaTheme="minorEastAsia" w:hint="default"/>
      </w:rPr>
    </w:lvl>
    <w:lvl w:ilvl="1" w:tplc="FFFFFFFF" w:tentative="1">
      <w:start w:val="1"/>
      <w:numFmt w:val="upperLetter"/>
      <w:lvlText w:val="%2."/>
      <w:lvlJc w:val="left"/>
      <w:pPr>
        <w:ind w:left="1280" w:hanging="440"/>
      </w:pPr>
    </w:lvl>
    <w:lvl w:ilvl="2" w:tplc="FFFFFFFF" w:tentative="1">
      <w:start w:val="1"/>
      <w:numFmt w:val="lowerRoman"/>
      <w:lvlText w:val="%3."/>
      <w:lvlJc w:val="right"/>
      <w:pPr>
        <w:ind w:left="1720" w:hanging="440"/>
      </w:pPr>
    </w:lvl>
    <w:lvl w:ilvl="3" w:tplc="FFFFFFFF" w:tentative="1">
      <w:start w:val="1"/>
      <w:numFmt w:val="decimal"/>
      <w:lvlText w:val="%4."/>
      <w:lvlJc w:val="left"/>
      <w:pPr>
        <w:ind w:left="2160" w:hanging="440"/>
      </w:pPr>
    </w:lvl>
    <w:lvl w:ilvl="4" w:tplc="FFFFFFFF" w:tentative="1">
      <w:start w:val="1"/>
      <w:numFmt w:val="upperLetter"/>
      <w:lvlText w:val="%5."/>
      <w:lvlJc w:val="left"/>
      <w:pPr>
        <w:ind w:left="2600" w:hanging="440"/>
      </w:pPr>
    </w:lvl>
    <w:lvl w:ilvl="5" w:tplc="FFFFFFFF" w:tentative="1">
      <w:start w:val="1"/>
      <w:numFmt w:val="lowerRoman"/>
      <w:lvlText w:val="%6."/>
      <w:lvlJc w:val="right"/>
      <w:pPr>
        <w:ind w:left="3040" w:hanging="440"/>
      </w:pPr>
    </w:lvl>
    <w:lvl w:ilvl="6" w:tplc="FFFFFFFF" w:tentative="1">
      <w:start w:val="1"/>
      <w:numFmt w:val="decimal"/>
      <w:lvlText w:val="%7."/>
      <w:lvlJc w:val="left"/>
      <w:pPr>
        <w:ind w:left="3480" w:hanging="440"/>
      </w:pPr>
    </w:lvl>
    <w:lvl w:ilvl="7" w:tplc="FFFFFFFF" w:tentative="1">
      <w:start w:val="1"/>
      <w:numFmt w:val="upperLetter"/>
      <w:lvlText w:val="%8."/>
      <w:lvlJc w:val="left"/>
      <w:pPr>
        <w:ind w:left="3920" w:hanging="440"/>
      </w:pPr>
    </w:lvl>
    <w:lvl w:ilvl="8" w:tplc="FFFFFFFF" w:tentative="1">
      <w:start w:val="1"/>
      <w:numFmt w:val="lowerRoman"/>
      <w:lvlText w:val="%9."/>
      <w:lvlJc w:val="right"/>
      <w:pPr>
        <w:ind w:left="4360" w:hanging="440"/>
      </w:pPr>
    </w:lvl>
  </w:abstractNum>
  <w:abstractNum w:abstractNumId="32" w15:restartNumberingAfterBreak="0">
    <w:nsid w:val="7ECD475E"/>
    <w:multiLevelType w:val="hybridMultilevel"/>
    <w:tmpl w:val="1C5A0478"/>
    <w:lvl w:ilvl="0" w:tplc="44DE57A6">
      <w:start w:val="1"/>
      <w:numFmt w:val="decimal"/>
      <w:lvlText w:val="(%1)"/>
      <w:lvlJc w:val="left"/>
      <w:pPr>
        <w:ind w:left="360" w:hanging="360"/>
      </w:pPr>
      <w:rPr>
        <w:rFonts w:hint="default"/>
      </w:rPr>
    </w:lvl>
    <w:lvl w:ilvl="1" w:tplc="0E6A632A" w:tentative="1">
      <w:start w:val="1"/>
      <w:numFmt w:val="upperLetter"/>
      <w:lvlText w:val="%2."/>
      <w:lvlJc w:val="left"/>
      <w:pPr>
        <w:ind w:left="1200" w:hanging="400"/>
      </w:pPr>
    </w:lvl>
    <w:lvl w:ilvl="2" w:tplc="B8226C16" w:tentative="1">
      <w:start w:val="1"/>
      <w:numFmt w:val="lowerRoman"/>
      <w:lvlText w:val="%3."/>
      <w:lvlJc w:val="right"/>
      <w:pPr>
        <w:ind w:left="1600" w:hanging="400"/>
      </w:pPr>
    </w:lvl>
    <w:lvl w:ilvl="3" w:tplc="00F63E9C" w:tentative="1">
      <w:start w:val="1"/>
      <w:numFmt w:val="decimal"/>
      <w:lvlText w:val="%4."/>
      <w:lvlJc w:val="left"/>
      <w:pPr>
        <w:ind w:left="2000" w:hanging="400"/>
      </w:pPr>
    </w:lvl>
    <w:lvl w:ilvl="4" w:tplc="5446579C" w:tentative="1">
      <w:start w:val="1"/>
      <w:numFmt w:val="upperLetter"/>
      <w:lvlText w:val="%5."/>
      <w:lvlJc w:val="left"/>
      <w:pPr>
        <w:ind w:left="2400" w:hanging="400"/>
      </w:pPr>
    </w:lvl>
    <w:lvl w:ilvl="5" w:tplc="856CF810" w:tentative="1">
      <w:start w:val="1"/>
      <w:numFmt w:val="lowerRoman"/>
      <w:lvlText w:val="%6."/>
      <w:lvlJc w:val="right"/>
      <w:pPr>
        <w:ind w:left="2800" w:hanging="400"/>
      </w:pPr>
    </w:lvl>
    <w:lvl w:ilvl="6" w:tplc="1AB4DFFA" w:tentative="1">
      <w:start w:val="1"/>
      <w:numFmt w:val="decimal"/>
      <w:lvlText w:val="%7."/>
      <w:lvlJc w:val="left"/>
      <w:pPr>
        <w:ind w:left="3200" w:hanging="400"/>
      </w:pPr>
    </w:lvl>
    <w:lvl w:ilvl="7" w:tplc="1C46128A" w:tentative="1">
      <w:start w:val="1"/>
      <w:numFmt w:val="upperLetter"/>
      <w:lvlText w:val="%8."/>
      <w:lvlJc w:val="left"/>
      <w:pPr>
        <w:ind w:left="3600" w:hanging="400"/>
      </w:pPr>
    </w:lvl>
    <w:lvl w:ilvl="8" w:tplc="82543784" w:tentative="1">
      <w:start w:val="1"/>
      <w:numFmt w:val="lowerRoman"/>
      <w:lvlText w:val="%9."/>
      <w:lvlJc w:val="right"/>
      <w:pPr>
        <w:ind w:left="4000" w:hanging="400"/>
      </w:pPr>
    </w:lvl>
  </w:abstractNum>
  <w:abstractNum w:abstractNumId="33" w15:restartNumberingAfterBreak="0">
    <w:nsid w:val="7F941BAB"/>
    <w:multiLevelType w:val="hybridMultilevel"/>
    <w:tmpl w:val="19DEDD24"/>
    <w:lvl w:ilvl="0" w:tplc="3404FF44">
      <w:start w:val="1"/>
      <w:numFmt w:val="decimal"/>
      <w:lvlText w:val="(%1)"/>
      <w:lvlJc w:val="left"/>
      <w:pPr>
        <w:ind w:left="760" w:hanging="360"/>
      </w:pPr>
      <w:rPr>
        <w:rFonts w:hint="default"/>
      </w:rPr>
    </w:lvl>
    <w:lvl w:ilvl="1" w:tplc="8D5EC14A" w:tentative="1">
      <w:start w:val="1"/>
      <w:numFmt w:val="upperLetter"/>
      <w:lvlText w:val="%2."/>
      <w:lvlJc w:val="left"/>
      <w:pPr>
        <w:ind w:left="1200" w:hanging="400"/>
      </w:pPr>
    </w:lvl>
    <w:lvl w:ilvl="2" w:tplc="AD30A656" w:tentative="1">
      <w:start w:val="1"/>
      <w:numFmt w:val="lowerRoman"/>
      <w:lvlText w:val="%3."/>
      <w:lvlJc w:val="right"/>
      <w:pPr>
        <w:ind w:left="1600" w:hanging="400"/>
      </w:pPr>
    </w:lvl>
    <w:lvl w:ilvl="3" w:tplc="D582921A" w:tentative="1">
      <w:start w:val="1"/>
      <w:numFmt w:val="decimal"/>
      <w:lvlText w:val="%4."/>
      <w:lvlJc w:val="left"/>
      <w:pPr>
        <w:ind w:left="2000" w:hanging="400"/>
      </w:pPr>
    </w:lvl>
    <w:lvl w:ilvl="4" w:tplc="8D624E8A" w:tentative="1">
      <w:start w:val="1"/>
      <w:numFmt w:val="upperLetter"/>
      <w:lvlText w:val="%5."/>
      <w:lvlJc w:val="left"/>
      <w:pPr>
        <w:ind w:left="2400" w:hanging="400"/>
      </w:pPr>
    </w:lvl>
    <w:lvl w:ilvl="5" w:tplc="83B8CE70" w:tentative="1">
      <w:start w:val="1"/>
      <w:numFmt w:val="lowerRoman"/>
      <w:lvlText w:val="%6."/>
      <w:lvlJc w:val="right"/>
      <w:pPr>
        <w:ind w:left="2800" w:hanging="400"/>
      </w:pPr>
    </w:lvl>
    <w:lvl w:ilvl="6" w:tplc="5E208946" w:tentative="1">
      <w:start w:val="1"/>
      <w:numFmt w:val="decimal"/>
      <w:lvlText w:val="%7."/>
      <w:lvlJc w:val="left"/>
      <w:pPr>
        <w:ind w:left="3200" w:hanging="400"/>
      </w:pPr>
    </w:lvl>
    <w:lvl w:ilvl="7" w:tplc="DA184524" w:tentative="1">
      <w:start w:val="1"/>
      <w:numFmt w:val="upperLetter"/>
      <w:lvlText w:val="%8."/>
      <w:lvlJc w:val="left"/>
      <w:pPr>
        <w:ind w:left="3600" w:hanging="400"/>
      </w:pPr>
    </w:lvl>
    <w:lvl w:ilvl="8" w:tplc="E384EB22" w:tentative="1">
      <w:start w:val="1"/>
      <w:numFmt w:val="lowerRoman"/>
      <w:lvlText w:val="%9."/>
      <w:lvlJc w:val="right"/>
      <w:pPr>
        <w:ind w:left="4000" w:hanging="400"/>
      </w:pPr>
    </w:lvl>
  </w:abstractNum>
  <w:abstractNum w:abstractNumId="34" w15:restartNumberingAfterBreak="0">
    <w:nsid w:val="7FB87D58"/>
    <w:multiLevelType w:val="hybridMultilevel"/>
    <w:tmpl w:val="0A42E168"/>
    <w:lvl w:ilvl="0" w:tplc="3610947A">
      <w:start w:val="1"/>
      <w:numFmt w:val="decimal"/>
      <w:lvlText w:val="(%1)"/>
      <w:lvlJc w:val="left"/>
      <w:pPr>
        <w:ind w:left="775" w:hanging="375"/>
      </w:pPr>
      <w:rPr>
        <w:rFonts w:hint="default"/>
      </w:rPr>
    </w:lvl>
    <w:lvl w:ilvl="1" w:tplc="90F47EF4" w:tentative="1">
      <w:start w:val="1"/>
      <w:numFmt w:val="upperLetter"/>
      <w:lvlText w:val="%2."/>
      <w:lvlJc w:val="left"/>
      <w:pPr>
        <w:ind w:left="1200" w:hanging="400"/>
      </w:pPr>
    </w:lvl>
    <w:lvl w:ilvl="2" w:tplc="FB1A9D4C" w:tentative="1">
      <w:start w:val="1"/>
      <w:numFmt w:val="lowerRoman"/>
      <w:lvlText w:val="%3."/>
      <w:lvlJc w:val="right"/>
      <w:pPr>
        <w:ind w:left="1600" w:hanging="400"/>
      </w:pPr>
    </w:lvl>
    <w:lvl w:ilvl="3" w:tplc="ECDAE664" w:tentative="1">
      <w:start w:val="1"/>
      <w:numFmt w:val="decimal"/>
      <w:lvlText w:val="%4."/>
      <w:lvlJc w:val="left"/>
      <w:pPr>
        <w:ind w:left="2000" w:hanging="400"/>
      </w:pPr>
    </w:lvl>
    <w:lvl w:ilvl="4" w:tplc="3544CA1E" w:tentative="1">
      <w:start w:val="1"/>
      <w:numFmt w:val="upperLetter"/>
      <w:lvlText w:val="%5."/>
      <w:lvlJc w:val="left"/>
      <w:pPr>
        <w:ind w:left="2400" w:hanging="400"/>
      </w:pPr>
    </w:lvl>
    <w:lvl w:ilvl="5" w:tplc="904E74C6" w:tentative="1">
      <w:start w:val="1"/>
      <w:numFmt w:val="lowerRoman"/>
      <w:lvlText w:val="%6."/>
      <w:lvlJc w:val="right"/>
      <w:pPr>
        <w:ind w:left="2800" w:hanging="400"/>
      </w:pPr>
    </w:lvl>
    <w:lvl w:ilvl="6" w:tplc="43E2A51A" w:tentative="1">
      <w:start w:val="1"/>
      <w:numFmt w:val="decimal"/>
      <w:lvlText w:val="%7."/>
      <w:lvlJc w:val="left"/>
      <w:pPr>
        <w:ind w:left="3200" w:hanging="400"/>
      </w:pPr>
    </w:lvl>
    <w:lvl w:ilvl="7" w:tplc="7E1EB136" w:tentative="1">
      <w:start w:val="1"/>
      <w:numFmt w:val="upperLetter"/>
      <w:lvlText w:val="%8."/>
      <w:lvlJc w:val="left"/>
      <w:pPr>
        <w:ind w:left="3600" w:hanging="400"/>
      </w:pPr>
    </w:lvl>
    <w:lvl w:ilvl="8" w:tplc="F8A45A02" w:tentative="1">
      <w:start w:val="1"/>
      <w:numFmt w:val="lowerRoman"/>
      <w:lvlText w:val="%9."/>
      <w:lvlJc w:val="right"/>
      <w:pPr>
        <w:ind w:left="4000" w:hanging="400"/>
      </w:pPr>
    </w:lvl>
  </w:abstractNum>
  <w:num w:numId="1">
    <w:abstractNumId w:val="18"/>
  </w:num>
  <w:num w:numId="2">
    <w:abstractNumId w:val="14"/>
  </w:num>
  <w:num w:numId="3">
    <w:abstractNumId w:val="19"/>
  </w:num>
  <w:num w:numId="4">
    <w:abstractNumId w:val="15"/>
  </w:num>
  <w:num w:numId="5">
    <w:abstractNumId w:val="13"/>
  </w:num>
  <w:num w:numId="6">
    <w:abstractNumId w:val="12"/>
  </w:num>
  <w:num w:numId="7">
    <w:abstractNumId w:val="27"/>
  </w:num>
  <w:num w:numId="8">
    <w:abstractNumId w:val="0"/>
    <w:lvlOverride w:ilvl="0">
      <w:lvl w:ilvl="0">
        <w:numFmt w:val="bullet"/>
        <w:lvlText w:val=""/>
        <w:legacy w:legacy="1" w:legacySpace="0" w:legacyIndent="0"/>
        <w:lvlJc w:val="left"/>
        <w:rPr>
          <w:rFonts w:ascii="Symbol" w:hAnsi="Symbol" w:hint="default"/>
        </w:rPr>
      </w:lvl>
    </w:lvlOverride>
  </w:num>
  <w:num w:numId="9">
    <w:abstractNumId w:val="0"/>
    <w:lvlOverride w:ilvl="0">
      <w:lvl w:ilvl="0">
        <w:numFmt w:val="bullet"/>
        <w:lvlText w:val=""/>
        <w:legacy w:legacy="1" w:legacySpace="0" w:legacyIndent="0"/>
        <w:lvlJc w:val="left"/>
        <w:rPr>
          <w:rFonts w:ascii="Symbol" w:hAnsi="Symbol" w:cs="Symbol" w:hint="default"/>
        </w:rPr>
      </w:lvl>
    </w:lvlOverride>
  </w:num>
  <w:num w:numId="10">
    <w:abstractNumId w:val="33"/>
  </w:num>
  <w:num w:numId="11">
    <w:abstractNumId w:val="5"/>
  </w:num>
  <w:num w:numId="12">
    <w:abstractNumId w:val="16"/>
  </w:num>
  <w:num w:numId="13">
    <w:abstractNumId w:val="22"/>
  </w:num>
  <w:num w:numId="14">
    <w:abstractNumId w:val="34"/>
  </w:num>
  <w:num w:numId="15">
    <w:abstractNumId w:val="21"/>
  </w:num>
  <w:num w:numId="16">
    <w:abstractNumId w:val="26"/>
  </w:num>
  <w:num w:numId="17">
    <w:abstractNumId w:val="32"/>
  </w:num>
  <w:num w:numId="18">
    <w:abstractNumId w:val="10"/>
  </w:num>
  <w:num w:numId="19">
    <w:abstractNumId w:val="8"/>
  </w:num>
  <w:num w:numId="20">
    <w:abstractNumId w:val="6"/>
  </w:num>
  <w:num w:numId="21">
    <w:abstractNumId w:val="9"/>
  </w:num>
  <w:num w:numId="22">
    <w:abstractNumId w:val="17"/>
  </w:num>
  <w:num w:numId="23">
    <w:abstractNumId w:val="1"/>
  </w:num>
  <w:num w:numId="24">
    <w:abstractNumId w:val="25"/>
  </w:num>
  <w:num w:numId="25">
    <w:abstractNumId w:val="4"/>
  </w:num>
  <w:num w:numId="26">
    <w:abstractNumId w:val="20"/>
  </w:num>
  <w:num w:numId="27">
    <w:abstractNumId w:val="7"/>
  </w:num>
  <w:num w:numId="28">
    <w:abstractNumId w:val="3"/>
  </w:num>
  <w:num w:numId="29">
    <w:abstractNumId w:val="2"/>
  </w:num>
  <w:num w:numId="30">
    <w:abstractNumId w:val="24"/>
  </w:num>
  <w:num w:numId="31">
    <w:abstractNumId w:val="11"/>
  </w:num>
  <w:num w:numId="32">
    <w:abstractNumId w:val="28"/>
  </w:num>
  <w:num w:numId="33">
    <w:abstractNumId w:val="23"/>
  </w:num>
  <w:num w:numId="34">
    <w:abstractNumId w:val="29"/>
  </w:num>
  <w:num w:numId="35">
    <w:abstractNumId w:val="31"/>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80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hineID" w:val="187|207|197|202|204|197|203|198|197|198|198|197|205|201|197|207|200|"/>
    <w:docVar w:name="Username" w:val="Senior Editor"/>
  </w:docVars>
  <w:rsids>
    <w:rsidRoot w:val="006E3B3C"/>
    <w:rsid w:val="000002F2"/>
    <w:rsid w:val="00000543"/>
    <w:rsid w:val="00000BFB"/>
    <w:rsid w:val="00000DEE"/>
    <w:rsid w:val="00000FE1"/>
    <w:rsid w:val="000018F8"/>
    <w:rsid w:val="000019D8"/>
    <w:rsid w:val="00001F05"/>
    <w:rsid w:val="00002145"/>
    <w:rsid w:val="00002286"/>
    <w:rsid w:val="00002754"/>
    <w:rsid w:val="0000275C"/>
    <w:rsid w:val="00002B01"/>
    <w:rsid w:val="00002EAE"/>
    <w:rsid w:val="00002F42"/>
    <w:rsid w:val="000035DF"/>
    <w:rsid w:val="00003782"/>
    <w:rsid w:val="00003C17"/>
    <w:rsid w:val="00003C6F"/>
    <w:rsid w:val="00003CD6"/>
    <w:rsid w:val="00003EA0"/>
    <w:rsid w:val="000040F8"/>
    <w:rsid w:val="00004281"/>
    <w:rsid w:val="00004DFE"/>
    <w:rsid w:val="00005752"/>
    <w:rsid w:val="00005B9D"/>
    <w:rsid w:val="00005C81"/>
    <w:rsid w:val="00006693"/>
    <w:rsid w:val="00006FED"/>
    <w:rsid w:val="00007081"/>
    <w:rsid w:val="000070F9"/>
    <w:rsid w:val="0000777F"/>
    <w:rsid w:val="00010494"/>
    <w:rsid w:val="00010D8F"/>
    <w:rsid w:val="00011551"/>
    <w:rsid w:val="0001167B"/>
    <w:rsid w:val="000119EC"/>
    <w:rsid w:val="0001320D"/>
    <w:rsid w:val="000138D7"/>
    <w:rsid w:val="00013B31"/>
    <w:rsid w:val="0001403F"/>
    <w:rsid w:val="000141A6"/>
    <w:rsid w:val="000146E7"/>
    <w:rsid w:val="00014ACA"/>
    <w:rsid w:val="000151F4"/>
    <w:rsid w:val="00015450"/>
    <w:rsid w:val="00015924"/>
    <w:rsid w:val="00015AFE"/>
    <w:rsid w:val="0001615B"/>
    <w:rsid w:val="00016748"/>
    <w:rsid w:val="00016E4A"/>
    <w:rsid w:val="0001721E"/>
    <w:rsid w:val="000200C5"/>
    <w:rsid w:val="000203B6"/>
    <w:rsid w:val="00020704"/>
    <w:rsid w:val="00020A1E"/>
    <w:rsid w:val="000216BD"/>
    <w:rsid w:val="00021E46"/>
    <w:rsid w:val="00022380"/>
    <w:rsid w:val="00022AE2"/>
    <w:rsid w:val="00022CAA"/>
    <w:rsid w:val="00022D45"/>
    <w:rsid w:val="00022F82"/>
    <w:rsid w:val="00023AED"/>
    <w:rsid w:val="00023FEB"/>
    <w:rsid w:val="000240B7"/>
    <w:rsid w:val="00024C2C"/>
    <w:rsid w:val="00025332"/>
    <w:rsid w:val="000255B8"/>
    <w:rsid w:val="00025B81"/>
    <w:rsid w:val="00025CA4"/>
    <w:rsid w:val="00026311"/>
    <w:rsid w:val="000265F1"/>
    <w:rsid w:val="000269B3"/>
    <w:rsid w:val="00026B16"/>
    <w:rsid w:val="00026D69"/>
    <w:rsid w:val="0002703E"/>
    <w:rsid w:val="000275FB"/>
    <w:rsid w:val="00027A9F"/>
    <w:rsid w:val="00030103"/>
    <w:rsid w:val="00030209"/>
    <w:rsid w:val="0003024E"/>
    <w:rsid w:val="00030CA5"/>
    <w:rsid w:val="00030E38"/>
    <w:rsid w:val="000310DE"/>
    <w:rsid w:val="0003136B"/>
    <w:rsid w:val="00031395"/>
    <w:rsid w:val="000315F6"/>
    <w:rsid w:val="00031AD3"/>
    <w:rsid w:val="00031CB2"/>
    <w:rsid w:val="0003357F"/>
    <w:rsid w:val="00034058"/>
    <w:rsid w:val="000345B1"/>
    <w:rsid w:val="00034887"/>
    <w:rsid w:val="000350C1"/>
    <w:rsid w:val="000354FF"/>
    <w:rsid w:val="000357FA"/>
    <w:rsid w:val="00035B9D"/>
    <w:rsid w:val="00035DBA"/>
    <w:rsid w:val="0003613B"/>
    <w:rsid w:val="00036414"/>
    <w:rsid w:val="0003701E"/>
    <w:rsid w:val="00037CBE"/>
    <w:rsid w:val="0004010E"/>
    <w:rsid w:val="0004022B"/>
    <w:rsid w:val="00040C8C"/>
    <w:rsid w:val="00040E2D"/>
    <w:rsid w:val="00040F7B"/>
    <w:rsid w:val="00041849"/>
    <w:rsid w:val="00041ED1"/>
    <w:rsid w:val="00041F80"/>
    <w:rsid w:val="000425E1"/>
    <w:rsid w:val="0004299E"/>
    <w:rsid w:val="00042BBE"/>
    <w:rsid w:val="00043530"/>
    <w:rsid w:val="00043845"/>
    <w:rsid w:val="00043C50"/>
    <w:rsid w:val="00043F4D"/>
    <w:rsid w:val="00044869"/>
    <w:rsid w:val="00044983"/>
    <w:rsid w:val="0004532F"/>
    <w:rsid w:val="00045847"/>
    <w:rsid w:val="00045993"/>
    <w:rsid w:val="00045AF5"/>
    <w:rsid w:val="00046682"/>
    <w:rsid w:val="000466A5"/>
    <w:rsid w:val="00046B6D"/>
    <w:rsid w:val="000507CA"/>
    <w:rsid w:val="00050B19"/>
    <w:rsid w:val="000511D3"/>
    <w:rsid w:val="0005184B"/>
    <w:rsid w:val="00051957"/>
    <w:rsid w:val="000523D7"/>
    <w:rsid w:val="00052480"/>
    <w:rsid w:val="0005294E"/>
    <w:rsid w:val="00053627"/>
    <w:rsid w:val="000540D6"/>
    <w:rsid w:val="0005472A"/>
    <w:rsid w:val="000552FA"/>
    <w:rsid w:val="0005568A"/>
    <w:rsid w:val="00055FA9"/>
    <w:rsid w:val="0005660F"/>
    <w:rsid w:val="000568CA"/>
    <w:rsid w:val="00056BD1"/>
    <w:rsid w:val="00056C38"/>
    <w:rsid w:val="00056DA9"/>
    <w:rsid w:val="00056EB9"/>
    <w:rsid w:val="00057013"/>
    <w:rsid w:val="000574B3"/>
    <w:rsid w:val="000578BA"/>
    <w:rsid w:val="00057B21"/>
    <w:rsid w:val="00057EBC"/>
    <w:rsid w:val="000607B8"/>
    <w:rsid w:val="000607FA"/>
    <w:rsid w:val="0006086E"/>
    <w:rsid w:val="0006093F"/>
    <w:rsid w:val="0006097F"/>
    <w:rsid w:val="00061032"/>
    <w:rsid w:val="00061052"/>
    <w:rsid w:val="000610F8"/>
    <w:rsid w:val="000622A1"/>
    <w:rsid w:val="00062579"/>
    <w:rsid w:val="00062663"/>
    <w:rsid w:val="000629C7"/>
    <w:rsid w:val="00062BF8"/>
    <w:rsid w:val="00062FC2"/>
    <w:rsid w:val="000636AF"/>
    <w:rsid w:val="00064243"/>
    <w:rsid w:val="00064823"/>
    <w:rsid w:val="00064C5B"/>
    <w:rsid w:val="00064DDA"/>
    <w:rsid w:val="00064E23"/>
    <w:rsid w:val="00064EF4"/>
    <w:rsid w:val="00065013"/>
    <w:rsid w:val="000651C2"/>
    <w:rsid w:val="00065561"/>
    <w:rsid w:val="0006565E"/>
    <w:rsid w:val="00065704"/>
    <w:rsid w:val="00065AE5"/>
    <w:rsid w:val="00065DBF"/>
    <w:rsid w:val="000667CD"/>
    <w:rsid w:val="00066898"/>
    <w:rsid w:val="000669C3"/>
    <w:rsid w:val="00066FC1"/>
    <w:rsid w:val="000672FC"/>
    <w:rsid w:val="000678A7"/>
    <w:rsid w:val="00067E1D"/>
    <w:rsid w:val="000702AD"/>
    <w:rsid w:val="00070605"/>
    <w:rsid w:val="000706B2"/>
    <w:rsid w:val="000707D8"/>
    <w:rsid w:val="00070CD8"/>
    <w:rsid w:val="00071732"/>
    <w:rsid w:val="00071E60"/>
    <w:rsid w:val="0007272E"/>
    <w:rsid w:val="00072BC0"/>
    <w:rsid w:val="00072CDB"/>
    <w:rsid w:val="000731BF"/>
    <w:rsid w:val="00073260"/>
    <w:rsid w:val="000732B9"/>
    <w:rsid w:val="00073BFF"/>
    <w:rsid w:val="0007406A"/>
    <w:rsid w:val="000742D9"/>
    <w:rsid w:val="00074347"/>
    <w:rsid w:val="000743DE"/>
    <w:rsid w:val="00074643"/>
    <w:rsid w:val="0007480A"/>
    <w:rsid w:val="00074891"/>
    <w:rsid w:val="000749CE"/>
    <w:rsid w:val="000756B0"/>
    <w:rsid w:val="00075F81"/>
    <w:rsid w:val="00076408"/>
    <w:rsid w:val="00076537"/>
    <w:rsid w:val="0007714D"/>
    <w:rsid w:val="000771B8"/>
    <w:rsid w:val="00077437"/>
    <w:rsid w:val="000779AD"/>
    <w:rsid w:val="00077A44"/>
    <w:rsid w:val="00080124"/>
    <w:rsid w:val="000805BB"/>
    <w:rsid w:val="000806B4"/>
    <w:rsid w:val="00080C0E"/>
    <w:rsid w:val="00081162"/>
    <w:rsid w:val="000813D9"/>
    <w:rsid w:val="000818AB"/>
    <w:rsid w:val="00081DEB"/>
    <w:rsid w:val="00082454"/>
    <w:rsid w:val="00082EA1"/>
    <w:rsid w:val="00082F38"/>
    <w:rsid w:val="00083213"/>
    <w:rsid w:val="0008333E"/>
    <w:rsid w:val="00083563"/>
    <w:rsid w:val="0008387E"/>
    <w:rsid w:val="00083907"/>
    <w:rsid w:val="000843D1"/>
    <w:rsid w:val="0008467F"/>
    <w:rsid w:val="00084D8B"/>
    <w:rsid w:val="00084E53"/>
    <w:rsid w:val="00084E65"/>
    <w:rsid w:val="00084EC2"/>
    <w:rsid w:val="00084EC7"/>
    <w:rsid w:val="00084F27"/>
    <w:rsid w:val="00085195"/>
    <w:rsid w:val="00085F4D"/>
    <w:rsid w:val="00086382"/>
    <w:rsid w:val="00086669"/>
    <w:rsid w:val="000868E0"/>
    <w:rsid w:val="00086E64"/>
    <w:rsid w:val="000872B8"/>
    <w:rsid w:val="0008767D"/>
    <w:rsid w:val="000903C9"/>
    <w:rsid w:val="00090446"/>
    <w:rsid w:val="00090C3D"/>
    <w:rsid w:val="00091284"/>
    <w:rsid w:val="00091918"/>
    <w:rsid w:val="000919F0"/>
    <w:rsid w:val="00091A88"/>
    <w:rsid w:val="00091F0A"/>
    <w:rsid w:val="000923BB"/>
    <w:rsid w:val="0009297A"/>
    <w:rsid w:val="00093269"/>
    <w:rsid w:val="0009347B"/>
    <w:rsid w:val="000935EB"/>
    <w:rsid w:val="00093667"/>
    <w:rsid w:val="000939AB"/>
    <w:rsid w:val="00093A83"/>
    <w:rsid w:val="00093C07"/>
    <w:rsid w:val="00093DC5"/>
    <w:rsid w:val="000942B7"/>
    <w:rsid w:val="00094A8F"/>
    <w:rsid w:val="00094B8F"/>
    <w:rsid w:val="00094CA4"/>
    <w:rsid w:val="000953AC"/>
    <w:rsid w:val="00095524"/>
    <w:rsid w:val="0009595C"/>
    <w:rsid w:val="000965F3"/>
    <w:rsid w:val="00096A89"/>
    <w:rsid w:val="00096AA1"/>
    <w:rsid w:val="00096E15"/>
    <w:rsid w:val="0009711E"/>
    <w:rsid w:val="0009750F"/>
    <w:rsid w:val="000A018A"/>
    <w:rsid w:val="000A0CFF"/>
    <w:rsid w:val="000A13F0"/>
    <w:rsid w:val="000A1459"/>
    <w:rsid w:val="000A1897"/>
    <w:rsid w:val="000A19E3"/>
    <w:rsid w:val="000A1DD0"/>
    <w:rsid w:val="000A251B"/>
    <w:rsid w:val="000A273B"/>
    <w:rsid w:val="000A2CCF"/>
    <w:rsid w:val="000A3EDA"/>
    <w:rsid w:val="000A3FD3"/>
    <w:rsid w:val="000A45DB"/>
    <w:rsid w:val="000A4916"/>
    <w:rsid w:val="000A4BB1"/>
    <w:rsid w:val="000A4EBE"/>
    <w:rsid w:val="000A4F23"/>
    <w:rsid w:val="000A54F0"/>
    <w:rsid w:val="000A58B2"/>
    <w:rsid w:val="000A591F"/>
    <w:rsid w:val="000A6960"/>
    <w:rsid w:val="000A6969"/>
    <w:rsid w:val="000A6A34"/>
    <w:rsid w:val="000A6AB3"/>
    <w:rsid w:val="000A6F7F"/>
    <w:rsid w:val="000A7200"/>
    <w:rsid w:val="000A780B"/>
    <w:rsid w:val="000A790E"/>
    <w:rsid w:val="000A7F92"/>
    <w:rsid w:val="000A7FF4"/>
    <w:rsid w:val="000B0117"/>
    <w:rsid w:val="000B02FF"/>
    <w:rsid w:val="000B0569"/>
    <w:rsid w:val="000B09B0"/>
    <w:rsid w:val="000B104B"/>
    <w:rsid w:val="000B10DD"/>
    <w:rsid w:val="000B136A"/>
    <w:rsid w:val="000B1397"/>
    <w:rsid w:val="000B1B84"/>
    <w:rsid w:val="000B1D24"/>
    <w:rsid w:val="000B209B"/>
    <w:rsid w:val="000B2C99"/>
    <w:rsid w:val="000B2DB0"/>
    <w:rsid w:val="000B2EA7"/>
    <w:rsid w:val="000B2EEB"/>
    <w:rsid w:val="000B37FF"/>
    <w:rsid w:val="000B3B73"/>
    <w:rsid w:val="000B3F2C"/>
    <w:rsid w:val="000B4158"/>
    <w:rsid w:val="000B4822"/>
    <w:rsid w:val="000B4837"/>
    <w:rsid w:val="000B48E0"/>
    <w:rsid w:val="000B5040"/>
    <w:rsid w:val="000B5610"/>
    <w:rsid w:val="000B5F32"/>
    <w:rsid w:val="000B6A39"/>
    <w:rsid w:val="000B6DF5"/>
    <w:rsid w:val="000B6E13"/>
    <w:rsid w:val="000B73BF"/>
    <w:rsid w:val="000B782A"/>
    <w:rsid w:val="000C00B6"/>
    <w:rsid w:val="000C00E8"/>
    <w:rsid w:val="000C02D6"/>
    <w:rsid w:val="000C04A8"/>
    <w:rsid w:val="000C05CC"/>
    <w:rsid w:val="000C0FF1"/>
    <w:rsid w:val="000C11F4"/>
    <w:rsid w:val="000C13E8"/>
    <w:rsid w:val="000C1C82"/>
    <w:rsid w:val="000C24B9"/>
    <w:rsid w:val="000C26AC"/>
    <w:rsid w:val="000C30CD"/>
    <w:rsid w:val="000C34A1"/>
    <w:rsid w:val="000C3A25"/>
    <w:rsid w:val="000C3BCF"/>
    <w:rsid w:val="000C3E3A"/>
    <w:rsid w:val="000C3F9C"/>
    <w:rsid w:val="000C44B4"/>
    <w:rsid w:val="000C5080"/>
    <w:rsid w:val="000C5248"/>
    <w:rsid w:val="000C55C2"/>
    <w:rsid w:val="000C5A06"/>
    <w:rsid w:val="000C5B50"/>
    <w:rsid w:val="000C611A"/>
    <w:rsid w:val="000C62FC"/>
    <w:rsid w:val="000C652B"/>
    <w:rsid w:val="000C68DF"/>
    <w:rsid w:val="000C6B04"/>
    <w:rsid w:val="000C71F3"/>
    <w:rsid w:val="000C7CDB"/>
    <w:rsid w:val="000D0113"/>
    <w:rsid w:val="000D07FA"/>
    <w:rsid w:val="000D0984"/>
    <w:rsid w:val="000D0DD9"/>
    <w:rsid w:val="000D0E27"/>
    <w:rsid w:val="000D10CD"/>
    <w:rsid w:val="000D13B6"/>
    <w:rsid w:val="000D153A"/>
    <w:rsid w:val="000D2124"/>
    <w:rsid w:val="000D2313"/>
    <w:rsid w:val="000D2505"/>
    <w:rsid w:val="000D332F"/>
    <w:rsid w:val="000D343C"/>
    <w:rsid w:val="000D3A41"/>
    <w:rsid w:val="000D3D59"/>
    <w:rsid w:val="000D4258"/>
    <w:rsid w:val="000D43D0"/>
    <w:rsid w:val="000D459A"/>
    <w:rsid w:val="000D5D6E"/>
    <w:rsid w:val="000D5D91"/>
    <w:rsid w:val="000D64CC"/>
    <w:rsid w:val="000D680B"/>
    <w:rsid w:val="000D695C"/>
    <w:rsid w:val="000D751B"/>
    <w:rsid w:val="000D7D45"/>
    <w:rsid w:val="000D7EF5"/>
    <w:rsid w:val="000E004A"/>
    <w:rsid w:val="000E03FA"/>
    <w:rsid w:val="000E0868"/>
    <w:rsid w:val="000E0E9E"/>
    <w:rsid w:val="000E1E09"/>
    <w:rsid w:val="000E1F9C"/>
    <w:rsid w:val="000E2143"/>
    <w:rsid w:val="000E2AD0"/>
    <w:rsid w:val="000E2CDE"/>
    <w:rsid w:val="000E2E84"/>
    <w:rsid w:val="000E2E9D"/>
    <w:rsid w:val="000E304A"/>
    <w:rsid w:val="000E3094"/>
    <w:rsid w:val="000E3892"/>
    <w:rsid w:val="000E3ABB"/>
    <w:rsid w:val="000E3BE9"/>
    <w:rsid w:val="000E4120"/>
    <w:rsid w:val="000E489B"/>
    <w:rsid w:val="000E4A5B"/>
    <w:rsid w:val="000E4BB7"/>
    <w:rsid w:val="000E5301"/>
    <w:rsid w:val="000E56CD"/>
    <w:rsid w:val="000E5892"/>
    <w:rsid w:val="000E5B83"/>
    <w:rsid w:val="000E5D74"/>
    <w:rsid w:val="000E6092"/>
    <w:rsid w:val="000E62F1"/>
    <w:rsid w:val="000E6389"/>
    <w:rsid w:val="000E68FA"/>
    <w:rsid w:val="000E6BC8"/>
    <w:rsid w:val="000E6E90"/>
    <w:rsid w:val="000E6EC1"/>
    <w:rsid w:val="000F01DE"/>
    <w:rsid w:val="000F058B"/>
    <w:rsid w:val="000F07B4"/>
    <w:rsid w:val="000F0A09"/>
    <w:rsid w:val="000F0EBB"/>
    <w:rsid w:val="000F0F50"/>
    <w:rsid w:val="000F1151"/>
    <w:rsid w:val="000F16C3"/>
    <w:rsid w:val="000F23E4"/>
    <w:rsid w:val="000F2861"/>
    <w:rsid w:val="000F2CE4"/>
    <w:rsid w:val="000F2D5F"/>
    <w:rsid w:val="000F2E9F"/>
    <w:rsid w:val="000F30C4"/>
    <w:rsid w:val="000F3612"/>
    <w:rsid w:val="000F3788"/>
    <w:rsid w:val="000F3B7C"/>
    <w:rsid w:val="000F4704"/>
    <w:rsid w:val="000F4C3F"/>
    <w:rsid w:val="000F54A8"/>
    <w:rsid w:val="000F561C"/>
    <w:rsid w:val="000F574B"/>
    <w:rsid w:val="000F5858"/>
    <w:rsid w:val="000F5D9F"/>
    <w:rsid w:val="000F5DFD"/>
    <w:rsid w:val="000F6674"/>
    <w:rsid w:val="000F6A50"/>
    <w:rsid w:val="000F6F45"/>
    <w:rsid w:val="000F7DE2"/>
    <w:rsid w:val="00100354"/>
    <w:rsid w:val="00101296"/>
    <w:rsid w:val="00101871"/>
    <w:rsid w:val="00101E6E"/>
    <w:rsid w:val="00102063"/>
    <w:rsid w:val="0010245F"/>
    <w:rsid w:val="001024D7"/>
    <w:rsid w:val="0010344E"/>
    <w:rsid w:val="00103B5A"/>
    <w:rsid w:val="00103FEB"/>
    <w:rsid w:val="001041E4"/>
    <w:rsid w:val="0010477C"/>
    <w:rsid w:val="0010506D"/>
    <w:rsid w:val="001052D0"/>
    <w:rsid w:val="00105836"/>
    <w:rsid w:val="00105DE7"/>
    <w:rsid w:val="00105E0B"/>
    <w:rsid w:val="00105F05"/>
    <w:rsid w:val="00106CF2"/>
    <w:rsid w:val="00107746"/>
    <w:rsid w:val="001079FF"/>
    <w:rsid w:val="00107BE3"/>
    <w:rsid w:val="00107CC1"/>
    <w:rsid w:val="00107E92"/>
    <w:rsid w:val="00107FB3"/>
    <w:rsid w:val="00110082"/>
    <w:rsid w:val="00110ECE"/>
    <w:rsid w:val="00112827"/>
    <w:rsid w:val="00112EF3"/>
    <w:rsid w:val="0011396D"/>
    <w:rsid w:val="00113CC9"/>
    <w:rsid w:val="00114376"/>
    <w:rsid w:val="00114AEB"/>
    <w:rsid w:val="00115567"/>
    <w:rsid w:val="00115E8B"/>
    <w:rsid w:val="001160A4"/>
    <w:rsid w:val="0011631A"/>
    <w:rsid w:val="00116382"/>
    <w:rsid w:val="001165BB"/>
    <w:rsid w:val="00120428"/>
    <w:rsid w:val="001204C4"/>
    <w:rsid w:val="0012094E"/>
    <w:rsid w:val="00120A7A"/>
    <w:rsid w:val="00120AD6"/>
    <w:rsid w:val="00121056"/>
    <w:rsid w:val="001211D1"/>
    <w:rsid w:val="00121420"/>
    <w:rsid w:val="00121842"/>
    <w:rsid w:val="00121A56"/>
    <w:rsid w:val="00121AFC"/>
    <w:rsid w:val="00121B8A"/>
    <w:rsid w:val="00121E87"/>
    <w:rsid w:val="00122026"/>
    <w:rsid w:val="00122205"/>
    <w:rsid w:val="00122829"/>
    <w:rsid w:val="00122916"/>
    <w:rsid w:val="00122B2C"/>
    <w:rsid w:val="0012309E"/>
    <w:rsid w:val="00123ACC"/>
    <w:rsid w:val="00123E78"/>
    <w:rsid w:val="00124606"/>
    <w:rsid w:val="00124DC8"/>
    <w:rsid w:val="00124FEB"/>
    <w:rsid w:val="001250D1"/>
    <w:rsid w:val="001259B1"/>
    <w:rsid w:val="00125BC0"/>
    <w:rsid w:val="00125D2A"/>
    <w:rsid w:val="00126514"/>
    <w:rsid w:val="001266D7"/>
    <w:rsid w:val="00126850"/>
    <w:rsid w:val="0012761D"/>
    <w:rsid w:val="00127E8A"/>
    <w:rsid w:val="00130D26"/>
    <w:rsid w:val="001311B1"/>
    <w:rsid w:val="001319BD"/>
    <w:rsid w:val="00131F51"/>
    <w:rsid w:val="00131F52"/>
    <w:rsid w:val="00131FBA"/>
    <w:rsid w:val="001326B3"/>
    <w:rsid w:val="001328E5"/>
    <w:rsid w:val="00132907"/>
    <w:rsid w:val="00132CD3"/>
    <w:rsid w:val="00133260"/>
    <w:rsid w:val="00133831"/>
    <w:rsid w:val="00133B8C"/>
    <w:rsid w:val="00134235"/>
    <w:rsid w:val="001343D5"/>
    <w:rsid w:val="001343D9"/>
    <w:rsid w:val="001344E9"/>
    <w:rsid w:val="00134C4C"/>
    <w:rsid w:val="00134C75"/>
    <w:rsid w:val="00135132"/>
    <w:rsid w:val="00135979"/>
    <w:rsid w:val="0013680C"/>
    <w:rsid w:val="00136CB5"/>
    <w:rsid w:val="00137A18"/>
    <w:rsid w:val="00137A8F"/>
    <w:rsid w:val="00137B39"/>
    <w:rsid w:val="00137CD0"/>
    <w:rsid w:val="00137E62"/>
    <w:rsid w:val="0014065D"/>
    <w:rsid w:val="00140838"/>
    <w:rsid w:val="00140E1F"/>
    <w:rsid w:val="00141630"/>
    <w:rsid w:val="00141C76"/>
    <w:rsid w:val="00141DC0"/>
    <w:rsid w:val="00142029"/>
    <w:rsid w:val="001427A8"/>
    <w:rsid w:val="00142C5F"/>
    <w:rsid w:val="00142D10"/>
    <w:rsid w:val="00143001"/>
    <w:rsid w:val="00143938"/>
    <w:rsid w:val="00143C13"/>
    <w:rsid w:val="001441B1"/>
    <w:rsid w:val="00144B71"/>
    <w:rsid w:val="00145262"/>
    <w:rsid w:val="00145418"/>
    <w:rsid w:val="0014550B"/>
    <w:rsid w:val="001457E5"/>
    <w:rsid w:val="00146096"/>
    <w:rsid w:val="0014646C"/>
    <w:rsid w:val="0014669E"/>
    <w:rsid w:val="00146A30"/>
    <w:rsid w:val="0014723B"/>
    <w:rsid w:val="00147AD1"/>
    <w:rsid w:val="0015060E"/>
    <w:rsid w:val="001507C1"/>
    <w:rsid w:val="00150A3B"/>
    <w:rsid w:val="00150D63"/>
    <w:rsid w:val="001517BD"/>
    <w:rsid w:val="0015183E"/>
    <w:rsid w:val="00151A5A"/>
    <w:rsid w:val="00151B39"/>
    <w:rsid w:val="00151C8A"/>
    <w:rsid w:val="00151D17"/>
    <w:rsid w:val="00151E44"/>
    <w:rsid w:val="00151F81"/>
    <w:rsid w:val="00151FBF"/>
    <w:rsid w:val="0015207F"/>
    <w:rsid w:val="0015217B"/>
    <w:rsid w:val="0015231C"/>
    <w:rsid w:val="001523CF"/>
    <w:rsid w:val="00152555"/>
    <w:rsid w:val="001528AA"/>
    <w:rsid w:val="00152B32"/>
    <w:rsid w:val="00153FF1"/>
    <w:rsid w:val="00154674"/>
    <w:rsid w:val="0015514E"/>
    <w:rsid w:val="00155546"/>
    <w:rsid w:val="00155E31"/>
    <w:rsid w:val="00156074"/>
    <w:rsid w:val="00156CB2"/>
    <w:rsid w:val="00156DED"/>
    <w:rsid w:val="00157175"/>
    <w:rsid w:val="00157615"/>
    <w:rsid w:val="0015788C"/>
    <w:rsid w:val="00157D84"/>
    <w:rsid w:val="00157DD6"/>
    <w:rsid w:val="00157E36"/>
    <w:rsid w:val="00157F02"/>
    <w:rsid w:val="00160006"/>
    <w:rsid w:val="00160CD9"/>
    <w:rsid w:val="00160DEE"/>
    <w:rsid w:val="0016124A"/>
    <w:rsid w:val="0016155E"/>
    <w:rsid w:val="0016186E"/>
    <w:rsid w:val="00161891"/>
    <w:rsid w:val="00161D4E"/>
    <w:rsid w:val="0016248D"/>
    <w:rsid w:val="0016257E"/>
    <w:rsid w:val="00162BC6"/>
    <w:rsid w:val="00162D17"/>
    <w:rsid w:val="00164694"/>
    <w:rsid w:val="001647EC"/>
    <w:rsid w:val="00164885"/>
    <w:rsid w:val="001651C5"/>
    <w:rsid w:val="0016619E"/>
    <w:rsid w:val="001662B6"/>
    <w:rsid w:val="00166301"/>
    <w:rsid w:val="00166441"/>
    <w:rsid w:val="00166597"/>
    <w:rsid w:val="0016671A"/>
    <w:rsid w:val="00166A44"/>
    <w:rsid w:val="00167F3C"/>
    <w:rsid w:val="00170D07"/>
    <w:rsid w:val="00170E08"/>
    <w:rsid w:val="0017139F"/>
    <w:rsid w:val="0017148A"/>
    <w:rsid w:val="00171506"/>
    <w:rsid w:val="00171F96"/>
    <w:rsid w:val="0017252B"/>
    <w:rsid w:val="00172A71"/>
    <w:rsid w:val="00172C37"/>
    <w:rsid w:val="001731B4"/>
    <w:rsid w:val="00173996"/>
    <w:rsid w:val="001739A7"/>
    <w:rsid w:val="00173B25"/>
    <w:rsid w:val="001742FB"/>
    <w:rsid w:val="00174885"/>
    <w:rsid w:val="00174BB1"/>
    <w:rsid w:val="00174FF8"/>
    <w:rsid w:val="00175B85"/>
    <w:rsid w:val="00175C02"/>
    <w:rsid w:val="00175EEC"/>
    <w:rsid w:val="00175F7C"/>
    <w:rsid w:val="00176243"/>
    <w:rsid w:val="00176BE6"/>
    <w:rsid w:val="00176D21"/>
    <w:rsid w:val="0018063C"/>
    <w:rsid w:val="00181291"/>
    <w:rsid w:val="00181C21"/>
    <w:rsid w:val="00182228"/>
    <w:rsid w:val="00182290"/>
    <w:rsid w:val="00182669"/>
    <w:rsid w:val="00182674"/>
    <w:rsid w:val="001826A3"/>
    <w:rsid w:val="001829FC"/>
    <w:rsid w:val="001848B4"/>
    <w:rsid w:val="001851B1"/>
    <w:rsid w:val="001855DC"/>
    <w:rsid w:val="00185604"/>
    <w:rsid w:val="0018589C"/>
    <w:rsid w:val="00185994"/>
    <w:rsid w:val="00186665"/>
    <w:rsid w:val="001868EC"/>
    <w:rsid w:val="0018717B"/>
    <w:rsid w:val="00187212"/>
    <w:rsid w:val="00187355"/>
    <w:rsid w:val="0018764A"/>
    <w:rsid w:val="001878A4"/>
    <w:rsid w:val="00187ED4"/>
    <w:rsid w:val="00190593"/>
    <w:rsid w:val="00190D80"/>
    <w:rsid w:val="00190F2A"/>
    <w:rsid w:val="00191207"/>
    <w:rsid w:val="00191478"/>
    <w:rsid w:val="001917E0"/>
    <w:rsid w:val="00191E02"/>
    <w:rsid w:val="00192443"/>
    <w:rsid w:val="001932C4"/>
    <w:rsid w:val="00194124"/>
    <w:rsid w:val="001945BC"/>
    <w:rsid w:val="0019484B"/>
    <w:rsid w:val="00194BE0"/>
    <w:rsid w:val="00194E16"/>
    <w:rsid w:val="00195750"/>
    <w:rsid w:val="00195879"/>
    <w:rsid w:val="00195ACA"/>
    <w:rsid w:val="00195DF8"/>
    <w:rsid w:val="00196E5A"/>
    <w:rsid w:val="001977D0"/>
    <w:rsid w:val="001A0F17"/>
    <w:rsid w:val="001A1118"/>
    <w:rsid w:val="001A14EE"/>
    <w:rsid w:val="001A18BB"/>
    <w:rsid w:val="001A1AF1"/>
    <w:rsid w:val="001A2272"/>
    <w:rsid w:val="001A2DD9"/>
    <w:rsid w:val="001A2F2F"/>
    <w:rsid w:val="001A3944"/>
    <w:rsid w:val="001A3974"/>
    <w:rsid w:val="001A3B6E"/>
    <w:rsid w:val="001A3F83"/>
    <w:rsid w:val="001A4183"/>
    <w:rsid w:val="001A4915"/>
    <w:rsid w:val="001A4E19"/>
    <w:rsid w:val="001A5710"/>
    <w:rsid w:val="001A5FC5"/>
    <w:rsid w:val="001A60B4"/>
    <w:rsid w:val="001A611E"/>
    <w:rsid w:val="001A6391"/>
    <w:rsid w:val="001A6456"/>
    <w:rsid w:val="001A69AE"/>
    <w:rsid w:val="001A6A90"/>
    <w:rsid w:val="001A6A95"/>
    <w:rsid w:val="001A6D79"/>
    <w:rsid w:val="001A7688"/>
    <w:rsid w:val="001A7720"/>
    <w:rsid w:val="001A78E5"/>
    <w:rsid w:val="001A7A90"/>
    <w:rsid w:val="001A7CE3"/>
    <w:rsid w:val="001B0178"/>
    <w:rsid w:val="001B030D"/>
    <w:rsid w:val="001B066D"/>
    <w:rsid w:val="001B0A57"/>
    <w:rsid w:val="001B0A82"/>
    <w:rsid w:val="001B0F8D"/>
    <w:rsid w:val="001B1464"/>
    <w:rsid w:val="001B1499"/>
    <w:rsid w:val="001B1501"/>
    <w:rsid w:val="001B17EE"/>
    <w:rsid w:val="001B1933"/>
    <w:rsid w:val="001B25B7"/>
    <w:rsid w:val="001B3853"/>
    <w:rsid w:val="001B3E5B"/>
    <w:rsid w:val="001B463B"/>
    <w:rsid w:val="001B49DC"/>
    <w:rsid w:val="001B5170"/>
    <w:rsid w:val="001B576A"/>
    <w:rsid w:val="001B5A8E"/>
    <w:rsid w:val="001B5BE7"/>
    <w:rsid w:val="001B5FAC"/>
    <w:rsid w:val="001B681E"/>
    <w:rsid w:val="001B6FAA"/>
    <w:rsid w:val="001B71BF"/>
    <w:rsid w:val="001B76BB"/>
    <w:rsid w:val="001B7ACC"/>
    <w:rsid w:val="001B7B40"/>
    <w:rsid w:val="001C1416"/>
    <w:rsid w:val="001C1969"/>
    <w:rsid w:val="001C1D51"/>
    <w:rsid w:val="001C205B"/>
    <w:rsid w:val="001C2771"/>
    <w:rsid w:val="001C29F3"/>
    <w:rsid w:val="001C2D65"/>
    <w:rsid w:val="001C33F6"/>
    <w:rsid w:val="001C3981"/>
    <w:rsid w:val="001C3D22"/>
    <w:rsid w:val="001C44CD"/>
    <w:rsid w:val="001C4800"/>
    <w:rsid w:val="001C4D95"/>
    <w:rsid w:val="001C5136"/>
    <w:rsid w:val="001C51CC"/>
    <w:rsid w:val="001C52B5"/>
    <w:rsid w:val="001C5736"/>
    <w:rsid w:val="001C592A"/>
    <w:rsid w:val="001C6346"/>
    <w:rsid w:val="001C6555"/>
    <w:rsid w:val="001C701A"/>
    <w:rsid w:val="001C71C3"/>
    <w:rsid w:val="001C7206"/>
    <w:rsid w:val="001C79DB"/>
    <w:rsid w:val="001D03AB"/>
    <w:rsid w:val="001D04AC"/>
    <w:rsid w:val="001D08FA"/>
    <w:rsid w:val="001D0E16"/>
    <w:rsid w:val="001D0F2A"/>
    <w:rsid w:val="001D119E"/>
    <w:rsid w:val="001D148E"/>
    <w:rsid w:val="001D15E0"/>
    <w:rsid w:val="001D17C3"/>
    <w:rsid w:val="001D1C9E"/>
    <w:rsid w:val="001D1D44"/>
    <w:rsid w:val="001D222E"/>
    <w:rsid w:val="001D27F4"/>
    <w:rsid w:val="001D2C8E"/>
    <w:rsid w:val="001D2F68"/>
    <w:rsid w:val="001D36EF"/>
    <w:rsid w:val="001D3F66"/>
    <w:rsid w:val="001D477D"/>
    <w:rsid w:val="001D4DB1"/>
    <w:rsid w:val="001D4DDF"/>
    <w:rsid w:val="001D5EBB"/>
    <w:rsid w:val="001D6311"/>
    <w:rsid w:val="001D6B5D"/>
    <w:rsid w:val="001D724C"/>
    <w:rsid w:val="001D7DBF"/>
    <w:rsid w:val="001D7DC0"/>
    <w:rsid w:val="001E0146"/>
    <w:rsid w:val="001E0F47"/>
    <w:rsid w:val="001E10CB"/>
    <w:rsid w:val="001E130E"/>
    <w:rsid w:val="001E1927"/>
    <w:rsid w:val="001E1BA4"/>
    <w:rsid w:val="001E1E51"/>
    <w:rsid w:val="001E27BA"/>
    <w:rsid w:val="001E2929"/>
    <w:rsid w:val="001E2B1F"/>
    <w:rsid w:val="001E3692"/>
    <w:rsid w:val="001E3847"/>
    <w:rsid w:val="001E38C1"/>
    <w:rsid w:val="001E3996"/>
    <w:rsid w:val="001E40C7"/>
    <w:rsid w:val="001E428A"/>
    <w:rsid w:val="001E4E35"/>
    <w:rsid w:val="001E4F0D"/>
    <w:rsid w:val="001E5553"/>
    <w:rsid w:val="001E5E19"/>
    <w:rsid w:val="001E61E4"/>
    <w:rsid w:val="001E6414"/>
    <w:rsid w:val="001E65E6"/>
    <w:rsid w:val="001E67C9"/>
    <w:rsid w:val="001E68FA"/>
    <w:rsid w:val="001E6BC7"/>
    <w:rsid w:val="001E6D13"/>
    <w:rsid w:val="001E6D48"/>
    <w:rsid w:val="001E70F9"/>
    <w:rsid w:val="001E730C"/>
    <w:rsid w:val="001E7B23"/>
    <w:rsid w:val="001F08CF"/>
    <w:rsid w:val="001F09BC"/>
    <w:rsid w:val="001F103D"/>
    <w:rsid w:val="001F120F"/>
    <w:rsid w:val="001F1A12"/>
    <w:rsid w:val="001F1D8E"/>
    <w:rsid w:val="001F23FF"/>
    <w:rsid w:val="001F2FFF"/>
    <w:rsid w:val="001F318F"/>
    <w:rsid w:val="001F32D8"/>
    <w:rsid w:val="001F32F7"/>
    <w:rsid w:val="001F3827"/>
    <w:rsid w:val="001F3B21"/>
    <w:rsid w:val="001F44FA"/>
    <w:rsid w:val="001F4A33"/>
    <w:rsid w:val="001F50EA"/>
    <w:rsid w:val="001F5B0C"/>
    <w:rsid w:val="001F604C"/>
    <w:rsid w:val="001F612A"/>
    <w:rsid w:val="001F6C4B"/>
    <w:rsid w:val="001F6E9D"/>
    <w:rsid w:val="001F71BC"/>
    <w:rsid w:val="001F7258"/>
    <w:rsid w:val="001F7497"/>
    <w:rsid w:val="001F7760"/>
    <w:rsid w:val="002000C6"/>
    <w:rsid w:val="0020025B"/>
    <w:rsid w:val="00200C69"/>
    <w:rsid w:val="00200C9B"/>
    <w:rsid w:val="00201150"/>
    <w:rsid w:val="0020132A"/>
    <w:rsid w:val="002013B5"/>
    <w:rsid w:val="00201527"/>
    <w:rsid w:val="0020164E"/>
    <w:rsid w:val="00201909"/>
    <w:rsid w:val="00201B65"/>
    <w:rsid w:val="002023D2"/>
    <w:rsid w:val="002026D4"/>
    <w:rsid w:val="00202BAA"/>
    <w:rsid w:val="00204C03"/>
    <w:rsid w:val="00205330"/>
    <w:rsid w:val="00205349"/>
    <w:rsid w:val="0020536F"/>
    <w:rsid w:val="002055A8"/>
    <w:rsid w:val="0020597E"/>
    <w:rsid w:val="00206A6B"/>
    <w:rsid w:val="002070CE"/>
    <w:rsid w:val="0020765D"/>
    <w:rsid w:val="00207744"/>
    <w:rsid w:val="00207DFD"/>
    <w:rsid w:val="00210421"/>
    <w:rsid w:val="00210476"/>
    <w:rsid w:val="00210CEA"/>
    <w:rsid w:val="00210E09"/>
    <w:rsid w:val="00211B91"/>
    <w:rsid w:val="00211E81"/>
    <w:rsid w:val="002123CA"/>
    <w:rsid w:val="00212734"/>
    <w:rsid w:val="00212B1D"/>
    <w:rsid w:val="00213244"/>
    <w:rsid w:val="00213499"/>
    <w:rsid w:val="0021362D"/>
    <w:rsid w:val="00213FA4"/>
    <w:rsid w:val="00214643"/>
    <w:rsid w:val="002146CF"/>
    <w:rsid w:val="00214F08"/>
    <w:rsid w:val="00215108"/>
    <w:rsid w:val="00215C45"/>
    <w:rsid w:val="00215E38"/>
    <w:rsid w:val="0021632D"/>
    <w:rsid w:val="002163D1"/>
    <w:rsid w:val="002163EC"/>
    <w:rsid w:val="00216469"/>
    <w:rsid w:val="0021681E"/>
    <w:rsid w:val="00216BF9"/>
    <w:rsid w:val="0021700C"/>
    <w:rsid w:val="0021717C"/>
    <w:rsid w:val="002179C3"/>
    <w:rsid w:val="002179FE"/>
    <w:rsid w:val="002205D1"/>
    <w:rsid w:val="00220815"/>
    <w:rsid w:val="00220A00"/>
    <w:rsid w:val="00220A17"/>
    <w:rsid w:val="00220CCD"/>
    <w:rsid w:val="00220DE9"/>
    <w:rsid w:val="00220F13"/>
    <w:rsid w:val="0022127F"/>
    <w:rsid w:val="00221306"/>
    <w:rsid w:val="00221589"/>
    <w:rsid w:val="00221957"/>
    <w:rsid w:val="00221C3B"/>
    <w:rsid w:val="00221D5C"/>
    <w:rsid w:val="00222D26"/>
    <w:rsid w:val="002232D7"/>
    <w:rsid w:val="00223434"/>
    <w:rsid w:val="00224F13"/>
    <w:rsid w:val="00225BCA"/>
    <w:rsid w:val="00225DE1"/>
    <w:rsid w:val="00225EB4"/>
    <w:rsid w:val="00226A86"/>
    <w:rsid w:val="0022702D"/>
    <w:rsid w:val="00227256"/>
    <w:rsid w:val="0022758A"/>
    <w:rsid w:val="002277A3"/>
    <w:rsid w:val="0023008C"/>
    <w:rsid w:val="0023011A"/>
    <w:rsid w:val="00231014"/>
    <w:rsid w:val="002313AF"/>
    <w:rsid w:val="0023176B"/>
    <w:rsid w:val="00231838"/>
    <w:rsid w:val="00231A6A"/>
    <w:rsid w:val="00231B61"/>
    <w:rsid w:val="00232065"/>
    <w:rsid w:val="00232165"/>
    <w:rsid w:val="0023233F"/>
    <w:rsid w:val="00232511"/>
    <w:rsid w:val="0023252C"/>
    <w:rsid w:val="00232D54"/>
    <w:rsid w:val="0023312E"/>
    <w:rsid w:val="00233404"/>
    <w:rsid w:val="002337FC"/>
    <w:rsid w:val="00233A7D"/>
    <w:rsid w:val="002347ED"/>
    <w:rsid w:val="0023487C"/>
    <w:rsid w:val="00234968"/>
    <w:rsid w:val="00234B39"/>
    <w:rsid w:val="00234F27"/>
    <w:rsid w:val="00234F92"/>
    <w:rsid w:val="00235A40"/>
    <w:rsid w:val="0023625E"/>
    <w:rsid w:val="002365FB"/>
    <w:rsid w:val="00236891"/>
    <w:rsid w:val="002369D3"/>
    <w:rsid w:val="002378FA"/>
    <w:rsid w:val="002400A3"/>
    <w:rsid w:val="00240807"/>
    <w:rsid w:val="00240D4D"/>
    <w:rsid w:val="0024154E"/>
    <w:rsid w:val="00241787"/>
    <w:rsid w:val="00241812"/>
    <w:rsid w:val="0024202B"/>
    <w:rsid w:val="00242356"/>
    <w:rsid w:val="002425A6"/>
    <w:rsid w:val="00243113"/>
    <w:rsid w:val="0024457F"/>
    <w:rsid w:val="002446A5"/>
    <w:rsid w:val="00244895"/>
    <w:rsid w:val="002448B4"/>
    <w:rsid w:val="00244C17"/>
    <w:rsid w:val="00245082"/>
    <w:rsid w:val="00245118"/>
    <w:rsid w:val="00245163"/>
    <w:rsid w:val="0024540C"/>
    <w:rsid w:val="0024592B"/>
    <w:rsid w:val="00245A7B"/>
    <w:rsid w:val="00245F72"/>
    <w:rsid w:val="002462AB"/>
    <w:rsid w:val="002463EB"/>
    <w:rsid w:val="00246AD6"/>
    <w:rsid w:val="00246D07"/>
    <w:rsid w:val="00246F75"/>
    <w:rsid w:val="0024712B"/>
    <w:rsid w:val="0024792C"/>
    <w:rsid w:val="0025000F"/>
    <w:rsid w:val="00250300"/>
    <w:rsid w:val="0025049D"/>
    <w:rsid w:val="00250536"/>
    <w:rsid w:val="002523D5"/>
    <w:rsid w:val="00252679"/>
    <w:rsid w:val="002526CE"/>
    <w:rsid w:val="00252C7B"/>
    <w:rsid w:val="00252E0D"/>
    <w:rsid w:val="00253A16"/>
    <w:rsid w:val="00253AB7"/>
    <w:rsid w:val="00255B08"/>
    <w:rsid w:val="00255B3C"/>
    <w:rsid w:val="00257655"/>
    <w:rsid w:val="00260276"/>
    <w:rsid w:val="00260281"/>
    <w:rsid w:val="00260425"/>
    <w:rsid w:val="002607F1"/>
    <w:rsid w:val="00260CCE"/>
    <w:rsid w:val="00260F28"/>
    <w:rsid w:val="00261071"/>
    <w:rsid w:val="002621A3"/>
    <w:rsid w:val="0026253B"/>
    <w:rsid w:val="00262C0A"/>
    <w:rsid w:val="00262C10"/>
    <w:rsid w:val="00262C5F"/>
    <w:rsid w:val="00263410"/>
    <w:rsid w:val="0026346C"/>
    <w:rsid w:val="00263CE8"/>
    <w:rsid w:val="00264186"/>
    <w:rsid w:val="002649FF"/>
    <w:rsid w:val="00264A20"/>
    <w:rsid w:val="00264BEB"/>
    <w:rsid w:val="00264E90"/>
    <w:rsid w:val="002654A1"/>
    <w:rsid w:val="00265524"/>
    <w:rsid w:val="00265932"/>
    <w:rsid w:val="00265B8A"/>
    <w:rsid w:val="00266252"/>
    <w:rsid w:val="0026729D"/>
    <w:rsid w:val="002675A0"/>
    <w:rsid w:val="00267E39"/>
    <w:rsid w:val="0027043A"/>
    <w:rsid w:val="0027065E"/>
    <w:rsid w:val="00270947"/>
    <w:rsid w:val="00270B16"/>
    <w:rsid w:val="00270DEC"/>
    <w:rsid w:val="0027165E"/>
    <w:rsid w:val="00271A02"/>
    <w:rsid w:val="00271A0D"/>
    <w:rsid w:val="00271B41"/>
    <w:rsid w:val="0027253A"/>
    <w:rsid w:val="002726B8"/>
    <w:rsid w:val="0027288C"/>
    <w:rsid w:val="0027335C"/>
    <w:rsid w:val="0027376D"/>
    <w:rsid w:val="00273D0D"/>
    <w:rsid w:val="00273D86"/>
    <w:rsid w:val="002741B2"/>
    <w:rsid w:val="0027432B"/>
    <w:rsid w:val="002747E8"/>
    <w:rsid w:val="00274F59"/>
    <w:rsid w:val="002755FD"/>
    <w:rsid w:val="00275F28"/>
    <w:rsid w:val="00276027"/>
    <w:rsid w:val="00276FFC"/>
    <w:rsid w:val="002774FF"/>
    <w:rsid w:val="00277508"/>
    <w:rsid w:val="00277B0C"/>
    <w:rsid w:val="00277DEE"/>
    <w:rsid w:val="00277F62"/>
    <w:rsid w:val="0028028F"/>
    <w:rsid w:val="0028068A"/>
    <w:rsid w:val="002808FE"/>
    <w:rsid w:val="00280FE0"/>
    <w:rsid w:val="0028116E"/>
    <w:rsid w:val="002816C3"/>
    <w:rsid w:val="0028173C"/>
    <w:rsid w:val="00281FB1"/>
    <w:rsid w:val="002820C6"/>
    <w:rsid w:val="00282361"/>
    <w:rsid w:val="00282F86"/>
    <w:rsid w:val="002835FC"/>
    <w:rsid w:val="0028363E"/>
    <w:rsid w:val="002838E9"/>
    <w:rsid w:val="00284038"/>
    <w:rsid w:val="0028403C"/>
    <w:rsid w:val="00284330"/>
    <w:rsid w:val="002846B2"/>
    <w:rsid w:val="00284A3D"/>
    <w:rsid w:val="00284AC1"/>
    <w:rsid w:val="00284B28"/>
    <w:rsid w:val="00285692"/>
    <w:rsid w:val="00285B6D"/>
    <w:rsid w:val="00286155"/>
    <w:rsid w:val="00286794"/>
    <w:rsid w:val="002867B7"/>
    <w:rsid w:val="002869E3"/>
    <w:rsid w:val="00287158"/>
    <w:rsid w:val="00287C48"/>
    <w:rsid w:val="00290294"/>
    <w:rsid w:val="00290FF2"/>
    <w:rsid w:val="00291532"/>
    <w:rsid w:val="0029156D"/>
    <w:rsid w:val="00291663"/>
    <w:rsid w:val="00291A87"/>
    <w:rsid w:val="00291CF2"/>
    <w:rsid w:val="00291DEB"/>
    <w:rsid w:val="00292044"/>
    <w:rsid w:val="00292764"/>
    <w:rsid w:val="00292CA7"/>
    <w:rsid w:val="00292E91"/>
    <w:rsid w:val="002930CF"/>
    <w:rsid w:val="00293336"/>
    <w:rsid w:val="00293581"/>
    <w:rsid w:val="002935C8"/>
    <w:rsid w:val="002936EF"/>
    <w:rsid w:val="002938C9"/>
    <w:rsid w:val="00293E52"/>
    <w:rsid w:val="00294371"/>
    <w:rsid w:val="00294529"/>
    <w:rsid w:val="0029471C"/>
    <w:rsid w:val="002949B4"/>
    <w:rsid w:val="00294A0A"/>
    <w:rsid w:val="00294B71"/>
    <w:rsid w:val="00295185"/>
    <w:rsid w:val="0029586E"/>
    <w:rsid w:val="00295B68"/>
    <w:rsid w:val="00295E0C"/>
    <w:rsid w:val="00296205"/>
    <w:rsid w:val="002962C9"/>
    <w:rsid w:val="0029692B"/>
    <w:rsid w:val="00296982"/>
    <w:rsid w:val="00296E70"/>
    <w:rsid w:val="002976CE"/>
    <w:rsid w:val="0029788F"/>
    <w:rsid w:val="002A0EA5"/>
    <w:rsid w:val="002A14C8"/>
    <w:rsid w:val="002A16EF"/>
    <w:rsid w:val="002A1C3B"/>
    <w:rsid w:val="002A1FF0"/>
    <w:rsid w:val="002A2093"/>
    <w:rsid w:val="002A229C"/>
    <w:rsid w:val="002A2530"/>
    <w:rsid w:val="002A2D1D"/>
    <w:rsid w:val="002A2D56"/>
    <w:rsid w:val="002A2FFB"/>
    <w:rsid w:val="002A3472"/>
    <w:rsid w:val="002A3A8A"/>
    <w:rsid w:val="002A3EAC"/>
    <w:rsid w:val="002A3EE2"/>
    <w:rsid w:val="002A436B"/>
    <w:rsid w:val="002A43F0"/>
    <w:rsid w:val="002A4809"/>
    <w:rsid w:val="002A4934"/>
    <w:rsid w:val="002A4B61"/>
    <w:rsid w:val="002A4F34"/>
    <w:rsid w:val="002A5B5C"/>
    <w:rsid w:val="002A5F4D"/>
    <w:rsid w:val="002A6278"/>
    <w:rsid w:val="002A628B"/>
    <w:rsid w:val="002A7493"/>
    <w:rsid w:val="002A794A"/>
    <w:rsid w:val="002A7A15"/>
    <w:rsid w:val="002A7FF0"/>
    <w:rsid w:val="002B009E"/>
    <w:rsid w:val="002B0AC3"/>
    <w:rsid w:val="002B0F3F"/>
    <w:rsid w:val="002B1359"/>
    <w:rsid w:val="002B13ED"/>
    <w:rsid w:val="002B192E"/>
    <w:rsid w:val="002B1DA6"/>
    <w:rsid w:val="002B1F55"/>
    <w:rsid w:val="002B3311"/>
    <w:rsid w:val="002B3524"/>
    <w:rsid w:val="002B3533"/>
    <w:rsid w:val="002B3AE4"/>
    <w:rsid w:val="002B48F5"/>
    <w:rsid w:val="002B5919"/>
    <w:rsid w:val="002B59A1"/>
    <w:rsid w:val="002B6279"/>
    <w:rsid w:val="002B74F7"/>
    <w:rsid w:val="002B7736"/>
    <w:rsid w:val="002B7852"/>
    <w:rsid w:val="002C0230"/>
    <w:rsid w:val="002C04E7"/>
    <w:rsid w:val="002C0546"/>
    <w:rsid w:val="002C072E"/>
    <w:rsid w:val="002C0925"/>
    <w:rsid w:val="002C1027"/>
    <w:rsid w:val="002C1140"/>
    <w:rsid w:val="002C117D"/>
    <w:rsid w:val="002C1737"/>
    <w:rsid w:val="002C179D"/>
    <w:rsid w:val="002C1CAE"/>
    <w:rsid w:val="002C2056"/>
    <w:rsid w:val="002C23D9"/>
    <w:rsid w:val="002C24BC"/>
    <w:rsid w:val="002C25FC"/>
    <w:rsid w:val="002C2D24"/>
    <w:rsid w:val="002C3431"/>
    <w:rsid w:val="002C3467"/>
    <w:rsid w:val="002C3617"/>
    <w:rsid w:val="002C3B6C"/>
    <w:rsid w:val="002C3D4B"/>
    <w:rsid w:val="002C3EA0"/>
    <w:rsid w:val="002C3FC8"/>
    <w:rsid w:val="002C41F4"/>
    <w:rsid w:val="002C442D"/>
    <w:rsid w:val="002C4BF4"/>
    <w:rsid w:val="002C525B"/>
    <w:rsid w:val="002C5BC8"/>
    <w:rsid w:val="002C62CC"/>
    <w:rsid w:val="002C680D"/>
    <w:rsid w:val="002C6D9B"/>
    <w:rsid w:val="002C7111"/>
    <w:rsid w:val="002C712B"/>
    <w:rsid w:val="002D038A"/>
    <w:rsid w:val="002D0B58"/>
    <w:rsid w:val="002D0B8D"/>
    <w:rsid w:val="002D17AF"/>
    <w:rsid w:val="002D2CBE"/>
    <w:rsid w:val="002D2D35"/>
    <w:rsid w:val="002D30E2"/>
    <w:rsid w:val="002D32D3"/>
    <w:rsid w:val="002D3DD3"/>
    <w:rsid w:val="002D423F"/>
    <w:rsid w:val="002D4300"/>
    <w:rsid w:val="002D45B4"/>
    <w:rsid w:val="002D4E00"/>
    <w:rsid w:val="002D5608"/>
    <w:rsid w:val="002D5682"/>
    <w:rsid w:val="002D58DC"/>
    <w:rsid w:val="002D5DFC"/>
    <w:rsid w:val="002D6842"/>
    <w:rsid w:val="002D6D99"/>
    <w:rsid w:val="002D744B"/>
    <w:rsid w:val="002E0315"/>
    <w:rsid w:val="002E06C9"/>
    <w:rsid w:val="002E071B"/>
    <w:rsid w:val="002E091F"/>
    <w:rsid w:val="002E0F2D"/>
    <w:rsid w:val="002E113C"/>
    <w:rsid w:val="002E150B"/>
    <w:rsid w:val="002E159F"/>
    <w:rsid w:val="002E1DA7"/>
    <w:rsid w:val="002E21E8"/>
    <w:rsid w:val="002E301A"/>
    <w:rsid w:val="002E349D"/>
    <w:rsid w:val="002E4154"/>
    <w:rsid w:val="002E4A32"/>
    <w:rsid w:val="002E4BA0"/>
    <w:rsid w:val="002E4EE7"/>
    <w:rsid w:val="002E54CD"/>
    <w:rsid w:val="002E59A5"/>
    <w:rsid w:val="002E75C0"/>
    <w:rsid w:val="002E777C"/>
    <w:rsid w:val="002F0090"/>
    <w:rsid w:val="002F09F4"/>
    <w:rsid w:val="002F1168"/>
    <w:rsid w:val="002F15DE"/>
    <w:rsid w:val="002F17A8"/>
    <w:rsid w:val="002F1EEE"/>
    <w:rsid w:val="002F25DA"/>
    <w:rsid w:val="002F27F1"/>
    <w:rsid w:val="002F3400"/>
    <w:rsid w:val="002F3974"/>
    <w:rsid w:val="002F3DE4"/>
    <w:rsid w:val="002F3F0B"/>
    <w:rsid w:val="002F48F8"/>
    <w:rsid w:val="002F4A88"/>
    <w:rsid w:val="002F500D"/>
    <w:rsid w:val="002F5030"/>
    <w:rsid w:val="002F576D"/>
    <w:rsid w:val="002F57B5"/>
    <w:rsid w:val="002F5955"/>
    <w:rsid w:val="002F5D84"/>
    <w:rsid w:val="002F6989"/>
    <w:rsid w:val="002F7110"/>
    <w:rsid w:val="002F777B"/>
    <w:rsid w:val="002F7C61"/>
    <w:rsid w:val="002F7C8B"/>
    <w:rsid w:val="002F7EC8"/>
    <w:rsid w:val="003000A1"/>
    <w:rsid w:val="00300B23"/>
    <w:rsid w:val="00300B63"/>
    <w:rsid w:val="00301067"/>
    <w:rsid w:val="0030161E"/>
    <w:rsid w:val="00301F10"/>
    <w:rsid w:val="00303793"/>
    <w:rsid w:val="003037C6"/>
    <w:rsid w:val="00303C35"/>
    <w:rsid w:val="00304019"/>
    <w:rsid w:val="003040B9"/>
    <w:rsid w:val="003043C4"/>
    <w:rsid w:val="00305136"/>
    <w:rsid w:val="00305E19"/>
    <w:rsid w:val="00306500"/>
    <w:rsid w:val="00306708"/>
    <w:rsid w:val="00306ECC"/>
    <w:rsid w:val="0030700C"/>
    <w:rsid w:val="00307543"/>
    <w:rsid w:val="00307882"/>
    <w:rsid w:val="003079D1"/>
    <w:rsid w:val="00307B66"/>
    <w:rsid w:val="003101B1"/>
    <w:rsid w:val="0031027D"/>
    <w:rsid w:val="003102E3"/>
    <w:rsid w:val="0031031F"/>
    <w:rsid w:val="00310896"/>
    <w:rsid w:val="003109B1"/>
    <w:rsid w:val="00310D24"/>
    <w:rsid w:val="003126B7"/>
    <w:rsid w:val="0031373B"/>
    <w:rsid w:val="003139EA"/>
    <w:rsid w:val="00313E75"/>
    <w:rsid w:val="00313EDA"/>
    <w:rsid w:val="003143EF"/>
    <w:rsid w:val="0031452F"/>
    <w:rsid w:val="003146FC"/>
    <w:rsid w:val="003147BE"/>
    <w:rsid w:val="00314D68"/>
    <w:rsid w:val="003150AE"/>
    <w:rsid w:val="003150D9"/>
    <w:rsid w:val="00315230"/>
    <w:rsid w:val="0031527D"/>
    <w:rsid w:val="00315AC9"/>
    <w:rsid w:val="00315D86"/>
    <w:rsid w:val="003161B6"/>
    <w:rsid w:val="0031659F"/>
    <w:rsid w:val="00317050"/>
    <w:rsid w:val="00317396"/>
    <w:rsid w:val="003202C0"/>
    <w:rsid w:val="00320C95"/>
    <w:rsid w:val="00320CE3"/>
    <w:rsid w:val="00321122"/>
    <w:rsid w:val="003212AE"/>
    <w:rsid w:val="003217EB"/>
    <w:rsid w:val="0032186E"/>
    <w:rsid w:val="003222F6"/>
    <w:rsid w:val="003226DF"/>
    <w:rsid w:val="003228ED"/>
    <w:rsid w:val="00323DC5"/>
    <w:rsid w:val="00323FAF"/>
    <w:rsid w:val="00324128"/>
    <w:rsid w:val="0032418A"/>
    <w:rsid w:val="003242CA"/>
    <w:rsid w:val="0032441B"/>
    <w:rsid w:val="003244FF"/>
    <w:rsid w:val="00324A32"/>
    <w:rsid w:val="00324B73"/>
    <w:rsid w:val="00324F65"/>
    <w:rsid w:val="003258DF"/>
    <w:rsid w:val="00325FD1"/>
    <w:rsid w:val="00326293"/>
    <w:rsid w:val="00326906"/>
    <w:rsid w:val="003269D5"/>
    <w:rsid w:val="00326AC9"/>
    <w:rsid w:val="0032716E"/>
    <w:rsid w:val="00327634"/>
    <w:rsid w:val="0033032D"/>
    <w:rsid w:val="0033035C"/>
    <w:rsid w:val="00330757"/>
    <w:rsid w:val="003307CB"/>
    <w:rsid w:val="00330A63"/>
    <w:rsid w:val="00331EA3"/>
    <w:rsid w:val="003321C6"/>
    <w:rsid w:val="003328C6"/>
    <w:rsid w:val="00332A0A"/>
    <w:rsid w:val="0033322D"/>
    <w:rsid w:val="00333CE5"/>
    <w:rsid w:val="003340DB"/>
    <w:rsid w:val="003341D7"/>
    <w:rsid w:val="0033425C"/>
    <w:rsid w:val="0033445C"/>
    <w:rsid w:val="0033484D"/>
    <w:rsid w:val="003349E2"/>
    <w:rsid w:val="00334CC9"/>
    <w:rsid w:val="0033519D"/>
    <w:rsid w:val="00335854"/>
    <w:rsid w:val="00335D02"/>
    <w:rsid w:val="00336559"/>
    <w:rsid w:val="00336711"/>
    <w:rsid w:val="003379FD"/>
    <w:rsid w:val="00337B53"/>
    <w:rsid w:val="00337DBA"/>
    <w:rsid w:val="00337DE9"/>
    <w:rsid w:val="003400C8"/>
    <w:rsid w:val="00340230"/>
    <w:rsid w:val="00340354"/>
    <w:rsid w:val="003405FA"/>
    <w:rsid w:val="00340701"/>
    <w:rsid w:val="00340C46"/>
    <w:rsid w:val="00340CCA"/>
    <w:rsid w:val="00340E12"/>
    <w:rsid w:val="003414CC"/>
    <w:rsid w:val="003416B5"/>
    <w:rsid w:val="003417BD"/>
    <w:rsid w:val="00341B8E"/>
    <w:rsid w:val="00341EF4"/>
    <w:rsid w:val="00342313"/>
    <w:rsid w:val="003445EB"/>
    <w:rsid w:val="0034481E"/>
    <w:rsid w:val="003451BA"/>
    <w:rsid w:val="003458F3"/>
    <w:rsid w:val="00345A5C"/>
    <w:rsid w:val="00345DB9"/>
    <w:rsid w:val="003461D8"/>
    <w:rsid w:val="0034655B"/>
    <w:rsid w:val="003466FE"/>
    <w:rsid w:val="00346CE2"/>
    <w:rsid w:val="00350307"/>
    <w:rsid w:val="00350ADA"/>
    <w:rsid w:val="00351307"/>
    <w:rsid w:val="0035142F"/>
    <w:rsid w:val="00351EB7"/>
    <w:rsid w:val="003521EF"/>
    <w:rsid w:val="00352477"/>
    <w:rsid w:val="00352609"/>
    <w:rsid w:val="00352848"/>
    <w:rsid w:val="00352EC4"/>
    <w:rsid w:val="0035304C"/>
    <w:rsid w:val="00353567"/>
    <w:rsid w:val="00353703"/>
    <w:rsid w:val="00354442"/>
    <w:rsid w:val="00354865"/>
    <w:rsid w:val="00355B73"/>
    <w:rsid w:val="0035614C"/>
    <w:rsid w:val="003564B0"/>
    <w:rsid w:val="00356865"/>
    <w:rsid w:val="00356AB8"/>
    <w:rsid w:val="00356BBA"/>
    <w:rsid w:val="00356F4D"/>
    <w:rsid w:val="003572F1"/>
    <w:rsid w:val="003572F7"/>
    <w:rsid w:val="00357EDC"/>
    <w:rsid w:val="003600E3"/>
    <w:rsid w:val="00360387"/>
    <w:rsid w:val="00360433"/>
    <w:rsid w:val="00360970"/>
    <w:rsid w:val="00360C29"/>
    <w:rsid w:val="00360D6F"/>
    <w:rsid w:val="003616EC"/>
    <w:rsid w:val="00361BFF"/>
    <w:rsid w:val="00361E35"/>
    <w:rsid w:val="003620B0"/>
    <w:rsid w:val="003623C0"/>
    <w:rsid w:val="00362438"/>
    <w:rsid w:val="00362C19"/>
    <w:rsid w:val="0036302A"/>
    <w:rsid w:val="003633DB"/>
    <w:rsid w:val="00364174"/>
    <w:rsid w:val="00364B35"/>
    <w:rsid w:val="00364DB8"/>
    <w:rsid w:val="00365025"/>
    <w:rsid w:val="003651C1"/>
    <w:rsid w:val="0036590D"/>
    <w:rsid w:val="00365C33"/>
    <w:rsid w:val="00365DE4"/>
    <w:rsid w:val="00365F97"/>
    <w:rsid w:val="003664E9"/>
    <w:rsid w:val="003665DA"/>
    <w:rsid w:val="0036686B"/>
    <w:rsid w:val="00366EB2"/>
    <w:rsid w:val="003671A3"/>
    <w:rsid w:val="0036749A"/>
    <w:rsid w:val="0036766C"/>
    <w:rsid w:val="003676DA"/>
    <w:rsid w:val="00367982"/>
    <w:rsid w:val="003679A1"/>
    <w:rsid w:val="00367F56"/>
    <w:rsid w:val="003702C6"/>
    <w:rsid w:val="003704B6"/>
    <w:rsid w:val="00371108"/>
    <w:rsid w:val="003711F9"/>
    <w:rsid w:val="003716D3"/>
    <w:rsid w:val="00372550"/>
    <w:rsid w:val="003725AB"/>
    <w:rsid w:val="00372696"/>
    <w:rsid w:val="003736ED"/>
    <w:rsid w:val="00373B8F"/>
    <w:rsid w:val="00373D96"/>
    <w:rsid w:val="003740F0"/>
    <w:rsid w:val="00374AE7"/>
    <w:rsid w:val="00374B95"/>
    <w:rsid w:val="00374F3B"/>
    <w:rsid w:val="00374FE4"/>
    <w:rsid w:val="00374FFB"/>
    <w:rsid w:val="003752CC"/>
    <w:rsid w:val="003754D2"/>
    <w:rsid w:val="00375838"/>
    <w:rsid w:val="003758E3"/>
    <w:rsid w:val="003759D1"/>
    <w:rsid w:val="00375FAC"/>
    <w:rsid w:val="00376BEB"/>
    <w:rsid w:val="00377224"/>
    <w:rsid w:val="0038007F"/>
    <w:rsid w:val="003804FB"/>
    <w:rsid w:val="003806FA"/>
    <w:rsid w:val="00380DFC"/>
    <w:rsid w:val="00380F74"/>
    <w:rsid w:val="00381233"/>
    <w:rsid w:val="00382602"/>
    <w:rsid w:val="00382704"/>
    <w:rsid w:val="00383429"/>
    <w:rsid w:val="003836D7"/>
    <w:rsid w:val="00383AEC"/>
    <w:rsid w:val="00384149"/>
    <w:rsid w:val="003845AB"/>
    <w:rsid w:val="00384830"/>
    <w:rsid w:val="00384CDA"/>
    <w:rsid w:val="0038528B"/>
    <w:rsid w:val="00386767"/>
    <w:rsid w:val="00386A3F"/>
    <w:rsid w:val="00386FB5"/>
    <w:rsid w:val="003873AC"/>
    <w:rsid w:val="00387756"/>
    <w:rsid w:val="003906B9"/>
    <w:rsid w:val="00390786"/>
    <w:rsid w:val="0039088E"/>
    <w:rsid w:val="00390974"/>
    <w:rsid w:val="0039111F"/>
    <w:rsid w:val="003915E8"/>
    <w:rsid w:val="00391AF9"/>
    <w:rsid w:val="00391CC5"/>
    <w:rsid w:val="00391DC4"/>
    <w:rsid w:val="00391F06"/>
    <w:rsid w:val="00391FA8"/>
    <w:rsid w:val="00392008"/>
    <w:rsid w:val="0039303C"/>
    <w:rsid w:val="003933EA"/>
    <w:rsid w:val="00393D76"/>
    <w:rsid w:val="00394ADD"/>
    <w:rsid w:val="00394EB7"/>
    <w:rsid w:val="003954D9"/>
    <w:rsid w:val="003955F7"/>
    <w:rsid w:val="00395E4D"/>
    <w:rsid w:val="003967BE"/>
    <w:rsid w:val="003967CE"/>
    <w:rsid w:val="00396876"/>
    <w:rsid w:val="00396ED0"/>
    <w:rsid w:val="0039711C"/>
    <w:rsid w:val="003975F9"/>
    <w:rsid w:val="00397FFA"/>
    <w:rsid w:val="003A087A"/>
    <w:rsid w:val="003A08F3"/>
    <w:rsid w:val="003A095B"/>
    <w:rsid w:val="003A0BAF"/>
    <w:rsid w:val="003A0BC4"/>
    <w:rsid w:val="003A0CB3"/>
    <w:rsid w:val="003A0CB6"/>
    <w:rsid w:val="003A0CEF"/>
    <w:rsid w:val="003A0DDC"/>
    <w:rsid w:val="003A0E6B"/>
    <w:rsid w:val="003A10B5"/>
    <w:rsid w:val="003A1A12"/>
    <w:rsid w:val="003A1DDA"/>
    <w:rsid w:val="003A2C45"/>
    <w:rsid w:val="003A2D0C"/>
    <w:rsid w:val="003A2D54"/>
    <w:rsid w:val="003A2D6A"/>
    <w:rsid w:val="003A2F0D"/>
    <w:rsid w:val="003A3287"/>
    <w:rsid w:val="003A3C2E"/>
    <w:rsid w:val="003A3C4C"/>
    <w:rsid w:val="003A4176"/>
    <w:rsid w:val="003A42F0"/>
    <w:rsid w:val="003A4300"/>
    <w:rsid w:val="003A4A0C"/>
    <w:rsid w:val="003A4EBF"/>
    <w:rsid w:val="003A5497"/>
    <w:rsid w:val="003A588D"/>
    <w:rsid w:val="003A58B4"/>
    <w:rsid w:val="003A612F"/>
    <w:rsid w:val="003A6168"/>
    <w:rsid w:val="003A64C7"/>
    <w:rsid w:val="003A68A3"/>
    <w:rsid w:val="003A69D8"/>
    <w:rsid w:val="003A6A32"/>
    <w:rsid w:val="003A6F2D"/>
    <w:rsid w:val="003A796A"/>
    <w:rsid w:val="003A7C27"/>
    <w:rsid w:val="003A7C79"/>
    <w:rsid w:val="003A7DB4"/>
    <w:rsid w:val="003A7F17"/>
    <w:rsid w:val="003B0860"/>
    <w:rsid w:val="003B0A7A"/>
    <w:rsid w:val="003B0CE4"/>
    <w:rsid w:val="003B0D7A"/>
    <w:rsid w:val="003B13C4"/>
    <w:rsid w:val="003B1690"/>
    <w:rsid w:val="003B194A"/>
    <w:rsid w:val="003B1B73"/>
    <w:rsid w:val="003B1DC1"/>
    <w:rsid w:val="003B2B4C"/>
    <w:rsid w:val="003B2C24"/>
    <w:rsid w:val="003B36C9"/>
    <w:rsid w:val="003B37E4"/>
    <w:rsid w:val="003B3AE5"/>
    <w:rsid w:val="003B3BF4"/>
    <w:rsid w:val="003B3F7E"/>
    <w:rsid w:val="003B47EC"/>
    <w:rsid w:val="003B4AF3"/>
    <w:rsid w:val="003B518E"/>
    <w:rsid w:val="003B54F3"/>
    <w:rsid w:val="003B5A8E"/>
    <w:rsid w:val="003B5DA4"/>
    <w:rsid w:val="003B5EC9"/>
    <w:rsid w:val="003B5FF1"/>
    <w:rsid w:val="003B613F"/>
    <w:rsid w:val="003B65FC"/>
    <w:rsid w:val="003B71FF"/>
    <w:rsid w:val="003B743A"/>
    <w:rsid w:val="003B74B3"/>
    <w:rsid w:val="003C0161"/>
    <w:rsid w:val="003C0494"/>
    <w:rsid w:val="003C0F78"/>
    <w:rsid w:val="003C0F97"/>
    <w:rsid w:val="003C1244"/>
    <w:rsid w:val="003C13AB"/>
    <w:rsid w:val="003C1F12"/>
    <w:rsid w:val="003C24A1"/>
    <w:rsid w:val="003C253B"/>
    <w:rsid w:val="003C3067"/>
    <w:rsid w:val="003C34BB"/>
    <w:rsid w:val="003C3654"/>
    <w:rsid w:val="003C3C00"/>
    <w:rsid w:val="003C3E35"/>
    <w:rsid w:val="003C4290"/>
    <w:rsid w:val="003C484F"/>
    <w:rsid w:val="003C4BC0"/>
    <w:rsid w:val="003C51D6"/>
    <w:rsid w:val="003C52DA"/>
    <w:rsid w:val="003C538B"/>
    <w:rsid w:val="003C5423"/>
    <w:rsid w:val="003C6983"/>
    <w:rsid w:val="003C6BB8"/>
    <w:rsid w:val="003C6DC3"/>
    <w:rsid w:val="003C701F"/>
    <w:rsid w:val="003C70E9"/>
    <w:rsid w:val="003C71BE"/>
    <w:rsid w:val="003C73F8"/>
    <w:rsid w:val="003C74BA"/>
    <w:rsid w:val="003C74C2"/>
    <w:rsid w:val="003C7DEE"/>
    <w:rsid w:val="003D1433"/>
    <w:rsid w:val="003D16D0"/>
    <w:rsid w:val="003D197B"/>
    <w:rsid w:val="003D1E16"/>
    <w:rsid w:val="003D2298"/>
    <w:rsid w:val="003D2494"/>
    <w:rsid w:val="003D2883"/>
    <w:rsid w:val="003D2E05"/>
    <w:rsid w:val="003D30CA"/>
    <w:rsid w:val="003D3181"/>
    <w:rsid w:val="003D367F"/>
    <w:rsid w:val="003D37FC"/>
    <w:rsid w:val="003D39BC"/>
    <w:rsid w:val="003D3CEA"/>
    <w:rsid w:val="003D4076"/>
    <w:rsid w:val="003D40EA"/>
    <w:rsid w:val="003D43BB"/>
    <w:rsid w:val="003D56AD"/>
    <w:rsid w:val="003D58C5"/>
    <w:rsid w:val="003D5CAC"/>
    <w:rsid w:val="003D5D89"/>
    <w:rsid w:val="003D5F7D"/>
    <w:rsid w:val="003D71F2"/>
    <w:rsid w:val="003D7350"/>
    <w:rsid w:val="003D7D60"/>
    <w:rsid w:val="003E14F5"/>
    <w:rsid w:val="003E1719"/>
    <w:rsid w:val="003E1C42"/>
    <w:rsid w:val="003E1DA5"/>
    <w:rsid w:val="003E1F76"/>
    <w:rsid w:val="003E1F85"/>
    <w:rsid w:val="003E21FC"/>
    <w:rsid w:val="003E26AD"/>
    <w:rsid w:val="003E277B"/>
    <w:rsid w:val="003E3519"/>
    <w:rsid w:val="003E3798"/>
    <w:rsid w:val="003E37EF"/>
    <w:rsid w:val="003E3C5C"/>
    <w:rsid w:val="003E442B"/>
    <w:rsid w:val="003E4461"/>
    <w:rsid w:val="003E482C"/>
    <w:rsid w:val="003E4C81"/>
    <w:rsid w:val="003E5349"/>
    <w:rsid w:val="003E535B"/>
    <w:rsid w:val="003E54AC"/>
    <w:rsid w:val="003E5525"/>
    <w:rsid w:val="003E5692"/>
    <w:rsid w:val="003E5938"/>
    <w:rsid w:val="003E5A80"/>
    <w:rsid w:val="003E5ABA"/>
    <w:rsid w:val="003E5C88"/>
    <w:rsid w:val="003E5E08"/>
    <w:rsid w:val="003E6494"/>
    <w:rsid w:val="003E65F7"/>
    <w:rsid w:val="003E6A42"/>
    <w:rsid w:val="003E6D03"/>
    <w:rsid w:val="003E6E48"/>
    <w:rsid w:val="003E76FF"/>
    <w:rsid w:val="003E79E1"/>
    <w:rsid w:val="003E7A87"/>
    <w:rsid w:val="003E7EA8"/>
    <w:rsid w:val="003F08C8"/>
    <w:rsid w:val="003F0B4D"/>
    <w:rsid w:val="003F0CAA"/>
    <w:rsid w:val="003F0E7F"/>
    <w:rsid w:val="003F0E9E"/>
    <w:rsid w:val="003F17EF"/>
    <w:rsid w:val="003F1996"/>
    <w:rsid w:val="003F2191"/>
    <w:rsid w:val="003F2BC5"/>
    <w:rsid w:val="003F2EAD"/>
    <w:rsid w:val="003F3AAA"/>
    <w:rsid w:val="003F3FEC"/>
    <w:rsid w:val="003F4268"/>
    <w:rsid w:val="003F4515"/>
    <w:rsid w:val="003F497C"/>
    <w:rsid w:val="003F5509"/>
    <w:rsid w:val="003F5688"/>
    <w:rsid w:val="003F5961"/>
    <w:rsid w:val="003F5AF7"/>
    <w:rsid w:val="003F669A"/>
    <w:rsid w:val="003F6A64"/>
    <w:rsid w:val="003F713B"/>
    <w:rsid w:val="003F75A7"/>
    <w:rsid w:val="003F7842"/>
    <w:rsid w:val="003F7F25"/>
    <w:rsid w:val="0040098B"/>
    <w:rsid w:val="00400F7F"/>
    <w:rsid w:val="0040110D"/>
    <w:rsid w:val="0040111C"/>
    <w:rsid w:val="00401859"/>
    <w:rsid w:val="0040200C"/>
    <w:rsid w:val="00402485"/>
    <w:rsid w:val="00402505"/>
    <w:rsid w:val="00402B7E"/>
    <w:rsid w:val="0040326E"/>
    <w:rsid w:val="00403690"/>
    <w:rsid w:val="00404ACF"/>
    <w:rsid w:val="00404C68"/>
    <w:rsid w:val="00405FDE"/>
    <w:rsid w:val="004063BC"/>
    <w:rsid w:val="00406674"/>
    <w:rsid w:val="00406728"/>
    <w:rsid w:val="00406E39"/>
    <w:rsid w:val="00407B3D"/>
    <w:rsid w:val="00407BCB"/>
    <w:rsid w:val="0041081D"/>
    <w:rsid w:val="00410E50"/>
    <w:rsid w:val="00410F9F"/>
    <w:rsid w:val="00411200"/>
    <w:rsid w:val="00411251"/>
    <w:rsid w:val="0041131C"/>
    <w:rsid w:val="00412276"/>
    <w:rsid w:val="00412B6A"/>
    <w:rsid w:val="00412CA1"/>
    <w:rsid w:val="00412E16"/>
    <w:rsid w:val="00413740"/>
    <w:rsid w:val="00413A18"/>
    <w:rsid w:val="00413DE3"/>
    <w:rsid w:val="004143B8"/>
    <w:rsid w:val="004144FC"/>
    <w:rsid w:val="00414671"/>
    <w:rsid w:val="004146A0"/>
    <w:rsid w:val="00415029"/>
    <w:rsid w:val="004156D3"/>
    <w:rsid w:val="004157C5"/>
    <w:rsid w:val="00415981"/>
    <w:rsid w:val="00416D9E"/>
    <w:rsid w:val="0041714B"/>
    <w:rsid w:val="004178BA"/>
    <w:rsid w:val="00417C24"/>
    <w:rsid w:val="00420943"/>
    <w:rsid w:val="00421AC3"/>
    <w:rsid w:val="00422119"/>
    <w:rsid w:val="0042245C"/>
    <w:rsid w:val="00422806"/>
    <w:rsid w:val="00422E61"/>
    <w:rsid w:val="00423138"/>
    <w:rsid w:val="004233C5"/>
    <w:rsid w:val="00423B6F"/>
    <w:rsid w:val="00423D62"/>
    <w:rsid w:val="00423D98"/>
    <w:rsid w:val="00423E97"/>
    <w:rsid w:val="004243DF"/>
    <w:rsid w:val="004249C6"/>
    <w:rsid w:val="00424A3A"/>
    <w:rsid w:val="00425AA6"/>
    <w:rsid w:val="00425BB9"/>
    <w:rsid w:val="00425E01"/>
    <w:rsid w:val="00425EDE"/>
    <w:rsid w:val="00426999"/>
    <w:rsid w:val="004270FF"/>
    <w:rsid w:val="00427AC0"/>
    <w:rsid w:val="00427E2C"/>
    <w:rsid w:val="004301D8"/>
    <w:rsid w:val="00430527"/>
    <w:rsid w:val="004307D9"/>
    <w:rsid w:val="00430DF5"/>
    <w:rsid w:val="00430FA4"/>
    <w:rsid w:val="00431221"/>
    <w:rsid w:val="00431B84"/>
    <w:rsid w:val="00432605"/>
    <w:rsid w:val="00432D91"/>
    <w:rsid w:val="00433262"/>
    <w:rsid w:val="004338EF"/>
    <w:rsid w:val="00433E59"/>
    <w:rsid w:val="00433EA5"/>
    <w:rsid w:val="00433F38"/>
    <w:rsid w:val="004346F5"/>
    <w:rsid w:val="00434C44"/>
    <w:rsid w:val="00434D15"/>
    <w:rsid w:val="00434EF1"/>
    <w:rsid w:val="004350AC"/>
    <w:rsid w:val="0043542B"/>
    <w:rsid w:val="00435ADE"/>
    <w:rsid w:val="00435C2B"/>
    <w:rsid w:val="00435F8D"/>
    <w:rsid w:val="004360E2"/>
    <w:rsid w:val="004366D3"/>
    <w:rsid w:val="00436C9C"/>
    <w:rsid w:val="004372CB"/>
    <w:rsid w:val="004376D3"/>
    <w:rsid w:val="00437ADD"/>
    <w:rsid w:val="00437DD6"/>
    <w:rsid w:val="00440075"/>
    <w:rsid w:val="00440780"/>
    <w:rsid w:val="0044079B"/>
    <w:rsid w:val="00440A90"/>
    <w:rsid w:val="00440AC5"/>
    <w:rsid w:val="004411D6"/>
    <w:rsid w:val="00442392"/>
    <w:rsid w:val="00442769"/>
    <w:rsid w:val="00442DF7"/>
    <w:rsid w:val="00442F79"/>
    <w:rsid w:val="0044371F"/>
    <w:rsid w:val="004437A2"/>
    <w:rsid w:val="0044412B"/>
    <w:rsid w:val="0044422A"/>
    <w:rsid w:val="00444433"/>
    <w:rsid w:val="004444CB"/>
    <w:rsid w:val="00444B74"/>
    <w:rsid w:val="00444C79"/>
    <w:rsid w:val="00444CEE"/>
    <w:rsid w:val="004451E7"/>
    <w:rsid w:val="00445CF9"/>
    <w:rsid w:val="00445EB6"/>
    <w:rsid w:val="00445EBA"/>
    <w:rsid w:val="004460B8"/>
    <w:rsid w:val="00446A5C"/>
    <w:rsid w:val="004477D9"/>
    <w:rsid w:val="00450829"/>
    <w:rsid w:val="00450F34"/>
    <w:rsid w:val="004510EB"/>
    <w:rsid w:val="004514F5"/>
    <w:rsid w:val="00451D0A"/>
    <w:rsid w:val="00451F7A"/>
    <w:rsid w:val="00452C32"/>
    <w:rsid w:val="00453038"/>
    <w:rsid w:val="00453093"/>
    <w:rsid w:val="00453CA3"/>
    <w:rsid w:val="00454B71"/>
    <w:rsid w:val="00454F5B"/>
    <w:rsid w:val="004555E3"/>
    <w:rsid w:val="0045582F"/>
    <w:rsid w:val="00456025"/>
    <w:rsid w:val="0045623A"/>
    <w:rsid w:val="00456422"/>
    <w:rsid w:val="004564AE"/>
    <w:rsid w:val="0045695D"/>
    <w:rsid w:val="00456B1B"/>
    <w:rsid w:val="00456B24"/>
    <w:rsid w:val="0045748C"/>
    <w:rsid w:val="00457A8A"/>
    <w:rsid w:val="00457D59"/>
    <w:rsid w:val="0046003A"/>
    <w:rsid w:val="004604A3"/>
    <w:rsid w:val="0046063A"/>
    <w:rsid w:val="00460F51"/>
    <w:rsid w:val="0046112B"/>
    <w:rsid w:val="00461DBF"/>
    <w:rsid w:val="00461F44"/>
    <w:rsid w:val="004621B6"/>
    <w:rsid w:val="004629FF"/>
    <w:rsid w:val="00462A86"/>
    <w:rsid w:val="00462BEF"/>
    <w:rsid w:val="00463484"/>
    <w:rsid w:val="00464108"/>
    <w:rsid w:val="00464BC7"/>
    <w:rsid w:val="00464D9D"/>
    <w:rsid w:val="004657C9"/>
    <w:rsid w:val="00465DFC"/>
    <w:rsid w:val="00465E8B"/>
    <w:rsid w:val="00465EED"/>
    <w:rsid w:val="00466A6D"/>
    <w:rsid w:val="00466D08"/>
    <w:rsid w:val="00466E20"/>
    <w:rsid w:val="004708E2"/>
    <w:rsid w:val="004709D5"/>
    <w:rsid w:val="00470A88"/>
    <w:rsid w:val="00470B5E"/>
    <w:rsid w:val="00470BFE"/>
    <w:rsid w:val="00470ED5"/>
    <w:rsid w:val="00470F47"/>
    <w:rsid w:val="004719DF"/>
    <w:rsid w:val="00471F61"/>
    <w:rsid w:val="00472504"/>
    <w:rsid w:val="0047285F"/>
    <w:rsid w:val="00472E24"/>
    <w:rsid w:val="00473A4B"/>
    <w:rsid w:val="00473B2B"/>
    <w:rsid w:val="00473CEC"/>
    <w:rsid w:val="00473D58"/>
    <w:rsid w:val="00473D75"/>
    <w:rsid w:val="004745D8"/>
    <w:rsid w:val="004750C7"/>
    <w:rsid w:val="00475203"/>
    <w:rsid w:val="0047549C"/>
    <w:rsid w:val="00475E9F"/>
    <w:rsid w:val="00475FD2"/>
    <w:rsid w:val="00476D45"/>
    <w:rsid w:val="00477027"/>
    <w:rsid w:val="004777B0"/>
    <w:rsid w:val="00480186"/>
    <w:rsid w:val="0048030A"/>
    <w:rsid w:val="0048063C"/>
    <w:rsid w:val="00480880"/>
    <w:rsid w:val="004811B0"/>
    <w:rsid w:val="00481511"/>
    <w:rsid w:val="00481ACB"/>
    <w:rsid w:val="00481D3E"/>
    <w:rsid w:val="00481E44"/>
    <w:rsid w:val="0048200A"/>
    <w:rsid w:val="0048201C"/>
    <w:rsid w:val="00482041"/>
    <w:rsid w:val="004820B2"/>
    <w:rsid w:val="004825B4"/>
    <w:rsid w:val="00482A6E"/>
    <w:rsid w:val="0048315E"/>
    <w:rsid w:val="00483474"/>
    <w:rsid w:val="004841D7"/>
    <w:rsid w:val="00484376"/>
    <w:rsid w:val="0048465F"/>
    <w:rsid w:val="00484E44"/>
    <w:rsid w:val="00485223"/>
    <w:rsid w:val="0048544D"/>
    <w:rsid w:val="00485AAA"/>
    <w:rsid w:val="00485CCD"/>
    <w:rsid w:val="00485CDE"/>
    <w:rsid w:val="00485E4D"/>
    <w:rsid w:val="0048686E"/>
    <w:rsid w:val="004869CF"/>
    <w:rsid w:val="00486FBA"/>
    <w:rsid w:val="00487524"/>
    <w:rsid w:val="00487C98"/>
    <w:rsid w:val="00490C1B"/>
    <w:rsid w:val="00491BDE"/>
    <w:rsid w:val="004920FD"/>
    <w:rsid w:val="00492119"/>
    <w:rsid w:val="00492226"/>
    <w:rsid w:val="004922D4"/>
    <w:rsid w:val="0049275F"/>
    <w:rsid w:val="004927A6"/>
    <w:rsid w:val="004927EF"/>
    <w:rsid w:val="004927FC"/>
    <w:rsid w:val="00492975"/>
    <w:rsid w:val="004935F3"/>
    <w:rsid w:val="0049366A"/>
    <w:rsid w:val="004948A7"/>
    <w:rsid w:val="00494B00"/>
    <w:rsid w:val="00494D3F"/>
    <w:rsid w:val="00495209"/>
    <w:rsid w:val="00495267"/>
    <w:rsid w:val="004958E7"/>
    <w:rsid w:val="00495F3D"/>
    <w:rsid w:val="00495FD9"/>
    <w:rsid w:val="004961A5"/>
    <w:rsid w:val="00496427"/>
    <w:rsid w:val="00496782"/>
    <w:rsid w:val="00496802"/>
    <w:rsid w:val="0049708D"/>
    <w:rsid w:val="0049722C"/>
    <w:rsid w:val="00497ACB"/>
    <w:rsid w:val="00497D23"/>
    <w:rsid w:val="004A0B6D"/>
    <w:rsid w:val="004A0C66"/>
    <w:rsid w:val="004A133D"/>
    <w:rsid w:val="004A164F"/>
    <w:rsid w:val="004A176D"/>
    <w:rsid w:val="004A19D7"/>
    <w:rsid w:val="004A1F2F"/>
    <w:rsid w:val="004A235B"/>
    <w:rsid w:val="004A24B1"/>
    <w:rsid w:val="004A2A3A"/>
    <w:rsid w:val="004A2FBF"/>
    <w:rsid w:val="004A314B"/>
    <w:rsid w:val="004A3614"/>
    <w:rsid w:val="004A3B22"/>
    <w:rsid w:val="004A3E1D"/>
    <w:rsid w:val="004A4269"/>
    <w:rsid w:val="004A44B2"/>
    <w:rsid w:val="004A4E0C"/>
    <w:rsid w:val="004A5072"/>
    <w:rsid w:val="004A5593"/>
    <w:rsid w:val="004A57DA"/>
    <w:rsid w:val="004A57FD"/>
    <w:rsid w:val="004A5CB7"/>
    <w:rsid w:val="004A5FB8"/>
    <w:rsid w:val="004A61F0"/>
    <w:rsid w:val="004A6805"/>
    <w:rsid w:val="004A7DB7"/>
    <w:rsid w:val="004B0403"/>
    <w:rsid w:val="004B0B3E"/>
    <w:rsid w:val="004B0DC0"/>
    <w:rsid w:val="004B111B"/>
    <w:rsid w:val="004B128E"/>
    <w:rsid w:val="004B1805"/>
    <w:rsid w:val="004B1EF5"/>
    <w:rsid w:val="004B232C"/>
    <w:rsid w:val="004B2BCC"/>
    <w:rsid w:val="004B2F02"/>
    <w:rsid w:val="004B3AA6"/>
    <w:rsid w:val="004B3E05"/>
    <w:rsid w:val="004B3FB2"/>
    <w:rsid w:val="004B4020"/>
    <w:rsid w:val="004B4D15"/>
    <w:rsid w:val="004B517E"/>
    <w:rsid w:val="004B534B"/>
    <w:rsid w:val="004B5ADB"/>
    <w:rsid w:val="004B6E30"/>
    <w:rsid w:val="004C0560"/>
    <w:rsid w:val="004C0F85"/>
    <w:rsid w:val="004C12FF"/>
    <w:rsid w:val="004C1636"/>
    <w:rsid w:val="004C163E"/>
    <w:rsid w:val="004C17CE"/>
    <w:rsid w:val="004C1868"/>
    <w:rsid w:val="004C2092"/>
    <w:rsid w:val="004C267D"/>
    <w:rsid w:val="004C2C7F"/>
    <w:rsid w:val="004C3561"/>
    <w:rsid w:val="004C36B6"/>
    <w:rsid w:val="004C39ED"/>
    <w:rsid w:val="004C3E14"/>
    <w:rsid w:val="004C44E9"/>
    <w:rsid w:val="004C5EF6"/>
    <w:rsid w:val="004C6053"/>
    <w:rsid w:val="004C6708"/>
    <w:rsid w:val="004C776D"/>
    <w:rsid w:val="004C79B1"/>
    <w:rsid w:val="004C7F59"/>
    <w:rsid w:val="004D0BCA"/>
    <w:rsid w:val="004D0E61"/>
    <w:rsid w:val="004D0E94"/>
    <w:rsid w:val="004D1066"/>
    <w:rsid w:val="004D19C9"/>
    <w:rsid w:val="004D1CC0"/>
    <w:rsid w:val="004D22BF"/>
    <w:rsid w:val="004D3124"/>
    <w:rsid w:val="004D3780"/>
    <w:rsid w:val="004D3821"/>
    <w:rsid w:val="004D38D6"/>
    <w:rsid w:val="004D4632"/>
    <w:rsid w:val="004D4AA3"/>
    <w:rsid w:val="004D5073"/>
    <w:rsid w:val="004D5A36"/>
    <w:rsid w:val="004D5E33"/>
    <w:rsid w:val="004D6678"/>
    <w:rsid w:val="004D6DF5"/>
    <w:rsid w:val="004D71ED"/>
    <w:rsid w:val="004D74DF"/>
    <w:rsid w:val="004E02F2"/>
    <w:rsid w:val="004E06E5"/>
    <w:rsid w:val="004E07EF"/>
    <w:rsid w:val="004E0C47"/>
    <w:rsid w:val="004E0D0F"/>
    <w:rsid w:val="004E0DDC"/>
    <w:rsid w:val="004E152E"/>
    <w:rsid w:val="004E1688"/>
    <w:rsid w:val="004E1857"/>
    <w:rsid w:val="004E18FE"/>
    <w:rsid w:val="004E1F3A"/>
    <w:rsid w:val="004E283C"/>
    <w:rsid w:val="004E3096"/>
    <w:rsid w:val="004E35F4"/>
    <w:rsid w:val="004E379F"/>
    <w:rsid w:val="004E38F0"/>
    <w:rsid w:val="004E4241"/>
    <w:rsid w:val="004E47F1"/>
    <w:rsid w:val="004E4C1C"/>
    <w:rsid w:val="004E4CCE"/>
    <w:rsid w:val="004E5ED8"/>
    <w:rsid w:val="004E5EDA"/>
    <w:rsid w:val="004E61D9"/>
    <w:rsid w:val="004E6607"/>
    <w:rsid w:val="004E6AC3"/>
    <w:rsid w:val="004E6E47"/>
    <w:rsid w:val="004E7185"/>
    <w:rsid w:val="004E71F4"/>
    <w:rsid w:val="004E7C25"/>
    <w:rsid w:val="004F0439"/>
    <w:rsid w:val="004F092C"/>
    <w:rsid w:val="004F220E"/>
    <w:rsid w:val="004F22C3"/>
    <w:rsid w:val="004F284C"/>
    <w:rsid w:val="004F2A7E"/>
    <w:rsid w:val="004F2C73"/>
    <w:rsid w:val="004F308A"/>
    <w:rsid w:val="004F34E4"/>
    <w:rsid w:val="004F4062"/>
    <w:rsid w:val="004F41B0"/>
    <w:rsid w:val="004F4762"/>
    <w:rsid w:val="004F4817"/>
    <w:rsid w:val="004F4ACD"/>
    <w:rsid w:val="004F4B60"/>
    <w:rsid w:val="004F4C3E"/>
    <w:rsid w:val="004F5626"/>
    <w:rsid w:val="004F5FCB"/>
    <w:rsid w:val="004F603D"/>
    <w:rsid w:val="004F6462"/>
    <w:rsid w:val="004F6473"/>
    <w:rsid w:val="004F64B4"/>
    <w:rsid w:val="004F6538"/>
    <w:rsid w:val="004F6739"/>
    <w:rsid w:val="004F68CA"/>
    <w:rsid w:val="004F6A49"/>
    <w:rsid w:val="004F72AE"/>
    <w:rsid w:val="004F7545"/>
    <w:rsid w:val="004F7BD2"/>
    <w:rsid w:val="005004CE"/>
    <w:rsid w:val="00500F36"/>
    <w:rsid w:val="00500FA5"/>
    <w:rsid w:val="00501115"/>
    <w:rsid w:val="005014DB"/>
    <w:rsid w:val="00501FF5"/>
    <w:rsid w:val="00502323"/>
    <w:rsid w:val="005026CA"/>
    <w:rsid w:val="00502E1E"/>
    <w:rsid w:val="00502EA1"/>
    <w:rsid w:val="005041AC"/>
    <w:rsid w:val="005041D0"/>
    <w:rsid w:val="0050425E"/>
    <w:rsid w:val="00504358"/>
    <w:rsid w:val="0050562B"/>
    <w:rsid w:val="00505B36"/>
    <w:rsid w:val="00507716"/>
    <w:rsid w:val="005079CF"/>
    <w:rsid w:val="005101C6"/>
    <w:rsid w:val="00510304"/>
    <w:rsid w:val="005108F4"/>
    <w:rsid w:val="00510D80"/>
    <w:rsid w:val="00510F4B"/>
    <w:rsid w:val="0051163C"/>
    <w:rsid w:val="00511ACF"/>
    <w:rsid w:val="005120B0"/>
    <w:rsid w:val="00512162"/>
    <w:rsid w:val="00512766"/>
    <w:rsid w:val="005127A6"/>
    <w:rsid w:val="00512916"/>
    <w:rsid w:val="00512F46"/>
    <w:rsid w:val="005130E0"/>
    <w:rsid w:val="0051379F"/>
    <w:rsid w:val="00513B2A"/>
    <w:rsid w:val="00514031"/>
    <w:rsid w:val="00514365"/>
    <w:rsid w:val="00514EEC"/>
    <w:rsid w:val="0051517E"/>
    <w:rsid w:val="00515509"/>
    <w:rsid w:val="00515654"/>
    <w:rsid w:val="00515749"/>
    <w:rsid w:val="00515A2C"/>
    <w:rsid w:val="00515D86"/>
    <w:rsid w:val="0051649B"/>
    <w:rsid w:val="005166CB"/>
    <w:rsid w:val="00517049"/>
    <w:rsid w:val="005173E4"/>
    <w:rsid w:val="00517879"/>
    <w:rsid w:val="0052011D"/>
    <w:rsid w:val="00520886"/>
    <w:rsid w:val="005209C3"/>
    <w:rsid w:val="00520EA4"/>
    <w:rsid w:val="00521042"/>
    <w:rsid w:val="0052125C"/>
    <w:rsid w:val="005212D3"/>
    <w:rsid w:val="005213EE"/>
    <w:rsid w:val="00521B7F"/>
    <w:rsid w:val="00522071"/>
    <w:rsid w:val="005220B0"/>
    <w:rsid w:val="0052234D"/>
    <w:rsid w:val="0052277E"/>
    <w:rsid w:val="00523167"/>
    <w:rsid w:val="0052325A"/>
    <w:rsid w:val="0052364E"/>
    <w:rsid w:val="005236A3"/>
    <w:rsid w:val="005236AE"/>
    <w:rsid w:val="00524034"/>
    <w:rsid w:val="005242BB"/>
    <w:rsid w:val="005249B2"/>
    <w:rsid w:val="00525477"/>
    <w:rsid w:val="005257C4"/>
    <w:rsid w:val="00526251"/>
    <w:rsid w:val="005268DB"/>
    <w:rsid w:val="00530984"/>
    <w:rsid w:val="005312EE"/>
    <w:rsid w:val="005314DF"/>
    <w:rsid w:val="00531A8F"/>
    <w:rsid w:val="00531AFA"/>
    <w:rsid w:val="00531C82"/>
    <w:rsid w:val="00532053"/>
    <w:rsid w:val="005326CE"/>
    <w:rsid w:val="00532B8D"/>
    <w:rsid w:val="00533A21"/>
    <w:rsid w:val="00533F88"/>
    <w:rsid w:val="0053481E"/>
    <w:rsid w:val="00534BC0"/>
    <w:rsid w:val="00534E71"/>
    <w:rsid w:val="00534FF3"/>
    <w:rsid w:val="0053533C"/>
    <w:rsid w:val="00535980"/>
    <w:rsid w:val="00535AC7"/>
    <w:rsid w:val="00535C9D"/>
    <w:rsid w:val="00536125"/>
    <w:rsid w:val="005361E9"/>
    <w:rsid w:val="00536695"/>
    <w:rsid w:val="00536FBC"/>
    <w:rsid w:val="005376E1"/>
    <w:rsid w:val="00537B6B"/>
    <w:rsid w:val="00537C75"/>
    <w:rsid w:val="00537F63"/>
    <w:rsid w:val="00540400"/>
    <w:rsid w:val="0054042D"/>
    <w:rsid w:val="00540567"/>
    <w:rsid w:val="00540B60"/>
    <w:rsid w:val="00540BD7"/>
    <w:rsid w:val="00541369"/>
    <w:rsid w:val="0054281C"/>
    <w:rsid w:val="00542FB9"/>
    <w:rsid w:val="005438A0"/>
    <w:rsid w:val="00543DE9"/>
    <w:rsid w:val="0054401A"/>
    <w:rsid w:val="00544E20"/>
    <w:rsid w:val="00544FC9"/>
    <w:rsid w:val="005454E8"/>
    <w:rsid w:val="005455E5"/>
    <w:rsid w:val="00546254"/>
    <w:rsid w:val="00546725"/>
    <w:rsid w:val="00546BF5"/>
    <w:rsid w:val="00546F86"/>
    <w:rsid w:val="0054781F"/>
    <w:rsid w:val="00547DBF"/>
    <w:rsid w:val="00547FD4"/>
    <w:rsid w:val="00550073"/>
    <w:rsid w:val="00550406"/>
    <w:rsid w:val="005505A1"/>
    <w:rsid w:val="005506FE"/>
    <w:rsid w:val="00550F2E"/>
    <w:rsid w:val="00551764"/>
    <w:rsid w:val="00551CF5"/>
    <w:rsid w:val="00551F1D"/>
    <w:rsid w:val="0055254A"/>
    <w:rsid w:val="00552A59"/>
    <w:rsid w:val="00552AD2"/>
    <w:rsid w:val="00552F52"/>
    <w:rsid w:val="005531C1"/>
    <w:rsid w:val="005543A0"/>
    <w:rsid w:val="00554D20"/>
    <w:rsid w:val="00555295"/>
    <w:rsid w:val="005553EF"/>
    <w:rsid w:val="00555DBC"/>
    <w:rsid w:val="00555F8B"/>
    <w:rsid w:val="00556735"/>
    <w:rsid w:val="00556F15"/>
    <w:rsid w:val="00556F24"/>
    <w:rsid w:val="00556F69"/>
    <w:rsid w:val="00560A97"/>
    <w:rsid w:val="00560AC0"/>
    <w:rsid w:val="00560AE6"/>
    <w:rsid w:val="0056124C"/>
    <w:rsid w:val="00561C1F"/>
    <w:rsid w:val="00561D06"/>
    <w:rsid w:val="00561F98"/>
    <w:rsid w:val="005625AE"/>
    <w:rsid w:val="0056285E"/>
    <w:rsid w:val="00562B21"/>
    <w:rsid w:val="00562BAB"/>
    <w:rsid w:val="00562CA7"/>
    <w:rsid w:val="00563122"/>
    <w:rsid w:val="00563E0B"/>
    <w:rsid w:val="00564660"/>
    <w:rsid w:val="00564B9C"/>
    <w:rsid w:val="00564FFF"/>
    <w:rsid w:val="005652F3"/>
    <w:rsid w:val="0056541C"/>
    <w:rsid w:val="005659CA"/>
    <w:rsid w:val="00565CCB"/>
    <w:rsid w:val="00566BE9"/>
    <w:rsid w:val="00566F00"/>
    <w:rsid w:val="005673B7"/>
    <w:rsid w:val="00567E81"/>
    <w:rsid w:val="005700C5"/>
    <w:rsid w:val="00570696"/>
    <w:rsid w:val="00570957"/>
    <w:rsid w:val="00571025"/>
    <w:rsid w:val="00571320"/>
    <w:rsid w:val="005714FE"/>
    <w:rsid w:val="00571D90"/>
    <w:rsid w:val="00572555"/>
    <w:rsid w:val="005725DE"/>
    <w:rsid w:val="00572B02"/>
    <w:rsid w:val="00572CC3"/>
    <w:rsid w:val="00572E19"/>
    <w:rsid w:val="005732B5"/>
    <w:rsid w:val="005734AE"/>
    <w:rsid w:val="0057373D"/>
    <w:rsid w:val="00573FB9"/>
    <w:rsid w:val="0057458F"/>
    <w:rsid w:val="00574B82"/>
    <w:rsid w:val="00574F89"/>
    <w:rsid w:val="00575BB8"/>
    <w:rsid w:val="00575C46"/>
    <w:rsid w:val="005768E7"/>
    <w:rsid w:val="00576BBC"/>
    <w:rsid w:val="00576E3E"/>
    <w:rsid w:val="00577C3A"/>
    <w:rsid w:val="00577D25"/>
    <w:rsid w:val="00580449"/>
    <w:rsid w:val="00580E35"/>
    <w:rsid w:val="00580FC0"/>
    <w:rsid w:val="005813BA"/>
    <w:rsid w:val="005815F9"/>
    <w:rsid w:val="005824F2"/>
    <w:rsid w:val="005829EC"/>
    <w:rsid w:val="00582BB5"/>
    <w:rsid w:val="00582EF3"/>
    <w:rsid w:val="00583B27"/>
    <w:rsid w:val="00583BDA"/>
    <w:rsid w:val="00583CE7"/>
    <w:rsid w:val="00583E60"/>
    <w:rsid w:val="00583F55"/>
    <w:rsid w:val="00584221"/>
    <w:rsid w:val="005844F3"/>
    <w:rsid w:val="005849B0"/>
    <w:rsid w:val="00584A6E"/>
    <w:rsid w:val="00584CA0"/>
    <w:rsid w:val="00584CCD"/>
    <w:rsid w:val="005850DA"/>
    <w:rsid w:val="0058598D"/>
    <w:rsid w:val="00585EBA"/>
    <w:rsid w:val="00586785"/>
    <w:rsid w:val="00586866"/>
    <w:rsid w:val="00586D77"/>
    <w:rsid w:val="0058707E"/>
    <w:rsid w:val="00587175"/>
    <w:rsid w:val="005872F9"/>
    <w:rsid w:val="00587383"/>
    <w:rsid w:val="005874D3"/>
    <w:rsid w:val="00587D80"/>
    <w:rsid w:val="00590518"/>
    <w:rsid w:val="0059096F"/>
    <w:rsid w:val="005912CF"/>
    <w:rsid w:val="00591A57"/>
    <w:rsid w:val="00591F4C"/>
    <w:rsid w:val="00591FD2"/>
    <w:rsid w:val="00592DC3"/>
    <w:rsid w:val="00593240"/>
    <w:rsid w:val="0059358C"/>
    <w:rsid w:val="005937F8"/>
    <w:rsid w:val="00593EC1"/>
    <w:rsid w:val="005940B7"/>
    <w:rsid w:val="00594C32"/>
    <w:rsid w:val="005966E0"/>
    <w:rsid w:val="00596ED1"/>
    <w:rsid w:val="00596F5A"/>
    <w:rsid w:val="00597183"/>
    <w:rsid w:val="005972D2"/>
    <w:rsid w:val="00597B11"/>
    <w:rsid w:val="00597B85"/>
    <w:rsid w:val="00597C3F"/>
    <w:rsid w:val="00597CE2"/>
    <w:rsid w:val="005A0687"/>
    <w:rsid w:val="005A09A7"/>
    <w:rsid w:val="005A1977"/>
    <w:rsid w:val="005A24FB"/>
    <w:rsid w:val="005A2A67"/>
    <w:rsid w:val="005A2D82"/>
    <w:rsid w:val="005A3AB2"/>
    <w:rsid w:val="005A3CEF"/>
    <w:rsid w:val="005A3F58"/>
    <w:rsid w:val="005A415B"/>
    <w:rsid w:val="005A4C93"/>
    <w:rsid w:val="005A4F5F"/>
    <w:rsid w:val="005A5400"/>
    <w:rsid w:val="005A545A"/>
    <w:rsid w:val="005A5A47"/>
    <w:rsid w:val="005A6696"/>
    <w:rsid w:val="005A6F8B"/>
    <w:rsid w:val="005A7404"/>
    <w:rsid w:val="005A75CE"/>
    <w:rsid w:val="005A76A7"/>
    <w:rsid w:val="005A7764"/>
    <w:rsid w:val="005A77A7"/>
    <w:rsid w:val="005A7F1A"/>
    <w:rsid w:val="005B090E"/>
    <w:rsid w:val="005B0934"/>
    <w:rsid w:val="005B116B"/>
    <w:rsid w:val="005B12C7"/>
    <w:rsid w:val="005B17EA"/>
    <w:rsid w:val="005B1B0A"/>
    <w:rsid w:val="005B1EE2"/>
    <w:rsid w:val="005B1F3E"/>
    <w:rsid w:val="005B25F9"/>
    <w:rsid w:val="005B2B0D"/>
    <w:rsid w:val="005B2D90"/>
    <w:rsid w:val="005B3416"/>
    <w:rsid w:val="005B34B2"/>
    <w:rsid w:val="005B360E"/>
    <w:rsid w:val="005B3615"/>
    <w:rsid w:val="005B3D0A"/>
    <w:rsid w:val="005B4025"/>
    <w:rsid w:val="005B455D"/>
    <w:rsid w:val="005B534D"/>
    <w:rsid w:val="005B5844"/>
    <w:rsid w:val="005B5CE2"/>
    <w:rsid w:val="005B5DB5"/>
    <w:rsid w:val="005B5EB8"/>
    <w:rsid w:val="005B619C"/>
    <w:rsid w:val="005B63AA"/>
    <w:rsid w:val="005B6408"/>
    <w:rsid w:val="005B6DDD"/>
    <w:rsid w:val="005C0122"/>
    <w:rsid w:val="005C02AF"/>
    <w:rsid w:val="005C0D5F"/>
    <w:rsid w:val="005C14B9"/>
    <w:rsid w:val="005C169D"/>
    <w:rsid w:val="005C19BB"/>
    <w:rsid w:val="005C1A3E"/>
    <w:rsid w:val="005C22EE"/>
    <w:rsid w:val="005C2314"/>
    <w:rsid w:val="005C25C1"/>
    <w:rsid w:val="005C2B38"/>
    <w:rsid w:val="005C2B84"/>
    <w:rsid w:val="005C2BFF"/>
    <w:rsid w:val="005C2D1E"/>
    <w:rsid w:val="005C2E15"/>
    <w:rsid w:val="005C306B"/>
    <w:rsid w:val="005C30C3"/>
    <w:rsid w:val="005C32F0"/>
    <w:rsid w:val="005C378B"/>
    <w:rsid w:val="005C3BC7"/>
    <w:rsid w:val="005C3E67"/>
    <w:rsid w:val="005C42F1"/>
    <w:rsid w:val="005C4A91"/>
    <w:rsid w:val="005C4B69"/>
    <w:rsid w:val="005C4E08"/>
    <w:rsid w:val="005C4F99"/>
    <w:rsid w:val="005C571D"/>
    <w:rsid w:val="005C61B8"/>
    <w:rsid w:val="005C661E"/>
    <w:rsid w:val="005C67BD"/>
    <w:rsid w:val="005C6961"/>
    <w:rsid w:val="005C6E12"/>
    <w:rsid w:val="005C6E20"/>
    <w:rsid w:val="005C7446"/>
    <w:rsid w:val="005C7AE4"/>
    <w:rsid w:val="005D0AFA"/>
    <w:rsid w:val="005D0C10"/>
    <w:rsid w:val="005D0DBF"/>
    <w:rsid w:val="005D0E25"/>
    <w:rsid w:val="005D1701"/>
    <w:rsid w:val="005D195B"/>
    <w:rsid w:val="005D2C6C"/>
    <w:rsid w:val="005D33CB"/>
    <w:rsid w:val="005D4A95"/>
    <w:rsid w:val="005D5E99"/>
    <w:rsid w:val="005D662C"/>
    <w:rsid w:val="005D6BF8"/>
    <w:rsid w:val="005D7383"/>
    <w:rsid w:val="005D7BA4"/>
    <w:rsid w:val="005D7C4B"/>
    <w:rsid w:val="005D7C68"/>
    <w:rsid w:val="005D7E74"/>
    <w:rsid w:val="005E026F"/>
    <w:rsid w:val="005E0409"/>
    <w:rsid w:val="005E085A"/>
    <w:rsid w:val="005E0B54"/>
    <w:rsid w:val="005E1179"/>
    <w:rsid w:val="005E117B"/>
    <w:rsid w:val="005E14D1"/>
    <w:rsid w:val="005E15C5"/>
    <w:rsid w:val="005E1C71"/>
    <w:rsid w:val="005E21C5"/>
    <w:rsid w:val="005E2C77"/>
    <w:rsid w:val="005E2D97"/>
    <w:rsid w:val="005E2FCB"/>
    <w:rsid w:val="005E3379"/>
    <w:rsid w:val="005E34D7"/>
    <w:rsid w:val="005E3CD5"/>
    <w:rsid w:val="005E3E6D"/>
    <w:rsid w:val="005E4AEA"/>
    <w:rsid w:val="005E4B00"/>
    <w:rsid w:val="005E4BE7"/>
    <w:rsid w:val="005E4BFB"/>
    <w:rsid w:val="005E4C31"/>
    <w:rsid w:val="005E5050"/>
    <w:rsid w:val="005E5B08"/>
    <w:rsid w:val="005E5FA4"/>
    <w:rsid w:val="005E6068"/>
    <w:rsid w:val="005E69B8"/>
    <w:rsid w:val="005E70CE"/>
    <w:rsid w:val="005E721B"/>
    <w:rsid w:val="005E7308"/>
    <w:rsid w:val="005E731B"/>
    <w:rsid w:val="005E772A"/>
    <w:rsid w:val="005E77C4"/>
    <w:rsid w:val="005E7B17"/>
    <w:rsid w:val="005E7CBA"/>
    <w:rsid w:val="005E7EE5"/>
    <w:rsid w:val="005F0627"/>
    <w:rsid w:val="005F07B8"/>
    <w:rsid w:val="005F0A51"/>
    <w:rsid w:val="005F1182"/>
    <w:rsid w:val="005F16E9"/>
    <w:rsid w:val="005F1FAC"/>
    <w:rsid w:val="005F2161"/>
    <w:rsid w:val="005F26B1"/>
    <w:rsid w:val="005F2D26"/>
    <w:rsid w:val="005F3111"/>
    <w:rsid w:val="005F355C"/>
    <w:rsid w:val="005F40DB"/>
    <w:rsid w:val="005F42B8"/>
    <w:rsid w:val="005F465A"/>
    <w:rsid w:val="005F47B8"/>
    <w:rsid w:val="005F48A6"/>
    <w:rsid w:val="005F49BD"/>
    <w:rsid w:val="005F50E4"/>
    <w:rsid w:val="005F58FD"/>
    <w:rsid w:val="005F5BD2"/>
    <w:rsid w:val="005F5CE6"/>
    <w:rsid w:val="005F6528"/>
    <w:rsid w:val="005F65C3"/>
    <w:rsid w:val="005F6D06"/>
    <w:rsid w:val="005F7258"/>
    <w:rsid w:val="005F7884"/>
    <w:rsid w:val="005F7B1C"/>
    <w:rsid w:val="00600058"/>
    <w:rsid w:val="00601051"/>
    <w:rsid w:val="00601218"/>
    <w:rsid w:val="00601277"/>
    <w:rsid w:val="00601753"/>
    <w:rsid w:val="0060187E"/>
    <w:rsid w:val="006018F3"/>
    <w:rsid w:val="006019BA"/>
    <w:rsid w:val="00602376"/>
    <w:rsid w:val="0060265F"/>
    <w:rsid w:val="006028D4"/>
    <w:rsid w:val="00602920"/>
    <w:rsid w:val="0060382A"/>
    <w:rsid w:val="00603B02"/>
    <w:rsid w:val="00603BCF"/>
    <w:rsid w:val="00604040"/>
    <w:rsid w:val="00604591"/>
    <w:rsid w:val="00605600"/>
    <w:rsid w:val="00605C55"/>
    <w:rsid w:val="00605EFA"/>
    <w:rsid w:val="006065D2"/>
    <w:rsid w:val="00606D14"/>
    <w:rsid w:val="00606DC7"/>
    <w:rsid w:val="00607338"/>
    <w:rsid w:val="006074AD"/>
    <w:rsid w:val="00607B67"/>
    <w:rsid w:val="00607C3C"/>
    <w:rsid w:val="006109AD"/>
    <w:rsid w:val="0061302D"/>
    <w:rsid w:val="0061329B"/>
    <w:rsid w:val="0061381A"/>
    <w:rsid w:val="00613E0C"/>
    <w:rsid w:val="0061402B"/>
    <w:rsid w:val="0061436D"/>
    <w:rsid w:val="00615346"/>
    <w:rsid w:val="0061569E"/>
    <w:rsid w:val="00615DE1"/>
    <w:rsid w:val="00616513"/>
    <w:rsid w:val="006178C6"/>
    <w:rsid w:val="00617A1C"/>
    <w:rsid w:val="00620805"/>
    <w:rsid w:val="00620A7B"/>
    <w:rsid w:val="00620E84"/>
    <w:rsid w:val="00621365"/>
    <w:rsid w:val="00621373"/>
    <w:rsid w:val="00621441"/>
    <w:rsid w:val="006219FC"/>
    <w:rsid w:val="006220BC"/>
    <w:rsid w:val="00622427"/>
    <w:rsid w:val="00623319"/>
    <w:rsid w:val="0062438C"/>
    <w:rsid w:val="0062494F"/>
    <w:rsid w:val="00624CFD"/>
    <w:rsid w:val="00625082"/>
    <w:rsid w:val="0062547F"/>
    <w:rsid w:val="00625A9A"/>
    <w:rsid w:val="00625D3F"/>
    <w:rsid w:val="00626B5C"/>
    <w:rsid w:val="00627074"/>
    <w:rsid w:val="00627712"/>
    <w:rsid w:val="00627814"/>
    <w:rsid w:val="00627D68"/>
    <w:rsid w:val="00630013"/>
    <w:rsid w:val="00630211"/>
    <w:rsid w:val="00630A84"/>
    <w:rsid w:val="00630B7C"/>
    <w:rsid w:val="00630E0A"/>
    <w:rsid w:val="00631071"/>
    <w:rsid w:val="006312C1"/>
    <w:rsid w:val="0063131F"/>
    <w:rsid w:val="00632480"/>
    <w:rsid w:val="00632720"/>
    <w:rsid w:val="006327E6"/>
    <w:rsid w:val="00632FA8"/>
    <w:rsid w:val="0063306E"/>
    <w:rsid w:val="006331E8"/>
    <w:rsid w:val="0063384B"/>
    <w:rsid w:val="00633C25"/>
    <w:rsid w:val="00634B5B"/>
    <w:rsid w:val="00634E06"/>
    <w:rsid w:val="00634FBF"/>
    <w:rsid w:val="00635189"/>
    <w:rsid w:val="006351EC"/>
    <w:rsid w:val="006352AE"/>
    <w:rsid w:val="006355EF"/>
    <w:rsid w:val="00635816"/>
    <w:rsid w:val="00635A32"/>
    <w:rsid w:val="00635AAA"/>
    <w:rsid w:val="00635B01"/>
    <w:rsid w:val="00635B53"/>
    <w:rsid w:val="00636009"/>
    <w:rsid w:val="00636274"/>
    <w:rsid w:val="0063667B"/>
    <w:rsid w:val="00636755"/>
    <w:rsid w:val="00636785"/>
    <w:rsid w:val="00636C67"/>
    <w:rsid w:val="00640485"/>
    <w:rsid w:val="006406C8"/>
    <w:rsid w:val="006410D8"/>
    <w:rsid w:val="006414CA"/>
    <w:rsid w:val="00641814"/>
    <w:rsid w:val="00641DEA"/>
    <w:rsid w:val="00642793"/>
    <w:rsid w:val="006427DB"/>
    <w:rsid w:val="00642A7A"/>
    <w:rsid w:val="00642D3A"/>
    <w:rsid w:val="00642EAE"/>
    <w:rsid w:val="006435AD"/>
    <w:rsid w:val="00643DB8"/>
    <w:rsid w:val="00644188"/>
    <w:rsid w:val="006444F5"/>
    <w:rsid w:val="00644721"/>
    <w:rsid w:val="00644BE1"/>
    <w:rsid w:val="00644D6D"/>
    <w:rsid w:val="006455A5"/>
    <w:rsid w:val="00645A02"/>
    <w:rsid w:val="00645B92"/>
    <w:rsid w:val="00645E15"/>
    <w:rsid w:val="00646654"/>
    <w:rsid w:val="00647417"/>
    <w:rsid w:val="0064745B"/>
    <w:rsid w:val="00647978"/>
    <w:rsid w:val="00647D4A"/>
    <w:rsid w:val="00647DAB"/>
    <w:rsid w:val="00647EEC"/>
    <w:rsid w:val="00647F1B"/>
    <w:rsid w:val="00650524"/>
    <w:rsid w:val="00650611"/>
    <w:rsid w:val="0065165C"/>
    <w:rsid w:val="00651769"/>
    <w:rsid w:val="00651793"/>
    <w:rsid w:val="00651B2D"/>
    <w:rsid w:val="00652BC4"/>
    <w:rsid w:val="00653104"/>
    <w:rsid w:val="0065363D"/>
    <w:rsid w:val="00653DB7"/>
    <w:rsid w:val="00653E9B"/>
    <w:rsid w:val="00654304"/>
    <w:rsid w:val="00654607"/>
    <w:rsid w:val="006549B4"/>
    <w:rsid w:val="00654E5F"/>
    <w:rsid w:val="00654F76"/>
    <w:rsid w:val="00655AC0"/>
    <w:rsid w:val="00655BF9"/>
    <w:rsid w:val="00655DEF"/>
    <w:rsid w:val="00655F47"/>
    <w:rsid w:val="00656428"/>
    <w:rsid w:val="006569AB"/>
    <w:rsid w:val="0065725F"/>
    <w:rsid w:val="0065735E"/>
    <w:rsid w:val="00657BFF"/>
    <w:rsid w:val="00657EB2"/>
    <w:rsid w:val="00657F7B"/>
    <w:rsid w:val="0066030B"/>
    <w:rsid w:val="006605D9"/>
    <w:rsid w:val="00660BD3"/>
    <w:rsid w:val="00660C2C"/>
    <w:rsid w:val="00660E3C"/>
    <w:rsid w:val="00661567"/>
    <w:rsid w:val="006621D8"/>
    <w:rsid w:val="006622F0"/>
    <w:rsid w:val="00662693"/>
    <w:rsid w:val="006629DF"/>
    <w:rsid w:val="00662CED"/>
    <w:rsid w:val="00662DFB"/>
    <w:rsid w:val="0066333B"/>
    <w:rsid w:val="006635AA"/>
    <w:rsid w:val="00663646"/>
    <w:rsid w:val="00663D6F"/>
    <w:rsid w:val="00663E7E"/>
    <w:rsid w:val="00664E78"/>
    <w:rsid w:val="00664FAB"/>
    <w:rsid w:val="006659DB"/>
    <w:rsid w:val="00665B5D"/>
    <w:rsid w:val="00665D0A"/>
    <w:rsid w:val="00665DD5"/>
    <w:rsid w:val="00665E6E"/>
    <w:rsid w:val="006662A2"/>
    <w:rsid w:val="00666F36"/>
    <w:rsid w:val="0066715B"/>
    <w:rsid w:val="006671E2"/>
    <w:rsid w:val="00667880"/>
    <w:rsid w:val="006700D2"/>
    <w:rsid w:val="006705FC"/>
    <w:rsid w:val="006706CA"/>
    <w:rsid w:val="00670F49"/>
    <w:rsid w:val="0067161B"/>
    <w:rsid w:val="006716CC"/>
    <w:rsid w:val="00671E79"/>
    <w:rsid w:val="00671FF8"/>
    <w:rsid w:val="00672169"/>
    <w:rsid w:val="006726ED"/>
    <w:rsid w:val="00673243"/>
    <w:rsid w:val="00673A37"/>
    <w:rsid w:val="00673E64"/>
    <w:rsid w:val="00674136"/>
    <w:rsid w:val="00674AAF"/>
    <w:rsid w:val="00674B08"/>
    <w:rsid w:val="0067517A"/>
    <w:rsid w:val="00675189"/>
    <w:rsid w:val="0067529E"/>
    <w:rsid w:val="0067554A"/>
    <w:rsid w:val="0067573C"/>
    <w:rsid w:val="006758AF"/>
    <w:rsid w:val="00675E12"/>
    <w:rsid w:val="00676002"/>
    <w:rsid w:val="006762E0"/>
    <w:rsid w:val="006762E5"/>
    <w:rsid w:val="00676DC6"/>
    <w:rsid w:val="00677477"/>
    <w:rsid w:val="006805EE"/>
    <w:rsid w:val="006806FE"/>
    <w:rsid w:val="0068086A"/>
    <w:rsid w:val="00680D29"/>
    <w:rsid w:val="00681A09"/>
    <w:rsid w:val="00681CC4"/>
    <w:rsid w:val="00681ECF"/>
    <w:rsid w:val="00682057"/>
    <w:rsid w:val="00682068"/>
    <w:rsid w:val="006822FC"/>
    <w:rsid w:val="00682F8D"/>
    <w:rsid w:val="00683131"/>
    <w:rsid w:val="006832AA"/>
    <w:rsid w:val="006833F8"/>
    <w:rsid w:val="0068396D"/>
    <w:rsid w:val="00684433"/>
    <w:rsid w:val="00684554"/>
    <w:rsid w:val="006846CB"/>
    <w:rsid w:val="006849CF"/>
    <w:rsid w:val="0068531A"/>
    <w:rsid w:val="00685469"/>
    <w:rsid w:val="00685677"/>
    <w:rsid w:val="00685857"/>
    <w:rsid w:val="0068593D"/>
    <w:rsid w:val="00685A89"/>
    <w:rsid w:val="00686308"/>
    <w:rsid w:val="00686AD7"/>
    <w:rsid w:val="00686E6C"/>
    <w:rsid w:val="00687049"/>
    <w:rsid w:val="006875E4"/>
    <w:rsid w:val="00687BA7"/>
    <w:rsid w:val="00690629"/>
    <w:rsid w:val="00691179"/>
    <w:rsid w:val="00691BE2"/>
    <w:rsid w:val="00691C18"/>
    <w:rsid w:val="00691DBD"/>
    <w:rsid w:val="00692013"/>
    <w:rsid w:val="006924E6"/>
    <w:rsid w:val="00692932"/>
    <w:rsid w:val="00692B40"/>
    <w:rsid w:val="00692BAC"/>
    <w:rsid w:val="00692C8D"/>
    <w:rsid w:val="00692CA4"/>
    <w:rsid w:val="00692EEC"/>
    <w:rsid w:val="00693196"/>
    <w:rsid w:val="0069349D"/>
    <w:rsid w:val="006934AF"/>
    <w:rsid w:val="0069394A"/>
    <w:rsid w:val="00693A9F"/>
    <w:rsid w:val="00693E57"/>
    <w:rsid w:val="00694AFB"/>
    <w:rsid w:val="00694C81"/>
    <w:rsid w:val="00694E47"/>
    <w:rsid w:val="00695005"/>
    <w:rsid w:val="006951C7"/>
    <w:rsid w:val="00695B93"/>
    <w:rsid w:val="00695DC7"/>
    <w:rsid w:val="00695F57"/>
    <w:rsid w:val="00697331"/>
    <w:rsid w:val="006974A2"/>
    <w:rsid w:val="006976C8"/>
    <w:rsid w:val="00697AAF"/>
    <w:rsid w:val="006A07B3"/>
    <w:rsid w:val="006A0815"/>
    <w:rsid w:val="006A118B"/>
    <w:rsid w:val="006A1554"/>
    <w:rsid w:val="006A188C"/>
    <w:rsid w:val="006A1D87"/>
    <w:rsid w:val="006A2095"/>
    <w:rsid w:val="006A2494"/>
    <w:rsid w:val="006A254A"/>
    <w:rsid w:val="006A2814"/>
    <w:rsid w:val="006A2920"/>
    <w:rsid w:val="006A2AD6"/>
    <w:rsid w:val="006A2EE7"/>
    <w:rsid w:val="006A31F8"/>
    <w:rsid w:val="006A3E34"/>
    <w:rsid w:val="006A4EB6"/>
    <w:rsid w:val="006A5C15"/>
    <w:rsid w:val="006A5F61"/>
    <w:rsid w:val="006A6138"/>
    <w:rsid w:val="006A6B4C"/>
    <w:rsid w:val="006A7316"/>
    <w:rsid w:val="006A7447"/>
    <w:rsid w:val="006A7864"/>
    <w:rsid w:val="006B0E19"/>
    <w:rsid w:val="006B18E3"/>
    <w:rsid w:val="006B1A89"/>
    <w:rsid w:val="006B1B3A"/>
    <w:rsid w:val="006B21FA"/>
    <w:rsid w:val="006B2581"/>
    <w:rsid w:val="006B25E8"/>
    <w:rsid w:val="006B2806"/>
    <w:rsid w:val="006B2839"/>
    <w:rsid w:val="006B3240"/>
    <w:rsid w:val="006B3452"/>
    <w:rsid w:val="006B3970"/>
    <w:rsid w:val="006B431C"/>
    <w:rsid w:val="006B4609"/>
    <w:rsid w:val="006B4AAC"/>
    <w:rsid w:val="006B53DC"/>
    <w:rsid w:val="006B551C"/>
    <w:rsid w:val="006B5563"/>
    <w:rsid w:val="006B55CC"/>
    <w:rsid w:val="006B58B4"/>
    <w:rsid w:val="006B6435"/>
    <w:rsid w:val="006B6C73"/>
    <w:rsid w:val="006B70E5"/>
    <w:rsid w:val="006B7799"/>
    <w:rsid w:val="006B7A0B"/>
    <w:rsid w:val="006B7AB2"/>
    <w:rsid w:val="006B7B96"/>
    <w:rsid w:val="006B7EFE"/>
    <w:rsid w:val="006C062E"/>
    <w:rsid w:val="006C0829"/>
    <w:rsid w:val="006C097D"/>
    <w:rsid w:val="006C0C15"/>
    <w:rsid w:val="006C0CB1"/>
    <w:rsid w:val="006C0D0D"/>
    <w:rsid w:val="006C0FA2"/>
    <w:rsid w:val="006C14C6"/>
    <w:rsid w:val="006C1D3B"/>
    <w:rsid w:val="006C2766"/>
    <w:rsid w:val="006C2CDF"/>
    <w:rsid w:val="006C3139"/>
    <w:rsid w:val="006C36C9"/>
    <w:rsid w:val="006C3925"/>
    <w:rsid w:val="006C3F90"/>
    <w:rsid w:val="006C4044"/>
    <w:rsid w:val="006C40E1"/>
    <w:rsid w:val="006C4C47"/>
    <w:rsid w:val="006C56A4"/>
    <w:rsid w:val="006C5769"/>
    <w:rsid w:val="006C578D"/>
    <w:rsid w:val="006C66A3"/>
    <w:rsid w:val="006C7758"/>
    <w:rsid w:val="006C77AF"/>
    <w:rsid w:val="006C7D1D"/>
    <w:rsid w:val="006D0317"/>
    <w:rsid w:val="006D03E7"/>
    <w:rsid w:val="006D05EE"/>
    <w:rsid w:val="006D0703"/>
    <w:rsid w:val="006D09B5"/>
    <w:rsid w:val="006D133E"/>
    <w:rsid w:val="006D21FD"/>
    <w:rsid w:val="006D329D"/>
    <w:rsid w:val="006D380D"/>
    <w:rsid w:val="006D4435"/>
    <w:rsid w:val="006D47FC"/>
    <w:rsid w:val="006D52CA"/>
    <w:rsid w:val="006D5376"/>
    <w:rsid w:val="006D61B8"/>
    <w:rsid w:val="006D6336"/>
    <w:rsid w:val="006D6772"/>
    <w:rsid w:val="006D6E50"/>
    <w:rsid w:val="006D7760"/>
    <w:rsid w:val="006D77F0"/>
    <w:rsid w:val="006D7B00"/>
    <w:rsid w:val="006D7CE6"/>
    <w:rsid w:val="006D7D12"/>
    <w:rsid w:val="006E0375"/>
    <w:rsid w:val="006E03AF"/>
    <w:rsid w:val="006E0679"/>
    <w:rsid w:val="006E0D6A"/>
    <w:rsid w:val="006E0DD7"/>
    <w:rsid w:val="006E1805"/>
    <w:rsid w:val="006E1E8F"/>
    <w:rsid w:val="006E1F94"/>
    <w:rsid w:val="006E272C"/>
    <w:rsid w:val="006E29B1"/>
    <w:rsid w:val="006E2F75"/>
    <w:rsid w:val="006E34F6"/>
    <w:rsid w:val="006E3944"/>
    <w:rsid w:val="006E3B3C"/>
    <w:rsid w:val="006E3C31"/>
    <w:rsid w:val="006E3DBB"/>
    <w:rsid w:val="006E3E4D"/>
    <w:rsid w:val="006E423F"/>
    <w:rsid w:val="006E4B08"/>
    <w:rsid w:val="006E4C91"/>
    <w:rsid w:val="006E4D9D"/>
    <w:rsid w:val="006E4EC0"/>
    <w:rsid w:val="006E5E27"/>
    <w:rsid w:val="006E60A4"/>
    <w:rsid w:val="006E60A8"/>
    <w:rsid w:val="006E6558"/>
    <w:rsid w:val="006E6B98"/>
    <w:rsid w:val="006E708D"/>
    <w:rsid w:val="006E7341"/>
    <w:rsid w:val="006E77BC"/>
    <w:rsid w:val="006F0715"/>
    <w:rsid w:val="006F0BA9"/>
    <w:rsid w:val="006F0C51"/>
    <w:rsid w:val="006F148A"/>
    <w:rsid w:val="006F18F3"/>
    <w:rsid w:val="006F2A8C"/>
    <w:rsid w:val="006F2C1C"/>
    <w:rsid w:val="006F3346"/>
    <w:rsid w:val="006F38E4"/>
    <w:rsid w:val="006F3B1A"/>
    <w:rsid w:val="006F425D"/>
    <w:rsid w:val="006F434F"/>
    <w:rsid w:val="006F4D14"/>
    <w:rsid w:val="006F5393"/>
    <w:rsid w:val="006F627F"/>
    <w:rsid w:val="006F66AB"/>
    <w:rsid w:val="006F698C"/>
    <w:rsid w:val="006F7096"/>
    <w:rsid w:val="006F709A"/>
    <w:rsid w:val="006F7275"/>
    <w:rsid w:val="006F7A69"/>
    <w:rsid w:val="006F7E86"/>
    <w:rsid w:val="007000D9"/>
    <w:rsid w:val="00700C68"/>
    <w:rsid w:val="007011F5"/>
    <w:rsid w:val="00701AFE"/>
    <w:rsid w:val="00702019"/>
    <w:rsid w:val="00702731"/>
    <w:rsid w:val="00702AC9"/>
    <w:rsid w:val="0070320A"/>
    <w:rsid w:val="0070380C"/>
    <w:rsid w:val="0070381A"/>
    <w:rsid w:val="00703E7B"/>
    <w:rsid w:val="0070407C"/>
    <w:rsid w:val="007041AD"/>
    <w:rsid w:val="00704459"/>
    <w:rsid w:val="0070446C"/>
    <w:rsid w:val="0070487B"/>
    <w:rsid w:val="007048FB"/>
    <w:rsid w:val="00704D96"/>
    <w:rsid w:val="00704D9D"/>
    <w:rsid w:val="007052FD"/>
    <w:rsid w:val="007059A2"/>
    <w:rsid w:val="007069A5"/>
    <w:rsid w:val="00706DBC"/>
    <w:rsid w:val="00706F8E"/>
    <w:rsid w:val="00707153"/>
    <w:rsid w:val="00707577"/>
    <w:rsid w:val="00707900"/>
    <w:rsid w:val="00707A2C"/>
    <w:rsid w:val="007105E4"/>
    <w:rsid w:val="007109EE"/>
    <w:rsid w:val="00710B35"/>
    <w:rsid w:val="007116AE"/>
    <w:rsid w:val="007123F5"/>
    <w:rsid w:val="00712790"/>
    <w:rsid w:val="00712883"/>
    <w:rsid w:val="007128AB"/>
    <w:rsid w:val="00712BBA"/>
    <w:rsid w:val="00712C6C"/>
    <w:rsid w:val="00712C75"/>
    <w:rsid w:val="00712DC5"/>
    <w:rsid w:val="00712F96"/>
    <w:rsid w:val="00713509"/>
    <w:rsid w:val="00713879"/>
    <w:rsid w:val="00713BE2"/>
    <w:rsid w:val="007149B5"/>
    <w:rsid w:val="00714DC1"/>
    <w:rsid w:val="00715175"/>
    <w:rsid w:val="007152EF"/>
    <w:rsid w:val="00716481"/>
    <w:rsid w:val="00716853"/>
    <w:rsid w:val="00717925"/>
    <w:rsid w:val="00717C25"/>
    <w:rsid w:val="0072041D"/>
    <w:rsid w:val="007204DA"/>
    <w:rsid w:val="00721351"/>
    <w:rsid w:val="007214C6"/>
    <w:rsid w:val="007216EE"/>
    <w:rsid w:val="007218B0"/>
    <w:rsid w:val="00721C45"/>
    <w:rsid w:val="00722113"/>
    <w:rsid w:val="00722221"/>
    <w:rsid w:val="00722E21"/>
    <w:rsid w:val="00722F29"/>
    <w:rsid w:val="00723FF5"/>
    <w:rsid w:val="00724309"/>
    <w:rsid w:val="0072468F"/>
    <w:rsid w:val="00724EE0"/>
    <w:rsid w:val="00725F50"/>
    <w:rsid w:val="00725F7D"/>
    <w:rsid w:val="00726BFB"/>
    <w:rsid w:val="00726FC4"/>
    <w:rsid w:val="00727306"/>
    <w:rsid w:val="007277BB"/>
    <w:rsid w:val="00727FF8"/>
    <w:rsid w:val="007306CC"/>
    <w:rsid w:val="00730754"/>
    <w:rsid w:val="00730D3D"/>
    <w:rsid w:val="0073151C"/>
    <w:rsid w:val="007318E2"/>
    <w:rsid w:val="0073264B"/>
    <w:rsid w:val="00732CC9"/>
    <w:rsid w:val="00733406"/>
    <w:rsid w:val="0073341F"/>
    <w:rsid w:val="00733763"/>
    <w:rsid w:val="0073379D"/>
    <w:rsid w:val="00733BBE"/>
    <w:rsid w:val="00733F9D"/>
    <w:rsid w:val="00735091"/>
    <w:rsid w:val="0073535A"/>
    <w:rsid w:val="00735BC3"/>
    <w:rsid w:val="00736739"/>
    <w:rsid w:val="00736772"/>
    <w:rsid w:val="00736869"/>
    <w:rsid w:val="00736AB2"/>
    <w:rsid w:val="00736B41"/>
    <w:rsid w:val="00736BEF"/>
    <w:rsid w:val="007371A5"/>
    <w:rsid w:val="00737264"/>
    <w:rsid w:val="00737884"/>
    <w:rsid w:val="0073790C"/>
    <w:rsid w:val="00737FF7"/>
    <w:rsid w:val="00740265"/>
    <w:rsid w:val="00740318"/>
    <w:rsid w:val="0074078B"/>
    <w:rsid w:val="0074078E"/>
    <w:rsid w:val="00740872"/>
    <w:rsid w:val="007411B7"/>
    <w:rsid w:val="00741697"/>
    <w:rsid w:val="0074170A"/>
    <w:rsid w:val="00741ABD"/>
    <w:rsid w:val="0074224B"/>
    <w:rsid w:val="00742872"/>
    <w:rsid w:val="00742CFB"/>
    <w:rsid w:val="007437C5"/>
    <w:rsid w:val="00743B02"/>
    <w:rsid w:val="00746E1A"/>
    <w:rsid w:val="00747701"/>
    <w:rsid w:val="007500DF"/>
    <w:rsid w:val="00750612"/>
    <w:rsid w:val="00750ABD"/>
    <w:rsid w:val="00750D24"/>
    <w:rsid w:val="007515FF"/>
    <w:rsid w:val="00751FB8"/>
    <w:rsid w:val="007524B8"/>
    <w:rsid w:val="00752659"/>
    <w:rsid w:val="00752690"/>
    <w:rsid w:val="0075275E"/>
    <w:rsid w:val="007531F3"/>
    <w:rsid w:val="00753A6F"/>
    <w:rsid w:val="00754857"/>
    <w:rsid w:val="007549D2"/>
    <w:rsid w:val="00754BE2"/>
    <w:rsid w:val="0075509F"/>
    <w:rsid w:val="0075536A"/>
    <w:rsid w:val="00755535"/>
    <w:rsid w:val="00755551"/>
    <w:rsid w:val="0075562F"/>
    <w:rsid w:val="00755783"/>
    <w:rsid w:val="00755DDF"/>
    <w:rsid w:val="00756136"/>
    <w:rsid w:val="007564A3"/>
    <w:rsid w:val="00757BAF"/>
    <w:rsid w:val="00757D47"/>
    <w:rsid w:val="007610C9"/>
    <w:rsid w:val="00761584"/>
    <w:rsid w:val="00761725"/>
    <w:rsid w:val="007620D4"/>
    <w:rsid w:val="00762935"/>
    <w:rsid w:val="007629D3"/>
    <w:rsid w:val="00762B02"/>
    <w:rsid w:val="00763A5E"/>
    <w:rsid w:val="00763FDB"/>
    <w:rsid w:val="007647E0"/>
    <w:rsid w:val="00764A6F"/>
    <w:rsid w:val="00764E6E"/>
    <w:rsid w:val="00765676"/>
    <w:rsid w:val="00765CB5"/>
    <w:rsid w:val="00766244"/>
    <w:rsid w:val="00766D93"/>
    <w:rsid w:val="00767682"/>
    <w:rsid w:val="00767E87"/>
    <w:rsid w:val="00770067"/>
    <w:rsid w:val="00770080"/>
    <w:rsid w:val="00770447"/>
    <w:rsid w:val="007714E5"/>
    <w:rsid w:val="00771B47"/>
    <w:rsid w:val="007723F7"/>
    <w:rsid w:val="007728E2"/>
    <w:rsid w:val="00772CF6"/>
    <w:rsid w:val="00772D41"/>
    <w:rsid w:val="0077300F"/>
    <w:rsid w:val="00773134"/>
    <w:rsid w:val="007732BE"/>
    <w:rsid w:val="00773799"/>
    <w:rsid w:val="007739A3"/>
    <w:rsid w:val="00773DBF"/>
    <w:rsid w:val="00773E1D"/>
    <w:rsid w:val="00774111"/>
    <w:rsid w:val="00774AE1"/>
    <w:rsid w:val="00774B1D"/>
    <w:rsid w:val="0077546D"/>
    <w:rsid w:val="00775DE7"/>
    <w:rsid w:val="00775E93"/>
    <w:rsid w:val="00776050"/>
    <w:rsid w:val="00776347"/>
    <w:rsid w:val="00776481"/>
    <w:rsid w:val="00776632"/>
    <w:rsid w:val="0077672A"/>
    <w:rsid w:val="00777070"/>
    <w:rsid w:val="00777137"/>
    <w:rsid w:val="00777383"/>
    <w:rsid w:val="00777752"/>
    <w:rsid w:val="00777CA8"/>
    <w:rsid w:val="007803CD"/>
    <w:rsid w:val="00780508"/>
    <w:rsid w:val="00780AA2"/>
    <w:rsid w:val="00780AAA"/>
    <w:rsid w:val="007815CA"/>
    <w:rsid w:val="00781AD5"/>
    <w:rsid w:val="007828F3"/>
    <w:rsid w:val="00782D17"/>
    <w:rsid w:val="00783148"/>
    <w:rsid w:val="007831BD"/>
    <w:rsid w:val="0078320D"/>
    <w:rsid w:val="00783250"/>
    <w:rsid w:val="007836D6"/>
    <w:rsid w:val="007836F5"/>
    <w:rsid w:val="0078371E"/>
    <w:rsid w:val="00783D54"/>
    <w:rsid w:val="007841F1"/>
    <w:rsid w:val="00784EC2"/>
    <w:rsid w:val="00785800"/>
    <w:rsid w:val="0078604E"/>
    <w:rsid w:val="00786439"/>
    <w:rsid w:val="0078668C"/>
    <w:rsid w:val="00786E92"/>
    <w:rsid w:val="00786ECF"/>
    <w:rsid w:val="00787682"/>
    <w:rsid w:val="00787B88"/>
    <w:rsid w:val="0079096B"/>
    <w:rsid w:val="00790C10"/>
    <w:rsid w:val="0079117F"/>
    <w:rsid w:val="00791A08"/>
    <w:rsid w:val="00791AFE"/>
    <w:rsid w:val="00791C60"/>
    <w:rsid w:val="00791F61"/>
    <w:rsid w:val="0079208D"/>
    <w:rsid w:val="007923E8"/>
    <w:rsid w:val="00792BE1"/>
    <w:rsid w:val="00792E2F"/>
    <w:rsid w:val="00794616"/>
    <w:rsid w:val="00794718"/>
    <w:rsid w:val="00794BED"/>
    <w:rsid w:val="00794C85"/>
    <w:rsid w:val="00795962"/>
    <w:rsid w:val="00795C53"/>
    <w:rsid w:val="007960B8"/>
    <w:rsid w:val="007960DB"/>
    <w:rsid w:val="0079683B"/>
    <w:rsid w:val="007978B4"/>
    <w:rsid w:val="00797A2E"/>
    <w:rsid w:val="00797B0E"/>
    <w:rsid w:val="007A0213"/>
    <w:rsid w:val="007A03D6"/>
    <w:rsid w:val="007A054F"/>
    <w:rsid w:val="007A05A9"/>
    <w:rsid w:val="007A06A8"/>
    <w:rsid w:val="007A11AD"/>
    <w:rsid w:val="007A1BA0"/>
    <w:rsid w:val="007A1C9B"/>
    <w:rsid w:val="007A1F0D"/>
    <w:rsid w:val="007A2063"/>
    <w:rsid w:val="007A326D"/>
    <w:rsid w:val="007A358A"/>
    <w:rsid w:val="007A40D6"/>
    <w:rsid w:val="007A42F9"/>
    <w:rsid w:val="007A4483"/>
    <w:rsid w:val="007A4E8F"/>
    <w:rsid w:val="007A4F66"/>
    <w:rsid w:val="007A502C"/>
    <w:rsid w:val="007A5353"/>
    <w:rsid w:val="007A55F7"/>
    <w:rsid w:val="007A5765"/>
    <w:rsid w:val="007A6EE6"/>
    <w:rsid w:val="007A7378"/>
    <w:rsid w:val="007A73B9"/>
    <w:rsid w:val="007A73FE"/>
    <w:rsid w:val="007A7847"/>
    <w:rsid w:val="007A7EEA"/>
    <w:rsid w:val="007B0B7C"/>
    <w:rsid w:val="007B16AC"/>
    <w:rsid w:val="007B193C"/>
    <w:rsid w:val="007B1CC1"/>
    <w:rsid w:val="007B275E"/>
    <w:rsid w:val="007B2784"/>
    <w:rsid w:val="007B3233"/>
    <w:rsid w:val="007B35B4"/>
    <w:rsid w:val="007B36FA"/>
    <w:rsid w:val="007B3957"/>
    <w:rsid w:val="007B3FF6"/>
    <w:rsid w:val="007B4191"/>
    <w:rsid w:val="007B41F5"/>
    <w:rsid w:val="007B449F"/>
    <w:rsid w:val="007B4C00"/>
    <w:rsid w:val="007B52B9"/>
    <w:rsid w:val="007B5A1D"/>
    <w:rsid w:val="007B5D9C"/>
    <w:rsid w:val="007B63DB"/>
    <w:rsid w:val="007B64DB"/>
    <w:rsid w:val="007B7441"/>
    <w:rsid w:val="007B7D76"/>
    <w:rsid w:val="007C00F0"/>
    <w:rsid w:val="007C0137"/>
    <w:rsid w:val="007C0804"/>
    <w:rsid w:val="007C08A3"/>
    <w:rsid w:val="007C0E70"/>
    <w:rsid w:val="007C11DD"/>
    <w:rsid w:val="007C2B19"/>
    <w:rsid w:val="007C2D09"/>
    <w:rsid w:val="007C313C"/>
    <w:rsid w:val="007C3875"/>
    <w:rsid w:val="007C3E57"/>
    <w:rsid w:val="007C3F53"/>
    <w:rsid w:val="007C46AA"/>
    <w:rsid w:val="007C4A40"/>
    <w:rsid w:val="007C56D1"/>
    <w:rsid w:val="007C5B03"/>
    <w:rsid w:val="007C5B04"/>
    <w:rsid w:val="007C5E62"/>
    <w:rsid w:val="007C6EBD"/>
    <w:rsid w:val="007C7BC9"/>
    <w:rsid w:val="007C7EB9"/>
    <w:rsid w:val="007D01D9"/>
    <w:rsid w:val="007D055C"/>
    <w:rsid w:val="007D1151"/>
    <w:rsid w:val="007D1300"/>
    <w:rsid w:val="007D1BB5"/>
    <w:rsid w:val="007D1DCE"/>
    <w:rsid w:val="007D21AB"/>
    <w:rsid w:val="007D2AF2"/>
    <w:rsid w:val="007D2E46"/>
    <w:rsid w:val="007D3007"/>
    <w:rsid w:val="007D32E6"/>
    <w:rsid w:val="007D3A32"/>
    <w:rsid w:val="007D3B59"/>
    <w:rsid w:val="007D3FEE"/>
    <w:rsid w:val="007D4481"/>
    <w:rsid w:val="007D49B5"/>
    <w:rsid w:val="007D4F17"/>
    <w:rsid w:val="007D6384"/>
    <w:rsid w:val="007D666E"/>
    <w:rsid w:val="007D715D"/>
    <w:rsid w:val="007D752F"/>
    <w:rsid w:val="007D7E24"/>
    <w:rsid w:val="007D7F00"/>
    <w:rsid w:val="007E09C0"/>
    <w:rsid w:val="007E0F86"/>
    <w:rsid w:val="007E143D"/>
    <w:rsid w:val="007E1FD8"/>
    <w:rsid w:val="007E29C4"/>
    <w:rsid w:val="007E3130"/>
    <w:rsid w:val="007E3670"/>
    <w:rsid w:val="007E3A02"/>
    <w:rsid w:val="007E4F63"/>
    <w:rsid w:val="007E5632"/>
    <w:rsid w:val="007E5D8B"/>
    <w:rsid w:val="007E5F58"/>
    <w:rsid w:val="007E6513"/>
    <w:rsid w:val="007E66FE"/>
    <w:rsid w:val="007E6704"/>
    <w:rsid w:val="007E67AA"/>
    <w:rsid w:val="007E71B3"/>
    <w:rsid w:val="007E74A8"/>
    <w:rsid w:val="007E76C3"/>
    <w:rsid w:val="007E7A51"/>
    <w:rsid w:val="007F0042"/>
    <w:rsid w:val="007F0867"/>
    <w:rsid w:val="007F0F0B"/>
    <w:rsid w:val="007F14F5"/>
    <w:rsid w:val="007F174D"/>
    <w:rsid w:val="007F1B6C"/>
    <w:rsid w:val="007F22D2"/>
    <w:rsid w:val="007F276B"/>
    <w:rsid w:val="007F3932"/>
    <w:rsid w:val="007F40D1"/>
    <w:rsid w:val="007F4E59"/>
    <w:rsid w:val="007F5AC0"/>
    <w:rsid w:val="007F5C91"/>
    <w:rsid w:val="007F60EB"/>
    <w:rsid w:val="007F6453"/>
    <w:rsid w:val="007F69F3"/>
    <w:rsid w:val="007F6B02"/>
    <w:rsid w:val="007F7174"/>
    <w:rsid w:val="007F7218"/>
    <w:rsid w:val="007F7C16"/>
    <w:rsid w:val="007F7C43"/>
    <w:rsid w:val="007F7C6C"/>
    <w:rsid w:val="007F7CAB"/>
    <w:rsid w:val="00800098"/>
    <w:rsid w:val="00800264"/>
    <w:rsid w:val="0080030B"/>
    <w:rsid w:val="008019ED"/>
    <w:rsid w:val="008019FF"/>
    <w:rsid w:val="00801B0B"/>
    <w:rsid w:val="00801E1A"/>
    <w:rsid w:val="00801E7A"/>
    <w:rsid w:val="00801F89"/>
    <w:rsid w:val="00802AB6"/>
    <w:rsid w:val="008030BC"/>
    <w:rsid w:val="00803AA3"/>
    <w:rsid w:val="00803F87"/>
    <w:rsid w:val="008043B5"/>
    <w:rsid w:val="008043B7"/>
    <w:rsid w:val="0080446E"/>
    <w:rsid w:val="008044E3"/>
    <w:rsid w:val="008047DE"/>
    <w:rsid w:val="00804AC9"/>
    <w:rsid w:val="00804CCD"/>
    <w:rsid w:val="00805A41"/>
    <w:rsid w:val="00805A57"/>
    <w:rsid w:val="00805B91"/>
    <w:rsid w:val="00805C3C"/>
    <w:rsid w:val="008061D0"/>
    <w:rsid w:val="00806B73"/>
    <w:rsid w:val="00807E0A"/>
    <w:rsid w:val="008104A3"/>
    <w:rsid w:val="00810C0C"/>
    <w:rsid w:val="00811040"/>
    <w:rsid w:val="00811378"/>
    <w:rsid w:val="008113CA"/>
    <w:rsid w:val="0081154A"/>
    <w:rsid w:val="00811D1B"/>
    <w:rsid w:val="00812042"/>
    <w:rsid w:val="0081274C"/>
    <w:rsid w:val="00812F46"/>
    <w:rsid w:val="008133AD"/>
    <w:rsid w:val="00813406"/>
    <w:rsid w:val="00813FA7"/>
    <w:rsid w:val="00814468"/>
    <w:rsid w:val="00814866"/>
    <w:rsid w:val="008148B0"/>
    <w:rsid w:val="00815068"/>
    <w:rsid w:val="0081515B"/>
    <w:rsid w:val="008153F1"/>
    <w:rsid w:val="0081544D"/>
    <w:rsid w:val="0081550F"/>
    <w:rsid w:val="00815560"/>
    <w:rsid w:val="00815675"/>
    <w:rsid w:val="00815D35"/>
    <w:rsid w:val="00815D78"/>
    <w:rsid w:val="00815DAD"/>
    <w:rsid w:val="00816328"/>
    <w:rsid w:val="008163C9"/>
    <w:rsid w:val="0081692A"/>
    <w:rsid w:val="00816ABE"/>
    <w:rsid w:val="00817645"/>
    <w:rsid w:val="00817869"/>
    <w:rsid w:val="00817897"/>
    <w:rsid w:val="00817C19"/>
    <w:rsid w:val="00817DFE"/>
    <w:rsid w:val="008204E2"/>
    <w:rsid w:val="00820B5B"/>
    <w:rsid w:val="00820F91"/>
    <w:rsid w:val="00821301"/>
    <w:rsid w:val="0082131F"/>
    <w:rsid w:val="0082221B"/>
    <w:rsid w:val="0082230D"/>
    <w:rsid w:val="008225BD"/>
    <w:rsid w:val="00822DB6"/>
    <w:rsid w:val="00822E14"/>
    <w:rsid w:val="00823172"/>
    <w:rsid w:val="00823ABD"/>
    <w:rsid w:val="00823BF8"/>
    <w:rsid w:val="00823E00"/>
    <w:rsid w:val="0082452A"/>
    <w:rsid w:val="008245BB"/>
    <w:rsid w:val="00824EEC"/>
    <w:rsid w:val="008258BA"/>
    <w:rsid w:val="00825FD8"/>
    <w:rsid w:val="00826302"/>
    <w:rsid w:val="008265A8"/>
    <w:rsid w:val="00826ECB"/>
    <w:rsid w:val="008270DC"/>
    <w:rsid w:val="008277E2"/>
    <w:rsid w:val="00830271"/>
    <w:rsid w:val="008305B9"/>
    <w:rsid w:val="0083104C"/>
    <w:rsid w:val="00831A11"/>
    <w:rsid w:val="00831E8F"/>
    <w:rsid w:val="008320AA"/>
    <w:rsid w:val="0083232A"/>
    <w:rsid w:val="00832536"/>
    <w:rsid w:val="00832818"/>
    <w:rsid w:val="00832EF6"/>
    <w:rsid w:val="008332BA"/>
    <w:rsid w:val="00833A08"/>
    <w:rsid w:val="00833B52"/>
    <w:rsid w:val="00833E59"/>
    <w:rsid w:val="008341E0"/>
    <w:rsid w:val="00834239"/>
    <w:rsid w:val="00834581"/>
    <w:rsid w:val="0083462C"/>
    <w:rsid w:val="008349D8"/>
    <w:rsid w:val="00834FDF"/>
    <w:rsid w:val="00835EC2"/>
    <w:rsid w:val="00835FAE"/>
    <w:rsid w:val="0083624D"/>
    <w:rsid w:val="00836948"/>
    <w:rsid w:val="0083791D"/>
    <w:rsid w:val="00837E52"/>
    <w:rsid w:val="00837F07"/>
    <w:rsid w:val="00840AE3"/>
    <w:rsid w:val="00840C76"/>
    <w:rsid w:val="00840CB7"/>
    <w:rsid w:val="00840E69"/>
    <w:rsid w:val="00841135"/>
    <w:rsid w:val="00841396"/>
    <w:rsid w:val="0084141A"/>
    <w:rsid w:val="008414D1"/>
    <w:rsid w:val="0084158E"/>
    <w:rsid w:val="0084170F"/>
    <w:rsid w:val="00841D52"/>
    <w:rsid w:val="00841D9E"/>
    <w:rsid w:val="00841F49"/>
    <w:rsid w:val="008420B5"/>
    <w:rsid w:val="008423F8"/>
    <w:rsid w:val="0084248B"/>
    <w:rsid w:val="008427D3"/>
    <w:rsid w:val="00843C8B"/>
    <w:rsid w:val="00843CF1"/>
    <w:rsid w:val="00844083"/>
    <w:rsid w:val="0084415C"/>
    <w:rsid w:val="008443EE"/>
    <w:rsid w:val="008446F3"/>
    <w:rsid w:val="00844BED"/>
    <w:rsid w:val="008454C3"/>
    <w:rsid w:val="008454D3"/>
    <w:rsid w:val="00845589"/>
    <w:rsid w:val="0084563B"/>
    <w:rsid w:val="00845796"/>
    <w:rsid w:val="00845F27"/>
    <w:rsid w:val="008461E7"/>
    <w:rsid w:val="00846292"/>
    <w:rsid w:val="00846426"/>
    <w:rsid w:val="00846482"/>
    <w:rsid w:val="008466D8"/>
    <w:rsid w:val="00847F94"/>
    <w:rsid w:val="00850301"/>
    <w:rsid w:val="00850D98"/>
    <w:rsid w:val="0085123A"/>
    <w:rsid w:val="0085162F"/>
    <w:rsid w:val="0085194D"/>
    <w:rsid w:val="00852960"/>
    <w:rsid w:val="00853383"/>
    <w:rsid w:val="0085349C"/>
    <w:rsid w:val="008537AA"/>
    <w:rsid w:val="00853A58"/>
    <w:rsid w:val="00853D41"/>
    <w:rsid w:val="00854918"/>
    <w:rsid w:val="00854A5D"/>
    <w:rsid w:val="00856D56"/>
    <w:rsid w:val="0085711F"/>
    <w:rsid w:val="00857303"/>
    <w:rsid w:val="0086024F"/>
    <w:rsid w:val="0086088E"/>
    <w:rsid w:val="00860999"/>
    <w:rsid w:val="00860AE0"/>
    <w:rsid w:val="00860FAF"/>
    <w:rsid w:val="0086182E"/>
    <w:rsid w:val="00861D4A"/>
    <w:rsid w:val="00861E38"/>
    <w:rsid w:val="00862439"/>
    <w:rsid w:val="0086259D"/>
    <w:rsid w:val="008629B0"/>
    <w:rsid w:val="00863312"/>
    <w:rsid w:val="00863337"/>
    <w:rsid w:val="008633FA"/>
    <w:rsid w:val="00863BD9"/>
    <w:rsid w:val="00864235"/>
    <w:rsid w:val="00864705"/>
    <w:rsid w:val="0086484B"/>
    <w:rsid w:val="00864F4D"/>
    <w:rsid w:val="008653B3"/>
    <w:rsid w:val="008655C0"/>
    <w:rsid w:val="008655EA"/>
    <w:rsid w:val="0086652A"/>
    <w:rsid w:val="00866E99"/>
    <w:rsid w:val="00866F7A"/>
    <w:rsid w:val="00867343"/>
    <w:rsid w:val="00867C65"/>
    <w:rsid w:val="0087033F"/>
    <w:rsid w:val="00870D90"/>
    <w:rsid w:val="0087140D"/>
    <w:rsid w:val="00871618"/>
    <w:rsid w:val="00871843"/>
    <w:rsid w:val="00871849"/>
    <w:rsid w:val="00871AF7"/>
    <w:rsid w:val="0087245B"/>
    <w:rsid w:val="008726A0"/>
    <w:rsid w:val="00872948"/>
    <w:rsid w:val="00872E0C"/>
    <w:rsid w:val="008733AD"/>
    <w:rsid w:val="008735A1"/>
    <w:rsid w:val="008738FE"/>
    <w:rsid w:val="008739E0"/>
    <w:rsid w:val="00873B04"/>
    <w:rsid w:val="00873B79"/>
    <w:rsid w:val="00873C02"/>
    <w:rsid w:val="00873C3C"/>
    <w:rsid w:val="0087460E"/>
    <w:rsid w:val="00874E1B"/>
    <w:rsid w:val="00874EC4"/>
    <w:rsid w:val="0087500C"/>
    <w:rsid w:val="0087537C"/>
    <w:rsid w:val="00875650"/>
    <w:rsid w:val="008759A6"/>
    <w:rsid w:val="0087629E"/>
    <w:rsid w:val="0087671F"/>
    <w:rsid w:val="00876843"/>
    <w:rsid w:val="0087765C"/>
    <w:rsid w:val="00880885"/>
    <w:rsid w:val="00881592"/>
    <w:rsid w:val="0088184E"/>
    <w:rsid w:val="00882898"/>
    <w:rsid w:val="00882F0E"/>
    <w:rsid w:val="00883063"/>
    <w:rsid w:val="008832F7"/>
    <w:rsid w:val="00883905"/>
    <w:rsid w:val="00884111"/>
    <w:rsid w:val="008849D5"/>
    <w:rsid w:val="0088504A"/>
    <w:rsid w:val="00885285"/>
    <w:rsid w:val="00885522"/>
    <w:rsid w:val="00885E4F"/>
    <w:rsid w:val="0088633C"/>
    <w:rsid w:val="00886A56"/>
    <w:rsid w:val="00886EE3"/>
    <w:rsid w:val="00886F45"/>
    <w:rsid w:val="0088765F"/>
    <w:rsid w:val="00887B5C"/>
    <w:rsid w:val="00887B7B"/>
    <w:rsid w:val="00887B7D"/>
    <w:rsid w:val="00887EB8"/>
    <w:rsid w:val="00890631"/>
    <w:rsid w:val="00890F85"/>
    <w:rsid w:val="0089136A"/>
    <w:rsid w:val="00891AA2"/>
    <w:rsid w:val="00891B64"/>
    <w:rsid w:val="00891DC0"/>
    <w:rsid w:val="008921D7"/>
    <w:rsid w:val="00892A9B"/>
    <w:rsid w:val="008932DC"/>
    <w:rsid w:val="00893CDA"/>
    <w:rsid w:val="00893CE2"/>
    <w:rsid w:val="0089482F"/>
    <w:rsid w:val="0089485D"/>
    <w:rsid w:val="00894FCA"/>
    <w:rsid w:val="0089528F"/>
    <w:rsid w:val="008966A4"/>
    <w:rsid w:val="00896CD7"/>
    <w:rsid w:val="00896E24"/>
    <w:rsid w:val="00896EE4"/>
    <w:rsid w:val="00897C98"/>
    <w:rsid w:val="00897CF1"/>
    <w:rsid w:val="008A0A76"/>
    <w:rsid w:val="008A151A"/>
    <w:rsid w:val="008A16E7"/>
    <w:rsid w:val="008A18C9"/>
    <w:rsid w:val="008A1A43"/>
    <w:rsid w:val="008A1ADE"/>
    <w:rsid w:val="008A1FC2"/>
    <w:rsid w:val="008A20DE"/>
    <w:rsid w:val="008A2161"/>
    <w:rsid w:val="008A23FE"/>
    <w:rsid w:val="008A360B"/>
    <w:rsid w:val="008A3621"/>
    <w:rsid w:val="008A3649"/>
    <w:rsid w:val="008A37A7"/>
    <w:rsid w:val="008A41AA"/>
    <w:rsid w:val="008A42C5"/>
    <w:rsid w:val="008A5138"/>
    <w:rsid w:val="008A51D9"/>
    <w:rsid w:val="008A5584"/>
    <w:rsid w:val="008A55BF"/>
    <w:rsid w:val="008A590D"/>
    <w:rsid w:val="008A606A"/>
    <w:rsid w:val="008A60BE"/>
    <w:rsid w:val="008A6B61"/>
    <w:rsid w:val="008A6E95"/>
    <w:rsid w:val="008A6ED4"/>
    <w:rsid w:val="008A7115"/>
    <w:rsid w:val="008A7758"/>
    <w:rsid w:val="008A78BD"/>
    <w:rsid w:val="008B06D3"/>
    <w:rsid w:val="008B07EE"/>
    <w:rsid w:val="008B1216"/>
    <w:rsid w:val="008B17F6"/>
    <w:rsid w:val="008B1809"/>
    <w:rsid w:val="008B191F"/>
    <w:rsid w:val="008B1AED"/>
    <w:rsid w:val="008B20C0"/>
    <w:rsid w:val="008B2255"/>
    <w:rsid w:val="008B279F"/>
    <w:rsid w:val="008B2C4B"/>
    <w:rsid w:val="008B2C67"/>
    <w:rsid w:val="008B3292"/>
    <w:rsid w:val="008B3453"/>
    <w:rsid w:val="008B423A"/>
    <w:rsid w:val="008B4E8B"/>
    <w:rsid w:val="008B5363"/>
    <w:rsid w:val="008B53B4"/>
    <w:rsid w:val="008B5E3F"/>
    <w:rsid w:val="008B5F39"/>
    <w:rsid w:val="008B606E"/>
    <w:rsid w:val="008B623D"/>
    <w:rsid w:val="008B6610"/>
    <w:rsid w:val="008B6671"/>
    <w:rsid w:val="008B693A"/>
    <w:rsid w:val="008B71E7"/>
    <w:rsid w:val="008B7204"/>
    <w:rsid w:val="008B7449"/>
    <w:rsid w:val="008B74CA"/>
    <w:rsid w:val="008B78B0"/>
    <w:rsid w:val="008B7B3C"/>
    <w:rsid w:val="008B7DA9"/>
    <w:rsid w:val="008B7FF9"/>
    <w:rsid w:val="008C0295"/>
    <w:rsid w:val="008C0F4F"/>
    <w:rsid w:val="008C12A5"/>
    <w:rsid w:val="008C138D"/>
    <w:rsid w:val="008C19DB"/>
    <w:rsid w:val="008C1B86"/>
    <w:rsid w:val="008C2AD0"/>
    <w:rsid w:val="008C2B0B"/>
    <w:rsid w:val="008C3593"/>
    <w:rsid w:val="008C38C6"/>
    <w:rsid w:val="008C3DDA"/>
    <w:rsid w:val="008C43D9"/>
    <w:rsid w:val="008C4601"/>
    <w:rsid w:val="008C4751"/>
    <w:rsid w:val="008C47ED"/>
    <w:rsid w:val="008C4ACB"/>
    <w:rsid w:val="008C4C99"/>
    <w:rsid w:val="008C4E66"/>
    <w:rsid w:val="008C52B6"/>
    <w:rsid w:val="008C545E"/>
    <w:rsid w:val="008C5914"/>
    <w:rsid w:val="008C5FE3"/>
    <w:rsid w:val="008C63B2"/>
    <w:rsid w:val="008C6553"/>
    <w:rsid w:val="008C6CF3"/>
    <w:rsid w:val="008C6E13"/>
    <w:rsid w:val="008C6FE0"/>
    <w:rsid w:val="008C7B25"/>
    <w:rsid w:val="008D0279"/>
    <w:rsid w:val="008D04E7"/>
    <w:rsid w:val="008D08EB"/>
    <w:rsid w:val="008D0C9F"/>
    <w:rsid w:val="008D131A"/>
    <w:rsid w:val="008D19C5"/>
    <w:rsid w:val="008D1D46"/>
    <w:rsid w:val="008D1EB2"/>
    <w:rsid w:val="008D20DC"/>
    <w:rsid w:val="008D29D2"/>
    <w:rsid w:val="008D2F26"/>
    <w:rsid w:val="008D3061"/>
    <w:rsid w:val="008D30F9"/>
    <w:rsid w:val="008D3231"/>
    <w:rsid w:val="008D34CE"/>
    <w:rsid w:val="008D3591"/>
    <w:rsid w:val="008D3794"/>
    <w:rsid w:val="008D3C20"/>
    <w:rsid w:val="008D4205"/>
    <w:rsid w:val="008D4921"/>
    <w:rsid w:val="008D4BDF"/>
    <w:rsid w:val="008D4C78"/>
    <w:rsid w:val="008D4DDE"/>
    <w:rsid w:val="008D53B2"/>
    <w:rsid w:val="008D5681"/>
    <w:rsid w:val="008D677E"/>
    <w:rsid w:val="008D6B68"/>
    <w:rsid w:val="008D7779"/>
    <w:rsid w:val="008D7927"/>
    <w:rsid w:val="008D7CF2"/>
    <w:rsid w:val="008D7D8C"/>
    <w:rsid w:val="008E0015"/>
    <w:rsid w:val="008E0276"/>
    <w:rsid w:val="008E0777"/>
    <w:rsid w:val="008E09EF"/>
    <w:rsid w:val="008E0B19"/>
    <w:rsid w:val="008E0C04"/>
    <w:rsid w:val="008E10D1"/>
    <w:rsid w:val="008E17B8"/>
    <w:rsid w:val="008E190B"/>
    <w:rsid w:val="008E1AF2"/>
    <w:rsid w:val="008E1D8E"/>
    <w:rsid w:val="008E2075"/>
    <w:rsid w:val="008E21ED"/>
    <w:rsid w:val="008E2A3A"/>
    <w:rsid w:val="008E2B73"/>
    <w:rsid w:val="008E2D08"/>
    <w:rsid w:val="008E2EE5"/>
    <w:rsid w:val="008E33A1"/>
    <w:rsid w:val="008E3714"/>
    <w:rsid w:val="008E37BB"/>
    <w:rsid w:val="008E38B6"/>
    <w:rsid w:val="008E3B5E"/>
    <w:rsid w:val="008E3BEF"/>
    <w:rsid w:val="008E3C30"/>
    <w:rsid w:val="008E4567"/>
    <w:rsid w:val="008E48EE"/>
    <w:rsid w:val="008E4B44"/>
    <w:rsid w:val="008E5254"/>
    <w:rsid w:val="008E5536"/>
    <w:rsid w:val="008E5BFE"/>
    <w:rsid w:val="008E620E"/>
    <w:rsid w:val="008E69F2"/>
    <w:rsid w:val="008E6C98"/>
    <w:rsid w:val="008E79CF"/>
    <w:rsid w:val="008F0223"/>
    <w:rsid w:val="008F02E6"/>
    <w:rsid w:val="008F0AD6"/>
    <w:rsid w:val="008F0B05"/>
    <w:rsid w:val="008F0B9F"/>
    <w:rsid w:val="008F1450"/>
    <w:rsid w:val="008F1858"/>
    <w:rsid w:val="008F19E4"/>
    <w:rsid w:val="008F1CB1"/>
    <w:rsid w:val="008F2196"/>
    <w:rsid w:val="008F31ED"/>
    <w:rsid w:val="008F3771"/>
    <w:rsid w:val="008F3B6C"/>
    <w:rsid w:val="008F45CF"/>
    <w:rsid w:val="008F472D"/>
    <w:rsid w:val="008F5705"/>
    <w:rsid w:val="008F57A7"/>
    <w:rsid w:val="008F57BC"/>
    <w:rsid w:val="008F589C"/>
    <w:rsid w:val="008F5F0E"/>
    <w:rsid w:val="008F655E"/>
    <w:rsid w:val="008F6EA6"/>
    <w:rsid w:val="008F7359"/>
    <w:rsid w:val="0090039C"/>
    <w:rsid w:val="00900902"/>
    <w:rsid w:val="00900C0D"/>
    <w:rsid w:val="00900EC9"/>
    <w:rsid w:val="00901C8D"/>
    <w:rsid w:val="00902A05"/>
    <w:rsid w:val="0090301B"/>
    <w:rsid w:val="0090329E"/>
    <w:rsid w:val="009032B8"/>
    <w:rsid w:val="00903953"/>
    <w:rsid w:val="0090432F"/>
    <w:rsid w:val="00904802"/>
    <w:rsid w:val="00904893"/>
    <w:rsid w:val="00905291"/>
    <w:rsid w:val="009053A0"/>
    <w:rsid w:val="009053CC"/>
    <w:rsid w:val="009053F9"/>
    <w:rsid w:val="00905491"/>
    <w:rsid w:val="00906473"/>
    <w:rsid w:val="00906E21"/>
    <w:rsid w:val="00907108"/>
    <w:rsid w:val="00907291"/>
    <w:rsid w:val="009072F0"/>
    <w:rsid w:val="009075CF"/>
    <w:rsid w:val="00910747"/>
    <w:rsid w:val="00910D47"/>
    <w:rsid w:val="00910D86"/>
    <w:rsid w:val="00911F76"/>
    <w:rsid w:val="00912169"/>
    <w:rsid w:val="0091260C"/>
    <w:rsid w:val="0091278E"/>
    <w:rsid w:val="00912887"/>
    <w:rsid w:val="00912CA0"/>
    <w:rsid w:val="009137F0"/>
    <w:rsid w:val="00913E70"/>
    <w:rsid w:val="00914193"/>
    <w:rsid w:val="009147A2"/>
    <w:rsid w:val="00914A53"/>
    <w:rsid w:val="00914A88"/>
    <w:rsid w:val="00914EC8"/>
    <w:rsid w:val="0091546F"/>
    <w:rsid w:val="00915578"/>
    <w:rsid w:val="00915884"/>
    <w:rsid w:val="009159ED"/>
    <w:rsid w:val="00916034"/>
    <w:rsid w:val="00916101"/>
    <w:rsid w:val="009161BF"/>
    <w:rsid w:val="00916764"/>
    <w:rsid w:val="00916A34"/>
    <w:rsid w:val="00916DEE"/>
    <w:rsid w:val="00916F7B"/>
    <w:rsid w:val="00917449"/>
    <w:rsid w:val="0091763B"/>
    <w:rsid w:val="0092037A"/>
    <w:rsid w:val="009210BE"/>
    <w:rsid w:val="0092135C"/>
    <w:rsid w:val="0092161C"/>
    <w:rsid w:val="00921685"/>
    <w:rsid w:val="009219EF"/>
    <w:rsid w:val="00921CDC"/>
    <w:rsid w:val="009226BC"/>
    <w:rsid w:val="00922799"/>
    <w:rsid w:val="00922A3B"/>
    <w:rsid w:val="00922B98"/>
    <w:rsid w:val="00922EC6"/>
    <w:rsid w:val="00922F42"/>
    <w:rsid w:val="00922F48"/>
    <w:rsid w:val="009246AD"/>
    <w:rsid w:val="00924F27"/>
    <w:rsid w:val="00925C68"/>
    <w:rsid w:val="00925EAB"/>
    <w:rsid w:val="00925ECF"/>
    <w:rsid w:val="009262F4"/>
    <w:rsid w:val="009262FE"/>
    <w:rsid w:val="00926307"/>
    <w:rsid w:val="00926521"/>
    <w:rsid w:val="00926B8A"/>
    <w:rsid w:val="00926CCF"/>
    <w:rsid w:val="00927489"/>
    <w:rsid w:val="00927883"/>
    <w:rsid w:val="00927D05"/>
    <w:rsid w:val="009303A0"/>
    <w:rsid w:val="00930773"/>
    <w:rsid w:val="00930D29"/>
    <w:rsid w:val="0093158D"/>
    <w:rsid w:val="009318F1"/>
    <w:rsid w:val="00931F08"/>
    <w:rsid w:val="00932092"/>
    <w:rsid w:val="00932488"/>
    <w:rsid w:val="0093252B"/>
    <w:rsid w:val="009331E1"/>
    <w:rsid w:val="009338E3"/>
    <w:rsid w:val="00933CCC"/>
    <w:rsid w:val="0093449D"/>
    <w:rsid w:val="00934AC7"/>
    <w:rsid w:val="00934F37"/>
    <w:rsid w:val="0093502E"/>
    <w:rsid w:val="00935697"/>
    <w:rsid w:val="00935836"/>
    <w:rsid w:val="00935BF1"/>
    <w:rsid w:val="00935E11"/>
    <w:rsid w:val="00936F6F"/>
    <w:rsid w:val="00937490"/>
    <w:rsid w:val="00937AD9"/>
    <w:rsid w:val="009402A4"/>
    <w:rsid w:val="0094078E"/>
    <w:rsid w:val="009410EC"/>
    <w:rsid w:val="0094268A"/>
    <w:rsid w:val="009437B1"/>
    <w:rsid w:val="009439C5"/>
    <w:rsid w:val="00944E53"/>
    <w:rsid w:val="009459CC"/>
    <w:rsid w:val="00945D17"/>
    <w:rsid w:val="00946477"/>
    <w:rsid w:val="00946741"/>
    <w:rsid w:val="009469C6"/>
    <w:rsid w:val="009469D6"/>
    <w:rsid w:val="00946AE4"/>
    <w:rsid w:val="00946F47"/>
    <w:rsid w:val="009477D6"/>
    <w:rsid w:val="00947C15"/>
    <w:rsid w:val="00950354"/>
    <w:rsid w:val="009505F4"/>
    <w:rsid w:val="009506E5"/>
    <w:rsid w:val="00950AAB"/>
    <w:rsid w:val="00950F80"/>
    <w:rsid w:val="00951A70"/>
    <w:rsid w:val="00951D46"/>
    <w:rsid w:val="00951F03"/>
    <w:rsid w:val="0095256B"/>
    <w:rsid w:val="0095303B"/>
    <w:rsid w:val="00953A6A"/>
    <w:rsid w:val="00953A78"/>
    <w:rsid w:val="00953C01"/>
    <w:rsid w:val="009540C0"/>
    <w:rsid w:val="009545EE"/>
    <w:rsid w:val="0095465C"/>
    <w:rsid w:val="0095490C"/>
    <w:rsid w:val="00955082"/>
    <w:rsid w:val="0095510B"/>
    <w:rsid w:val="009551B4"/>
    <w:rsid w:val="00955F4C"/>
    <w:rsid w:val="00956156"/>
    <w:rsid w:val="00956568"/>
    <w:rsid w:val="00956D33"/>
    <w:rsid w:val="00957183"/>
    <w:rsid w:val="00957224"/>
    <w:rsid w:val="009572AD"/>
    <w:rsid w:val="00957908"/>
    <w:rsid w:val="00957CF3"/>
    <w:rsid w:val="00957E36"/>
    <w:rsid w:val="00957E70"/>
    <w:rsid w:val="009605AC"/>
    <w:rsid w:val="00961D77"/>
    <w:rsid w:val="00962497"/>
    <w:rsid w:val="0096250D"/>
    <w:rsid w:val="00962622"/>
    <w:rsid w:val="0096282F"/>
    <w:rsid w:val="00962E29"/>
    <w:rsid w:val="00962F3F"/>
    <w:rsid w:val="00962F8E"/>
    <w:rsid w:val="00963022"/>
    <w:rsid w:val="00963053"/>
    <w:rsid w:val="009633B7"/>
    <w:rsid w:val="0096406F"/>
    <w:rsid w:val="00964597"/>
    <w:rsid w:val="009645AE"/>
    <w:rsid w:val="009647DB"/>
    <w:rsid w:val="00964E7A"/>
    <w:rsid w:val="00964EC7"/>
    <w:rsid w:val="00964FA6"/>
    <w:rsid w:val="00965600"/>
    <w:rsid w:val="00966251"/>
    <w:rsid w:val="009662BC"/>
    <w:rsid w:val="00966406"/>
    <w:rsid w:val="00966BBE"/>
    <w:rsid w:val="009670D1"/>
    <w:rsid w:val="009673B3"/>
    <w:rsid w:val="00967594"/>
    <w:rsid w:val="00967699"/>
    <w:rsid w:val="009678DC"/>
    <w:rsid w:val="00967AF5"/>
    <w:rsid w:val="00967F0E"/>
    <w:rsid w:val="009701AD"/>
    <w:rsid w:val="00970561"/>
    <w:rsid w:val="00970930"/>
    <w:rsid w:val="00970B0C"/>
    <w:rsid w:val="00970EBA"/>
    <w:rsid w:val="00970FFB"/>
    <w:rsid w:val="00971E75"/>
    <w:rsid w:val="00972268"/>
    <w:rsid w:val="009729F5"/>
    <w:rsid w:val="00972C14"/>
    <w:rsid w:val="00972D45"/>
    <w:rsid w:val="009734A3"/>
    <w:rsid w:val="00973E1C"/>
    <w:rsid w:val="00974A74"/>
    <w:rsid w:val="00975038"/>
    <w:rsid w:val="00975313"/>
    <w:rsid w:val="00975800"/>
    <w:rsid w:val="00975E42"/>
    <w:rsid w:val="00976561"/>
    <w:rsid w:val="00976682"/>
    <w:rsid w:val="00976EE9"/>
    <w:rsid w:val="00976F56"/>
    <w:rsid w:val="00976F91"/>
    <w:rsid w:val="00976FB2"/>
    <w:rsid w:val="00977752"/>
    <w:rsid w:val="00977B10"/>
    <w:rsid w:val="009804E2"/>
    <w:rsid w:val="00980775"/>
    <w:rsid w:val="00980941"/>
    <w:rsid w:val="00980C6D"/>
    <w:rsid w:val="00980D9E"/>
    <w:rsid w:val="00980DBC"/>
    <w:rsid w:val="00980E03"/>
    <w:rsid w:val="00980EC5"/>
    <w:rsid w:val="00981A23"/>
    <w:rsid w:val="00981E33"/>
    <w:rsid w:val="009821AB"/>
    <w:rsid w:val="00982727"/>
    <w:rsid w:val="009828DA"/>
    <w:rsid w:val="0098312F"/>
    <w:rsid w:val="009832A9"/>
    <w:rsid w:val="00983319"/>
    <w:rsid w:val="009834C9"/>
    <w:rsid w:val="0098367C"/>
    <w:rsid w:val="009839A7"/>
    <w:rsid w:val="00983F48"/>
    <w:rsid w:val="009846BE"/>
    <w:rsid w:val="00984712"/>
    <w:rsid w:val="00984AA3"/>
    <w:rsid w:val="00984FA2"/>
    <w:rsid w:val="00985B7E"/>
    <w:rsid w:val="00985FD9"/>
    <w:rsid w:val="00986C76"/>
    <w:rsid w:val="00986E60"/>
    <w:rsid w:val="00987581"/>
    <w:rsid w:val="00990106"/>
    <w:rsid w:val="0099021B"/>
    <w:rsid w:val="00990317"/>
    <w:rsid w:val="00990606"/>
    <w:rsid w:val="00990710"/>
    <w:rsid w:val="00990890"/>
    <w:rsid w:val="009909E5"/>
    <w:rsid w:val="00990B03"/>
    <w:rsid w:val="0099150A"/>
    <w:rsid w:val="009916B3"/>
    <w:rsid w:val="00991A34"/>
    <w:rsid w:val="00991C7A"/>
    <w:rsid w:val="00992030"/>
    <w:rsid w:val="009921E8"/>
    <w:rsid w:val="009924C2"/>
    <w:rsid w:val="00992793"/>
    <w:rsid w:val="00992ABE"/>
    <w:rsid w:val="00992B5D"/>
    <w:rsid w:val="00992D18"/>
    <w:rsid w:val="0099334E"/>
    <w:rsid w:val="0099349E"/>
    <w:rsid w:val="00993663"/>
    <w:rsid w:val="00993B3A"/>
    <w:rsid w:val="00993CE1"/>
    <w:rsid w:val="00994D5A"/>
    <w:rsid w:val="00995219"/>
    <w:rsid w:val="0099525A"/>
    <w:rsid w:val="00995360"/>
    <w:rsid w:val="009954B5"/>
    <w:rsid w:val="009968E6"/>
    <w:rsid w:val="00996CDE"/>
    <w:rsid w:val="00997500"/>
    <w:rsid w:val="00997983"/>
    <w:rsid w:val="00997AA7"/>
    <w:rsid w:val="00997BE8"/>
    <w:rsid w:val="00997D5D"/>
    <w:rsid w:val="009A00FF"/>
    <w:rsid w:val="009A031C"/>
    <w:rsid w:val="009A0461"/>
    <w:rsid w:val="009A06F6"/>
    <w:rsid w:val="009A07C6"/>
    <w:rsid w:val="009A0A23"/>
    <w:rsid w:val="009A19E5"/>
    <w:rsid w:val="009A1A3E"/>
    <w:rsid w:val="009A1B8B"/>
    <w:rsid w:val="009A1C19"/>
    <w:rsid w:val="009A1E57"/>
    <w:rsid w:val="009A233B"/>
    <w:rsid w:val="009A2624"/>
    <w:rsid w:val="009A2967"/>
    <w:rsid w:val="009A2BAD"/>
    <w:rsid w:val="009A2CA3"/>
    <w:rsid w:val="009A3042"/>
    <w:rsid w:val="009A32F3"/>
    <w:rsid w:val="009A37EA"/>
    <w:rsid w:val="009A3D28"/>
    <w:rsid w:val="009A3DDA"/>
    <w:rsid w:val="009A4393"/>
    <w:rsid w:val="009A4711"/>
    <w:rsid w:val="009A4F16"/>
    <w:rsid w:val="009A4F91"/>
    <w:rsid w:val="009A5078"/>
    <w:rsid w:val="009A50D7"/>
    <w:rsid w:val="009A52EA"/>
    <w:rsid w:val="009A55B2"/>
    <w:rsid w:val="009A57D2"/>
    <w:rsid w:val="009A62CC"/>
    <w:rsid w:val="009A6C38"/>
    <w:rsid w:val="009A74B0"/>
    <w:rsid w:val="009A7829"/>
    <w:rsid w:val="009A7865"/>
    <w:rsid w:val="009B09E8"/>
    <w:rsid w:val="009B0DD0"/>
    <w:rsid w:val="009B12DE"/>
    <w:rsid w:val="009B1F68"/>
    <w:rsid w:val="009B1F6D"/>
    <w:rsid w:val="009B21DF"/>
    <w:rsid w:val="009B2291"/>
    <w:rsid w:val="009B22B5"/>
    <w:rsid w:val="009B250B"/>
    <w:rsid w:val="009B38CE"/>
    <w:rsid w:val="009B3A2E"/>
    <w:rsid w:val="009B40F3"/>
    <w:rsid w:val="009B45DB"/>
    <w:rsid w:val="009B4728"/>
    <w:rsid w:val="009B4AAA"/>
    <w:rsid w:val="009B4E45"/>
    <w:rsid w:val="009B50FB"/>
    <w:rsid w:val="009B58A8"/>
    <w:rsid w:val="009B5B9A"/>
    <w:rsid w:val="009B6282"/>
    <w:rsid w:val="009B6963"/>
    <w:rsid w:val="009B69AE"/>
    <w:rsid w:val="009B762B"/>
    <w:rsid w:val="009C02B9"/>
    <w:rsid w:val="009C04AF"/>
    <w:rsid w:val="009C0973"/>
    <w:rsid w:val="009C0DE1"/>
    <w:rsid w:val="009C103E"/>
    <w:rsid w:val="009C109B"/>
    <w:rsid w:val="009C175C"/>
    <w:rsid w:val="009C176F"/>
    <w:rsid w:val="009C1B63"/>
    <w:rsid w:val="009C1C41"/>
    <w:rsid w:val="009C227D"/>
    <w:rsid w:val="009C24C2"/>
    <w:rsid w:val="009C26B9"/>
    <w:rsid w:val="009C27BA"/>
    <w:rsid w:val="009C2823"/>
    <w:rsid w:val="009C2B9E"/>
    <w:rsid w:val="009C4264"/>
    <w:rsid w:val="009C42AB"/>
    <w:rsid w:val="009C43B9"/>
    <w:rsid w:val="009C4BA6"/>
    <w:rsid w:val="009C521C"/>
    <w:rsid w:val="009C53D4"/>
    <w:rsid w:val="009C5598"/>
    <w:rsid w:val="009C59CB"/>
    <w:rsid w:val="009C5CFA"/>
    <w:rsid w:val="009C62B1"/>
    <w:rsid w:val="009C6C97"/>
    <w:rsid w:val="009C75DB"/>
    <w:rsid w:val="009C780F"/>
    <w:rsid w:val="009C7BD0"/>
    <w:rsid w:val="009C7DC6"/>
    <w:rsid w:val="009C7DCA"/>
    <w:rsid w:val="009C7E23"/>
    <w:rsid w:val="009C7F70"/>
    <w:rsid w:val="009D0187"/>
    <w:rsid w:val="009D04C0"/>
    <w:rsid w:val="009D0871"/>
    <w:rsid w:val="009D107D"/>
    <w:rsid w:val="009D1524"/>
    <w:rsid w:val="009D1838"/>
    <w:rsid w:val="009D1B03"/>
    <w:rsid w:val="009D1E6B"/>
    <w:rsid w:val="009D1F98"/>
    <w:rsid w:val="009D26FE"/>
    <w:rsid w:val="009D2782"/>
    <w:rsid w:val="009D2922"/>
    <w:rsid w:val="009D35F4"/>
    <w:rsid w:val="009D3A37"/>
    <w:rsid w:val="009D59BC"/>
    <w:rsid w:val="009D6575"/>
    <w:rsid w:val="009D70B7"/>
    <w:rsid w:val="009D7492"/>
    <w:rsid w:val="009D7A3F"/>
    <w:rsid w:val="009E0072"/>
    <w:rsid w:val="009E07EA"/>
    <w:rsid w:val="009E0D2A"/>
    <w:rsid w:val="009E0EDF"/>
    <w:rsid w:val="009E113D"/>
    <w:rsid w:val="009E18DF"/>
    <w:rsid w:val="009E255F"/>
    <w:rsid w:val="009E27A4"/>
    <w:rsid w:val="009E2C04"/>
    <w:rsid w:val="009E3284"/>
    <w:rsid w:val="009E33F7"/>
    <w:rsid w:val="009E3CB1"/>
    <w:rsid w:val="009E3E3E"/>
    <w:rsid w:val="009E467C"/>
    <w:rsid w:val="009E5072"/>
    <w:rsid w:val="009E5374"/>
    <w:rsid w:val="009E5831"/>
    <w:rsid w:val="009E5990"/>
    <w:rsid w:val="009E59D4"/>
    <w:rsid w:val="009E5A4A"/>
    <w:rsid w:val="009E5FBC"/>
    <w:rsid w:val="009E653C"/>
    <w:rsid w:val="009E7344"/>
    <w:rsid w:val="009E75A6"/>
    <w:rsid w:val="009E7F1B"/>
    <w:rsid w:val="009F03D5"/>
    <w:rsid w:val="009F0F97"/>
    <w:rsid w:val="009F183E"/>
    <w:rsid w:val="009F1F73"/>
    <w:rsid w:val="009F1FA0"/>
    <w:rsid w:val="009F2A18"/>
    <w:rsid w:val="009F2B67"/>
    <w:rsid w:val="009F2C5D"/>
    <w:rsid w:val="009F2E7E"/>
    <w:rsid w:val="009F395E"/>
    <w:rsid w:val="009F3A2F"/>
    <w:rsid w:val="009F4089"/>
    <w:rsid w:val="009F4438"/>
    <w:rsid w:val="009F4458"/>
    <w:rsid w:val="009F4D30"/>
    <w:rsid w:val="009F4DF5"/>
    <w:rsid w:val="009F512B"/>
    <w:rsid w:val="009F515D"/>
    <w:rsid w:val="009F5405"/>
    <w:rsid w:val="009F5BAD"/>
    <w:rsid w:val="009F5BE8"/>
    <w:rsid w:val="009F5C9B"/>
    <w:rsid w:val="009F6172"/>
    <w:rsid w:val="009F63E8"/>
    <w:rsid w:val="009F6537"/>
    <w:rsid w:val="009F6B4B"/>
    <w:rsid w:val="009F6C20"/>
    <w:rsid w:val="009F7519"/>
    <w:rsid w:val="009F77F2"/>
    <w:rsid w:val="00A0019B"/>
    <w:rsid w:val="00A00844"/>
    <w:rsid w:val="00A0127E"/>
    <w:rsid w:val="00A0134B"/>
    <w:rsid w:val="00A027DB"/>
    <w:rsid w:val="00A02D62"/>
    <w:rsid w:val="00A02ED9"/>
    <w:rsid w:val="00A02FA1"/>
    <w:rsid w:val="00A03022"/>
    <w:rsid w:val="00A031AE"/>
    <w:rsid w:val="00A031ED"/>
    <w:rsid w:val="00A03B92"/>
    <w:rsid w:val="00A03BC1"/>
    <w:rsid w:val="00A03F18"/>
    <w:rsid w:val="00A0425D"/>
    <w:rsid w:val="00A042EF"/>
    <w:rsid w:val="00A04ED6"/>
    <w:rsid w:val="00A04F5E"/>
    <w:rsid w:val="00A04F9A"/>
    <w:rsid w:val="00A051CC"/>
    <w:rsid w:val="00A058BD"/>
    <w:rsid w:val="00A05BA3"/>
    <w:rsid w:val="00A05D13"/>
    <w:rsid w:val="00A05F45"/>
    <w:rsid w:val="00A06010"/>
    <w:rsid w:val="00A0621F"/>
    <w:rsid w:val="00A062CA"/>
    <w:rsid w:val="00A06609"/>
    <w:rsid w:val="00A0796B"/>
    <w:rsid w:val="00A1053B"/>
    <w:rsid w:val="00A108FB"/>
    <w:rsid w:val="00A109EA"/>
    <w:rsid w:val="00A11419"/>
    <w:rsid w:val="00A1142D"/>
    <w:rsid w:val="00A117B2"/>
    <w:rsid w:val="00A123A3"/>
    <w:rsid w:val="00A12925"/>
    <w:rsid w:val="00A12FEF"/>
    <w:rsid w:val="00A1338C"/>
    <w:rsid w:val="00A133B4"/>
    <w:rsid w:val="00A135C3"/>
    <w:rsid w:val="00A13AAF"/>
    <w:rsid w:val="00A1480C"/>
    <w:rsid w:val="00A167DC"/>
    <w:rsid w:val="00A17640"/>
    <w:rsid w:val="00A17A43"/>
    <w:rsid w:val="00A2000E"/>
    <w:rsid w:val="00A202A4"/>
    <w:rsid w:val="00A208DB"/>
    <w:rsid w:val="00A20D56"/>
    <w:rsid w:val="00A20DD4"/>
    <w:rsid w:val="00A20EB5"/>
    <w:rsid w:val="00A21249"/>
    <w:rsid w:val="00A21482"/>
    <w:rsid w:val="00A2157D"/>
    <w:rsid w:val="00A21ACF"/>
    <w:rsid w:val="00A22691"/>
    <w:rsid w:val="00A22771"/>
    <w:rsid w:val="00A22CB9"/>
    <w:rsid w:val="00A230D7"/>
    <w:rsid w:val="00A2375B"/>
    <w:rsid w:val="00A23E8B"/>
    <w:rsid w:val="00A242EF"/>
    <w:rsid w:val="00A24C17"/>
    <w:rsid w:val="00A253DC"/>
    <w:rsid w:val="00A255D0"/>
    <w:rsid w:val="00A2563B"/>
    <w:rsid w:val="00A2571B"/>
    <w:rsid w:val="00A259F2"/>
    <w:rsid w:val="00A26771"/>
    <w:rsid w:val="00A2685C"/>
    <w:rsid w:val="00A26A6D"/>
    <w:rsid w:val="00A26E88"/>
    <w:rsid w:val="00A272A8"/>
    <w:rsid w:val="00A275A6"/>
    <w:rsid w:val="00A2777A"/>
    <w:rsid w:val="00A27F51"/>
    <w:rsid w:val="00A3079B"/>
    <w:rsid w:val="00A30809"/>
    <w:rsid w:val="00A320E6"/>
    <w:rsid w:val="00A3241F"/>
    <w:rsid w:val="00A3250B"/>
    <w:rsid w:val="00A32A73"/>
    <w:rsid w:val="00A32F8A"/>
    <w:rsid w:val="00A3385F"/>
    <w:rsid w:val="00A33ACA"/>
    <w:rsid w:val="00A33B1D"/>
    <w:rsid w:val="00A33F7A"/>
    <w:rsid w:val="00A3498D"/>
    <w:rsid w:val="00A34A80"/>
    <w:rsid w:val="00A34C58"/>
    <w:rsid w:val="00A355EB"/>
    <w:rsid w:val="00A3560D"/>
    <w:rsid w:val="00A357C7"/>
    <w:rsid w:val="00A35A06"/>
    <w:rsid w:val="00A35F53"/>
    <w:rsid w:val="00A36202"/>
    <w:rsid w:val="00A36381"/>
    <w:rsid w:val="00A36AE0"/>
    <w:rsid w:val="00A36CB9"/>
    <w:rsid w:val="00A36D32"/>
    <w:rsid w:val="00A36EAA"/>
    <w:rsid w:val="00A370A6"/>
    <w:rsid w:val="00A372DE"/>
    <w:rsid w:val="00A37334"/>
    <w:rsid w:val="00A373C1"/>
    <w:rsid w:val="00A375EC"/>
    <w:rsid w:val="00A37715"/>
    <w:rsid w:val="00A3772C"/>
    <w:rsid w:val="00A378AF"/>
    <w:rsid w:val="00A37AA0"/>
    <w:rsid w:val="00A40384"/>
    <w:rsid w:val="00A40614"/>
    <w:rsid w:val="00A40821"/>
    <w:rsid w:val="00A40A37"/>
    <w:rsid w:val="00A40C8B"/>
    <w:rsid w:val="00A41180"/>
    <w:rsid w:val="00A42643"/>
    <w:rsid w:val="00A42728"/>
    <w:rsid w:val="00A42D87"/>
    <w:rsid w:val="00A433A8"/>
    <w:rsid w:val="00A437EB"/>
    <w:rsid w:val="00A43E94"/>
    <w:rsid w:val="00A440B7"/>
    <w:rsid w:val="00A4463C"/>
    <w:rsid w:val="00A45BDE"/>
    <w:rsid w:val="00A46B5B"/>
    <w:rsid w:val="00A46E60"/>
    <w:rsid w:val="00A472BA"/>
    <w:rsid w:val="00A47C1C"/>
    <w:rsid w:val="00A47C33"/>
    <w:rsid w:val="00A500D0"/>
    <w:rsid w:val="00A5042F"/>
    <w:rsid w:val="00A50637"/>
    <w:rsid w:val="00A5103E"/>
    <w:rsid w:val="00A5112B"/>
    <w:rsid w:val="00A5207B"/>
    <w:rsid w:val="00A52151"/>
    <w:rsid w:val="00A5257A"/>
    <w:rsid w:val="00A529B3"/>
    <w:rsid w:val="00A53F98"/>
    <w:rsid w:val="00A5411D"/>
    <w:rsid w:val="00A5471A"/>
    <w:rsid w:val="00A549D7"/>
    <w:rsid w:val="00A54A40"/>
    <w:rsid w:val="00A54F65"/>
    <w:rsid w:val="00A55332"/>
    <w:rsid w:val="00A5565C"/>
    <w:rsid w:val="00A568AA"/>
    <w:rsid w:val="00A56A35"/>
    <w:rsid w:val="00A56D7F"/>
    <w:rsid w:val="00A57420"/>
    <w:rsid w:val="00A57E29"/>
    <w:rsid w:val="00A57FEF"/>
    <w:rsid w:val="00A604AA"/>
    <w:rsid w:val="00A60DC5"/>
    <w:rsid w:val="00A60FA3"/>
    <w:rsid w:val="00A61370"/>
    <w:rsid w:val="00A615F1"/>
    <w:rsid w:val="00A62120"/>
    <w:rsid w:val="00A63345"/>
    <w:rsid w:val="00A633DD"/>
    <w:rsid w:val="00A63588"/>
    <w:rsid w:val="00A63605"/>
    <w:rsid w:val="00A63756"/>
    <w:rsid w:val="00A63CE2"/>
    <w:rsid w:val="00A6404A"/>
    <w:rsid w:val="00A64585"/>
    <w:rsid w:val="00A64B25"/>
    <w:rsid w:val="00A6525A"/>
    <w:rsid w:val="00A65847"/>
    <w:rsid w:val="00A65A16"/>
    <w:rsid w:val="00A65AD8"/>
    <w:rsid w:val="00A666DE"/>
    <w:rsid w:val="00A66835"/>
    <w:rsid w:val="00A66D47"/>
    <w:rsid w:val="00A66F96"/>
    <w:rsid w:val="00A6704E"/>
    <w:rsid w:val="00A676C9"/>
    <w:rsid w:val="00A67BA1"/>
    <w:rsid w:val="00A70156"/>
    <w:rsid w:val="00A706BD"/>
    <w:rsid w:val="00A7082D"/>
    <w:rsid w:val="00A70A2B"/>
    <w:rsid w:val="00A70BCA"/>
    <w:rsid w:val="00A70D52"/>
    <w:rsid w:val="00A70DDD"/>
    <w:rsid w:val="00A711E2"/>
    <w:rsid w:val="00A71CB7"/>
    <w:rsid w:val="00A722A8"/>
    <w:rsid w:val="00A72495"/>
    <w:rsid w:val="00A72B5E"/>
    <w:rsid w:val="00A72ED4"/>
    <w:rsid w:val="00A73037"/>
    <w:rsid w:val="00A73123"/>
    <w:rsid w:val="00A73372"/>
    <w:rsid w:val="00A73811"/>
    <w:rsid w:val="00A7418D"/>
    <w:rsid w:val="00A74543"/>
    <w:rsid w:val="00A76209"/>
    <w:rsid w:val="00A763C5"/>
    <w:rsid w:val="00A764EF"/>
    <w:rsid w:val="00A77460"/>
    <w:rsid w:val="00A77B8C"/>
    <w:rsid w:val="00A77BCF"/>
    <w:rsid w:val="00A77F2F"/>
    <w:rsid w:val="00A8007B"/>
    <w:rsid w:val="00A80965"/>
    <w:rsid w:val="00A80B0B"/>
    <w:rsid w:val="00A80F7C"/>
    <w:rsid w:val="00A8152E"/>
    <w:rsid w:val="00A81782"/>
    <w:rsid w:val="00A81927"/>
    <w:rsid w:val="00A81B5F"/>
    <w:rsid w:val="00A81E65"/>
    <w:rsid w:val="00A8359F"/>
    <w:rsid w:val="00A8399A"/>
    <w:rsid w:val="00A84324"/>
    <w:rsid w:val="00A844FC"/>
    <w:rsid w:val="00A84D2D"/>
    <w:rsid w:val="00A85140"/>
    <w:rsid w:val="00A852D5"/>
    <w:rsid w:val="00A85314"/>
    <w:rsid w:val="00A85AFF"/>
    <w:rsid w:val="00A85B41"/>
    <w:rsid w:val="00A85E57"/>
    <w:rsid w:val="00A86B2C"/>
    <w:rsid w:val="00A87032"/>
    <w:rsid w:val="00A87161"/>
    <w:rsid w:val="00A87C62"/>
    <w:rsid w:val="00A907CB"/>
    <w:rsid w:val="00A908F2"/>
    <w:rsid w:val="00A90A30"/>
    <w:rsid w:val="00A90C50"/>
    <w:rsid w:val="00A90D89"/>
    <w:rsid w:val="00A91270"/>
    <w:rsid w:val="00A91280"/>
    <w:rsid w:val="00A9181C"/>
    <w:rsid w:val="00A91F06"/>
    <w:rsid w:val="00A91FD5"/>
    <w:rsid w:val="00A92600"/>
    <w:rsid w:val="00A92ACC"/>
    <w:rsid w:val="00A92EED"/>
    <w:rsid w:val="00A9336C"/>
    <w:rsid w:val="00A934E0"/>
    <w:rsid w:val="00A9436C"/>
    <w:rsid w:val="00A943D3"/>
    <w:rsid w:val="00A94725"/>
    <w:rsid w:val="00A94870"/>
    <w:rsid w:val="00A949DA"/>
    <w:rsid w:val="00A94BDA"/>
    <w:rsid w:val="00A9564B"/>
    <w:rsid w:val="00A95947"/>
    <w:rsid w:val="00A95B16"/>
    <w:rsid w:val="00A95C3D"/>
    <w:rsid w:val="00A96217"/>
    <w:rsid w:val="00A9630F"/>
    <w:rsid w:val="00A96A7E"/>
    <w:rsid w:val="00A96D8E"/>
    <w:rsid w:val="00A96DE0"/>
    <w:rsid w:val="00A97277"/>
    <w:rsid w:val="00A972F7"/>
    <w:rsid w:val="00A97509"/>
    <w:rsid w:val="00A9786E"/>
    <w:rsid w:val="00A978C7"/>
    <w:rsid w:val="00A97DFC"/>
    <w:rsid w:val="00A97F44"/>
    <w:rsid w:val="00AA0E2B"/>
    <w:rsid w:val="00AA0FE8"/>
    <w:rsid w:val="00AA11AB"/>
    <w:rsid w:val="00AA13A6"/>
    <w:rsid w:val="00AA196B"/>
    <w:rsid w:val="00AA19DB"/>
    <w:rsid w:val="00AA1A33"/>
    <w:rsid w:val="00AA218A"/>
    <w:rsid w:val="00AA2A3C"/>
    <w:rsid w:val="00AA2BB3"/>
    <w:rsid w:val="00AA2D2D"/>
    <w:rsid w:val="00AA39EE"/>
    <w:rsid w:val="00AA3F36"/>
    <w:rsid w:val="00AA5F81"/>
    <w:rsid w:val="00AA6435"/>
    <w:rsid w:val="00AA6A45"/>
    <w:rsid w:val="00AA6A6B"/>
    <w:rsid w:val="00AA6E5A"/>
    <w:rsid w:val="00AA791C"/>
    <w:rsid w:val="00AA7DD1"/>
    <w:rsid w:val="00AB01FB"/>
    <w:rsid w:val="00AB08AF"/>
    <w:rsid w:val="00AB09B5"/>
    <w:rsid w:val="00AB10D5"/>
    <w:rsid w:val="00AB16AD"/>
    <w:rsid w:val="00AB1A95"/>
    <w:rsid w:val="00AB3376"/>
    <w:rsid w:val="00AB34C5"/>
    <w:rsid w:val="00AB39BA"/>
    <w:rsid w:val="00AB39C7"/>
    <w:rsid w:val="00AB4554"/>
    <w:rsid w:val="00AB4788"/>
    <w:rsid w:val="00AB4F7C"/>
    <w:rsid w:val="00AB5C17"/>
    <w:rsid w:val="00AB6140"/>
    <w:rsid w:val="00AB621C"/>
    <w:rsid w:val="00AB6E71"/>
    <w:rsid w:val="00AB7494"/>
    <w:rsid w:val="00AB7819"/>
    <w:rsid w:val="00AB7BA0"/>
    <w:rsid w:val="00AB7CDF"/>
    <w:rsid w:val="00AB7F65"/>
    <w:rsid w:val="00AC0645"/>
    <w:rsid w:val="00AC0BA4"/>
    <w:rsid w:val="00AC1B3C"/>
    <w:rsid w:val="00AC1BA7"/>
    <w:rsid w:val="00AC2386"/>
    <w:rsid w:val="00AC3389"/>
    <w:rsid w:val="00AC403C"/>
    <w:rsid w:val="00AC43A3"/>
    <w:rsid w:val="00AC43D1"/>
    <w:rsid w:val="00AC44CB"/>
    <w:rsid w:val="00AC4B06"/>
    <w:rsid w:val="00AC4B60"/>
    <w:rsid w:val="00AC4DAA"/>
    <w:rsid w:val="00AC4FBF"/>
    <w:rsid w:val="00AC557A"/>
    <w:rsid w:val="00AC5D5F"/>
    <w:rsid w:val="00AC609B"/>
    <w:rsid w:val="00AC6E11"/>
    <w:rsid w:val="00AC7045"/>
    <w:rsid w:val="00AC7860"/>
    <w:rsid w:val="00AD037D"/>
    <w:rsid w:val="00AD1246"/>
    <w:rsid w:val="00AD14AD"/>
    <w:rsid w:val="00AD162B"/>
    <w:rsid w:val="00AD1684"/>
    <w:rsid w:val="00AD1732"/>
    <w:rsid w:val="00AD2275"/>
    <w:rsid w:val="00AD2A53"/>
    <w:rsid w:val="00AD2F5B"/>
    <w:rsid w:val="00AD30D8"/>
    <w:rsid w:val="00AD373C"/>
    <w:rsid w:val="00AD3B4C"/>
    <w:rsid w:val="00AD3E70"/>
    <w:rsid w:val="00AD3F7E"/>
    <w:rsid w:val="00AD473F"/>
    <w:rsid w:val="00AD4C60"/>
    <w:rsid w:val="00AD50C1"/>
    <w:rsid w:val="00AD570E"/>
    <w:rsid w:val="00AD5901"/>
    <w:rsid w:val="00AD6430"/>
    <w:rsid w:val="00AD6844"/>
    <w:rsid w:val="00AD6D5A"/>
    <w:rsid w:val="00AD70DD"/>
    <w:rsid w:val="00AD71D4"/>
    <w:rsid w:val="00AD7A0A"/>
    <w:rsid w:val="00AE01C6"/>
    <w:rsid w:val="00AE055E"/>
    <w:rsid w:val="00AE065A"/>
    <w:rsid w:val="00AE075F"/>
    <w:rsid w:val="00AE0996"/>
    <w:rsid w:val="00AE09C5"/>
    <w:rsid w:val="00AE0CF1"/>
    <w:rsid w:val="00AE1351"/>
    <w:rsid w:val="00AE18E2"/>
    <w:rsid w:val="00AE1A08"/>
    <w:rsid w:val="00AE2463"/>
    <w:rsid w:val="00AE2A27"/>
    <w:rsid w:val="00AE2A45"/>
    <w:rsid w:val="00AE2CA2"/>
    <w:rsid w:val="00AE32ED"/>
    <w:rsid w:val="00AE3359"/>
    <w:rsid w:val="00AE33BE"/>
    <w:rsid w:val="00AE3AE4"/>
    <w:rsid w:val="00AE4505"/>
    <w:rsid w:val="00AE4DB1"/>
    <w:rsid w:val="00AE546F"/>
    <w:rsid w:val="00AE5637"/>
    <w:rsid w:val="00AE5874"/>
    <w:rsid w:val="00AE5EF2"/>
    <w:rsid w:val="00AE69ED"/>
    <w:rsid w:val="00AE6EDC"/>
    <w:rsid w:val="00AE75FB"/>
    <w:rsid w:val="00AE7607"/>
    <w:rsid w:val="00AE7A37"/>
    <w:rsid w:val="00AE7EC9"/>
    <w:rsid w:val="00AF15FD"/>
    <w:rsid w:val="00AF18B3"/>
    <w:rsid w:val="00AF1F10"/>
    <w:rsid w:val="00AF2355"/>
    <w:rsid w:val="00AF28EB"/>
    <w:rsid w:val="00AF2CA4"/>
    <w:rsid w:val="00AF327F"/>
    <w:rsid w:val="00AF330E"/>
    <w:rsid w:val="00AF3A14"/>
    <w:rsid w:val="00AF3AC1"/>
    <w:rsid w:val="00AF3C44"/>
    <w:rsid w:val="00AF44E6"/>
    <w:rsid w:val="00AF49D2"/>
    <w:rsid w:val="00AF4F6D"/>
    <w:rsid w:val="00AF5210"/>
    <w:rsid w:val="00AF5683"/>
    <w:rsid w:val="00AF5E0A"/>
    <w:rsid w:val="00AF64BB"/>
    <w:rsid w:val="00AF6E43"/>
    <w:rsid w:val="00AF71C7"/>
    <w:rsid w:val="00AF795D"/>
    <w:rsid w:val="00AF7B37"/>
    <w:rsid w:val="00AF7E77"/>
    <w:rsid w:val="00AF7EBD"/>
    <w:rsid w:val="00AF7F6A"/>
    <w:rsid w:val="00B0006E"/>
    <w:rsid w:val="00B0064B"/>
    <w:rsid w:val="00B0065D"/>
    <w:rsid w:val="00B008F3"/>
    <w:rsid w:val="00B00CB3"/>
    <w:rsid w:val="00B01140"/>
    <w:rsid w:val="00B015BA"/>
    <w:rsid w:val="00B0252B"/>
    <w:rsid w:val="00B02DFC"/>
    <w:rsid w:val="00B02FE9"/>
    <w:rsid w:val="00B032D9"/>
    <w:rsid w:val="00B03707"/>
    <w:rsid w:val="00B03825"/>
    <w:rsid w:val="00B040D4"/>
    <w:rsid w:val="00B04232"/>
    <w:rsid w:val="00B042C3"/>
    <w:rsid w:val="00B0445C"/>
    <w:rsid w:val="00B04947"/>
    <w:rsid w:val="00B04C43"/>
    <w:rsid w:val="00B04F8F"/>
    <w:rsid w:val="00B05434"/>
    <w:rsid w:val="00B05A88"/>
    <w:rsid w:val="00B05D1F"/>
    <w:rsid w:val="00B060AF"/>
    <w:rsid w:val="00B060B0"/>
    <w:rsid w:val="00B0630D"/>
    <w:rsid w:val="00B06920"/>
    <w:rsid w:val="00B06A6E"/>
    <w:rsid w:val="00B073FA"/>
    <w:rsid w:val="00B07695"/>
    <w:rsid w:val="00B07C7E"/>
    <w:rsid w:val="00B07CC2"/>
    <w:rsid w:val="00B10A1A"/>
    <w:rsid w:val="00B10FF5"/>
    <w:rsid w:val="00B1102B"/>
    <w:rsid w:val="00B11643"/>
    <w:rsid w:val="00B117E6"/>
    <w:rsid w:val="00B11F28"/>
    <w:rsid w:val="00B12AFC"/>
    <w:rsid w:val="00B133A1"/>
    <w:rsid w:val="00B13659"/>
    <w:rsid w:val="00B139F1"/>
    <w:rsid w:val="00B14573"/>
    <w:rsid w:val="00B14BBC"/>
    <w:rsid w:val="00B14D70"/>
    <w:rsid w:val="00B14FC0"/>
    <w:rsid w:val="00B1575C"/>
    <w:rsid w:val="00B1619F"/>
    <w:rsid w:val="00B1665C"/>
    <w:rsid w:val="00B16D61"/>
    <w:rsid w:val="00B1784C"/>
    <w:rsid w:val="00B209CC"/>
    <w:rsid w:val="00B20F88"/>
    <w:rsid w:val="00B21680"/>
    <w:rsid w:val="00B21CDF"/>
    <w:rsid w:val="00B22145"/>
    <w:rsid w:val="00B222A6"/>
    <w:rsid w:val="00B222BD"/>
    <w:rsid w:val="00B2309D"/>
    <w:rsid w:val="00B23202"/>
    <w:rsid w:val="00B2342A"/>
    <w:rsid w:val="00B23BB2"/>
    <w:rsid w:val="00B24032"/>
    <w:rsid w:val="00B24723"/>
    <w:rsid w:val="00B24D60"/>
    <w:rsid w:val="00B25065"/>
    <w:rsid w:val="00B253D7"/>
    <w:rsid w:val="00B25646"/>
    <w:rsid w:val="00B25D6A"/>
    <w:rsid w:val="00B25E5D"/>
    <w:rsid w:val="00B2656D"/>
    <w:rsid w:val="00B26C4A"/>
    <w:rsid w:val="00B2748A"/>
    <w:rsid w:val="00B274BE"/>
    <w:rsid w:val="00B279F7"/>
    <w:rsid w:val="00B27DE2"/>
    <w:rsid w:val="00B305FB"/>
    <w:rsid w:val="00B309F5"/>
    <w:rsid w:val="00B30D4B"/>
    <w:rsid w:val="00B30DEC"/>
    <w:rsid w:val="00B31013"/>
    <w:rsid w:val="00B31376"/>
    <w:rsid w:val="00B31437"/>
    <w:rsid w:val="00B3165E"/>
    <w:rsid w:val="00B317FE"/>
    <w:rsid w:val="00B318F8"/>
    <w:rsid w:val="00B3190D"/>
    <w:rsid w:val="00B3209D"/>
    <w:rsid w:val="00B320FE"/>
    <w:rsid w:val="00B33468"/>
    <w:rsid w:val="00B33491"/>
    <w:rsid w:val="00B33533"/>
    <w:rsid w:val="00B337F9"/>
    <w:rsid w:val="00B338C7"/>
    <w:rsid w:val="00B33B5D"/>
    <w:rsid w:val="00B34563"/>
    <w:rsid w:val="00B34619"/>
    <w:rsid w:val="00B34772"/>
    <w:rsid w:val="00B3486E"/>
    <w:rsid w:val="00B35260"/>
    <w:rsid w:val="00B352FF"/>
    <w:rsid w:val="00B35411"/>
    <w:rsid w:val="00B35560"/>
    <w:rsid w:val="00B35CCC"/>
    <w:rsid w:val="00B36344"/>
    <w:rsid w:val="00B36A43"/>
    <w:rsid w:val="00B36C26"/>
    <w:rsid w:val="00B37032"/>
    <w:rsid w:val="00B373B2"/>
    <w:rsid w:val="00B37D6E"/>
    <w:rsid w:val="00B37E92"/>
    <w:rsid w:val="00B40274"/>
    <w:rsid w:val="00B40419"/>
    <w:rsid w:val="00B4045B"/>
    <w:rsid w:val="00B4057F"/>
    <w:rsid w:val="00B407F2"/>
    <w:rsid w:val="00B40B71"/>
    <w:rsid w:val="00B4103D"/>
    <w:rsid w:val="00B4139A"/>
    <w:rsid w:val="00B41670"/>
    <w:rsid w:val="00B41AA7"/>
    <w:rsid w:val="00B41B5E"/>
    <w:rsid w:val="00B41C2C"/>
    <w:rsid w:val="00B42CF9"/>
    <w:rsid w:val="00B42E21"/>
    <w:rsid w:val="00B43488"/>
    <w:rsid w:val="00B436DD"/>
    <w:rsid w:val="00B4391F"/>
    <w:rsid w:val="00B443FF"/>
    <w:rsid w:val="00B4452E"/>
    <w:rsid w:val="00B44641"/>
    <w:rsid w:val="00B451BC"/>
    <w:rsid w:val="00B45B51"/>
    <w:rsid w:val="00B45BB4"/>
    <w:rsid w:val="00B45D20"/>
    <w:rsid w:val="00B46072"/>
    <w:rsid w:val="00B462B5"/>
    <w:rsid w:val="00B46842"/>
    <w:rsid w:val="00B468B7"/>
    <w:rsid w:val="00B47410"/>
    <w:rsid w:val="00B47A36"/>
    <w:rsid w:val="00B47DBC"/>
    <w:rsid w:val="00B47F18"/>
    <w:rsid w:val="00B50295"/>
    <w:rsid w:val="00B508AE"/>
    <w:rsid w:val="00B50968"/>
    <w:rsid w:val="00B50A11"/>
    <w:rsid w:val="00B50E51"/>
    <w:rsid w:val="00B516A8"/>
    <w:rsid w:val="00B5170F"/>
    <w:rsid w:val="00B51B26"/>
    <w:rsid w:val="00B51FB9"/>
    <w:rsid w:val="00B52577"/>
    <w:rsid w:val="00B5313B"/>
    <w:rsid w:val="00B53150"/>
    <w:rsid w:val="00B53A4A"/>
    <w:rsid w:val="00B53DB8"/>
    <w:rsid w:val="00B54478"/>
    <w:rsid w:val="00B55914"/>
    <w:rsid w:val="00B55BCB"/>
    <w:rsid w:val="00B566F3"/>
    <w:rsid w:val="00B574EB"/>
    <w:rsid w:val="00B5778D"/>
    <w:rsid w:val="00B57C02"/>
    <w:rsid w:val="00B608C5"/>
    <w:rsid w:val="00B60C1B"/>
    <w:rsid w:val="00B61443"/>
    <w:rsid w:val="00B614D7"/>
    <w:rsid w:val="00B616FE"/>
    <w:rsid w:val="00B61943"/>
    <w:rsid w:val="00B61D0D"/>
    <w:rsid w:val="00B620F7"/>
    <w:rsid w:val="00B62164"/>
    <w:rsid w:val="00B6268A"/>
    <w:rsid w:val="00B62935"/>
    <w:rsid w:val="00B62A53"/>
    <w:rsid w:val="00B634F1"/>
    <w:rsid w:val="00B6377F"/>
    <w:rsid w:val="00B63AE6"/>
    <w:rsid w:val="00B63CF1"/>
    <w:rsid w:val="00B63D60"/>
    <w:rsid w:val="00B640AA"/>
    <w:rsid w:val="00B647E9"/>
    <w:rsid w:val="00B64BB9"/>
    <w:rsid w:val="00B6520C"/>
    <w:rsid w:val="00B652A0"/>
    <w:rsid w:val="00B65CB3"/>
    <w:rsid w:val="00B65F31"/>
    <w:rsid w:val="00B663C2"/>
    <w:rsid w:val="00B665AB"/>
    <w:rsid w:val="00B66771"/>
    <w:rsid w:val="00B667EF"/>
    <w:rsid w:val="00B66803"/>
    <w:rsid w:val="00B6684E"/>
    <w:rsid w:val="00B66958"/>
    <w:rsid w:val="00B67124"/>
    <w:rsid w:val="00B67480"/>
    <w:rsid w:val="00B675FC"/>
    <w:rsid w:val="00B67E9C"/>
    <w:rsid w:val="00B707B8"/>
    <w:rsid w:val="00B70827"/>
    <w:rsid w:val="00B708AF"/>
    <w:rsid w:val="00B70908"/>
    <w:rsid w:val="00B70FCC"/>
    <w:rsid w:val="00B71136"/>
    <w:rsid w:val="00B711CA"/>
    <w:rsid w:val="00B71771"/>
    <w:rsid w:val="00B71B84"/>
    <w:rsid w:val="00B71F42"/>
    <w:rsid w:val="00B71F4E"/>
    <w:rsid w:val="00B721EA"/>
    <w:rsid w:val="00B723E1"/>
    <w:rsid w:val="00B72753"/>
    <w:rsid w:val="00B72994"/>
    <w:rsid w:val="00B72D4C"/>
    <w:rsid w:val="00B72EF9"/>
    <w:rsid w:val="00B731B6"/>
    <w:rsid w:val="00B7364B"/>
    <w:rsid w:val="00B7391F"/>
    <w:rsid w:val="00B73A5D"/>
    <w:rsid w:val="00B75038"/>
    <w:rsid w:val="00B7618D"/>
    <w:rsid w:val="00B76A3E"/>
    <w:rsid w:val="00B76D40"/>
    <w:rsid w:val="00B77270"/>
    <w:rsid w:val="00B775D1"/>
    <w:rsid w:val="00B77A0F"/>
    <w:rsid w:val="00B77BA1"/>
    <w:rsid w:val="00B77CC2"/>
    <w:rsid w:val="00B80274"/>
    <w:rsid w:val="00B80724"/>
    <w:rsid w:val="00B80AA2"/>
    <w:rsid w:val="00B81333"/>
    <w:rsid w:val="00B8195A"/>
    <w:rsid w:val="00B81B57"/>
    <w:rsid w:val="00B82310"/>
    <w:rsid w:val="00B82410"/>
    <w:rsid w:val="00B824D7"/>
    <w:rsid w:val="00B82655"/>
    <w:rsid w:val="00B82D44"/>
    <w:rsid w:val="00B82E7A"/>
    <w:rsid w:val="00B82F0D"/>
    <w:rsid w:val="00B83271"/>
    <w:rsid w:val="00B83686"/>
    <w:rsid w:val="00B8394E"/>
    <w:rsid w:val="00B840BA"/>
    <w:rsid w:val="00B85AE8"/>
    <w:rsid w:val="00B8610E"/>
    <w:rsid w:val="00B86A08"/>
    <w:rsid w:val="00B87E96"/>
    <w:rsid w:val="00B87FF4"/>
    <w:rsid w:val="00B902C2"/>
    <w:rsid w:val="00B90BEE"/>
    <w:rsid w:val="00B90C44"/>
    <w:rsid w:val="00B91449"/>
    <w:rsid w:val="00B91A4F"/>
    <w:rsid w:val="00B91AF6"/>
    <w:rsid w:val="00B91CF3"/>
    <w:rsid w:val="00B91D23"/>
    <w:rsid w:val="00B91FD3"/>
    <w:rsid w:val="00B92208"/>
    <w:rsid w:val="00B924A6"/>
    <w:rsid w:val="00B92796"/>
    <w:rsid w:val="00B928C7"/>
    <w:rsid w:val="00B929B6"/>
    <w:rsid w:val="00B930FA"/>
    <w:rsid w:val="00B938A8"/>
    <w:rsid w:val="00B93C6F"/>
    <w:rsid w:val="00B93EFF"/>
    <w:rsid w:val="00B944F8"/>
    <w:rsid w:val="00B946B0"/>
    <w:rsid w:val="00B94E08"/>
    <w:rsid w:val="00B957E6"/>
    <w:rsid w:val="00B959E7"/>
    <w:rsid w:val="00B95B86"/>
    <w:rsid w:val="00B963B1"/>
    <w:rsid w:val="00B96442"/>
    <w:rsid w:val="00B96657"/>
    <w:rsid w:val="00B96E19"/>
    <w:rsid w:val="00B975E4"/>
    <w:rsid w:val="00B97778"/>
    <w:rsid w:val="00B9790E"/>
    <w:rsid w:val="00B97DE3"/>
    <w:rsid w:val="00BA17B0"/>
    <w:rsid w:val="00BA1CDE"/>
    <w:rsid w:val="00BA2006"/>
    <w:rsid w:val="00BA29DF"/>
    <w:rsid w:val="00BA34D0"/>
    <w:rsid w:val="00BA3A44"/>
    <w:rsid w:val="00BA4877"/>
    <w:rsid w:val="00BA4891"/>
    <w:rsid w:val="00BA4FC9"/>
    <w:rsid w:val="00BA50EA"/>
    <w:rsid w:val="00BA5A02"/>
    <w:rsid w:val="00BA5D8E"/>
    <w:rsid w:val="00BA6989"/>
    <w:rsid w:val="00BA6DC5"/>
    <w:rsid w:val="00BA74D0"/>
    <w:rsid w:val="00BB0252"/>
    <w:rsid w:val="00BB1494"/>
    <w:rsid w:val="00BB1FA4"/>
    <w:rsid w:val="00BB2905"/>
    <w:rsid w:val="00BB2967"/>
    <w:rsid w:val="00BB2FB0"/>
    <w:rsid w:val="00BB3FDA"/>
    <w:rsid w:val="00BB555B"/>
    <w:rsid w:val="00BB56B1"/>
    <w:rsid w:val="00BB58B1"/>
    <w:rsid w:val="00BB5934"/>
    <w:rsid w:val="00BB5A00"/>
    <w:rsid w:val="00BB5A1B"/>
    <w:rsid w:val="00BB5F64"/>
    <w:rsid w:val="00BB600B"/>
    <w:rsid w:val="00BB6A30"/>
    <w:rsid w:val="00BB6F67"/>
    <w:rsid w:val="00BB7071"/>
    <w:rsid w:val="00BC04E4"/>
    <w:rsid w:val="00BC0A3E"/>
    <w:rsid w:val="00BC0A7F"/>
    <w:rsid w:val="00BC0C38"/>
    <w:rsid w:val="00BC0D36"/>
    <w:rsid w:val="00BC0E7E"/>
    <w:rsid w:val="00BC1260"/>
    <w:rsid w:val="00BC154F"/>
    <w:rsid w:val="00BC1746"/>
    <w:rsid w:val="00BC19F1"/>
    <w:rsid w:val="00BC1CC0"/>
    <w:rsid w:val="00BC1D63"/>
    <w:rsid w:val="00BC2067"/>
    <w:rsid w:val="00BC23E9"/>
    <w:rsid w:val="00BC24A3"/>
    <w:rsid w:val="00BC29B2"/>
    <w:rsid w:val="00BC3553"/>
    <w:rsid w:val="00BC365A"/>
    <w:rsid w:val="00BC38DA"/>
    <w:rsid w:val="00BC39AD"/>
    <w:rsid w:val="00BC3E10"/>
    <w:rsid w:val="00BC457D"/>
    <w:rsid w:val="00BC4860"/>
    <w:rsid w:val="00BC5030"/>
    <w:rsid w:val="00BC5100"/>
    <w:rsid w:val="00BC5426"/>
    <w:rsid w:val="00BC5570"/>
    <w:rsid w:val="00BC57D7"/>
    <w:rsid w:val="00BC593B"/>
    <w:rsid w:val="00BC5983"/>
    <w:rsid w:val="00BC5AB6"/>
    <w:rsid w:val="00BC64F4"/>
    <w:rsid w:val="00BC65A4"/>
    <w:rsid w:val="00BC6648"/>
    <w:rsid w:val="00BC6E52"/>
    <w:rsid w:val="00BC701C"/>
    <w:rsid w:val="00BC73F6"/>
    <w:rsid w:val="00BC7471"/>
    <w:rsid w:val="00BC76C6"/>
    <w:rsid w:val="00BC77B0"/>
    <w:rsid w:val="00BC7A0A"/>
    <w:rsid w:val="00BD0010"/>
    <w:rsid w:val="00BD0024"/>
    <w:rsid w:val="00BD01DD"/>
    <w:rsid w:val="00BD095F"/>
    <w:rsid w:val="00BD0A26"/>
    <w:rsid w:val="00BD0AC9"/>
    <w:rsid w:val="00BD0AD4"/>
    <w:rsid w:val="00BD0BC9"/>
    <w:rsid w:val="00BD0C33"/>
    <w:rsid w:val="00BD1146"/>
    <w:rsid w:val="00BD1335"/>
    <w:rsid w:val="00BD1897"/>
    <w:rsid w:val="00BD1B71"/>
    <w:rsid w:val="00BD1C4D"/>
    <w:rsid w:val="00BD1F91"/>
    <w:rsid w:val="00BD2141"/>
    <w:rsid w:val="00BD2194"/>
    <w:rsid w:val="00BD226D"/>
    <w:rsid w:val="00BD259D"/>
    <w:rsid w:val="00BD29BA"/>
    <w:rsid w:val="00BD2A82"/>
    <w:rsid w:val="00BD2C44"/>
    <w:rsid w:val="00BD2CBA"/>
    <w:rsid w:val="00BD2FAE"/>
    <w:rsid w:val="00BD3B99"/>
    <w:rsid w:val="00BD422E"/>
    <w:rsid w:val="00BD4542"/>
    <w:rsid w:val="00BD4ACE"/>
    <w:rsid w:val="00BD52E7"/>
    <w:rsid w:val="00BD57CB"/>
    <w:rsid w:val="00BD6859"/>
    <w:rsid w:val="00BD6B0F"/>
    <w:rsid w:val="00BD6DAA"/>
    <w:rsid w:val="00BD7B53"/>
    <w:rsid w:val="00BE0D97"/>
    <w:rsid w:val="00BE0DED"/>
    <w:rsid w:val="00BE1507"/>
    <w:rsid w:val="00BE1BB8"/>
    <w:rsid w:val="00BE1E18"/>
    <w:rsid w:val="00BE244B"/>
    <w:rsid w:val="00BE2AF6"/>
    <w:rsid w:val="00BE3849"/>
    <w:rsid w:val="00BE4576"/>
    <w:rsid w:val="00BE4595"/>
    <w:rsid w:val="00BE4833"/>
    <w:rsid w:val="00BE496C"/>
    <w:rsid w:val="00BE4C33"/>
    <w:rsid w:val="00BE5079"/>
    <w:rsid w:val="00BE5ADA"/>
    <w:rsid w:val="00BE5CA2"/>
    <w:rsid w:val="00BE5D10"/>
    <w:rsid w:val="00BE6578"/>
    <w:rsid w:val="00BE681D"/>
    <w:rsid w:val="00BE69E7"/>
    <w:rsid w:val="00BE6AB5"/>
    <w:rsid w:val="00BE6EC6"/>
    <w:rsid w:val="00BE7166"/>
    <w:rsid w:val="00BE716B"/>
    <w:rsid w:val="00BE7A5D"/>
    <w:rsid w:val="00BE7E6E"/>
    <w:rsid w:val="00BF0267"/>
    <w:rsid w:val="00BF0737"/>
    <w:rsid w:val="00BF095D"/>
    <w:rsid w:val="00BF0BD6"/>
    <w:rsid w:val="00BF0DEC"/>
    <w:rsid w:val="00BF19F4"/>
    <w:rsid w:val="00BF1C2F"/>
    <w:rsid w:val="00BF1DF0"/>
    <w:rsid w:val="00BF1E6D"/>
    <w:rsid w:val="00BF25D5"/>
    <w:rsid w:val="00BF29C3"/>
    <w:rsid w:val="00BF2A71"/>
    <w:rsid w:val="00BF2B83"/>
    <w:rsid w:val="00BF2F34"/>
    <w:rsid w:val="00BF33E4"/>
    <w:rsid w:val="00BF3A0B"/>
    <w:rsid w:val="00BF3B6F"/>
    <w:rsid w:val="00BF45C8"/>
    <w:rsid w:val="00BF4646"/>
    <w:rsid w:val="00BF4DA7"/>
    <w:rsid w:val="00BF6177"/>
    <w:rsid w:val="00BF66D3"/>
    <w:rsid w:val="00BF70BB"/>
    <w:rsid w:val="00BF72F7"/>
    <w:rsid w:val="00BF7A8E"/>
    <w:rsid w:val="00C00F98"/>
    <w:rsid w:val="00C01070"/>
    <w:rsid w:val="00C01146"/>
    <w:rsid w:val="00C01291"/>
    <w:rsid w:val="00C014F1"/>
    <w:rsid w:val="00C016D8"/>
    <w:rsid w:val="00C01E03"/>
    <w:rsid w:val="00C01E2E"/>
    <w:rsid w:val="00C027F7"/>
    <w:rsid w:val="00C0286B"/>
    <w:rsid w:val="00C02FD2"/>
    <w:rsid w:val="00C0345E"/>
    <w:rsid w:val="00C03469"/>
    <w:rsid w:val="00C03AE4"/>
    <w:rsid w:val="00C03BC7"/>
    <w:rsid w:val="00C040A8"/>
    <w:rsid w:val="00C044FC"/>
    <w:rsid w:val="00C04739"/>
    <w:rsid w:val="00C04A3C"/>
    <w:rsid w:val="00C04B37"/>
    <w:rsid w:val="00C04DA9"/>
    <w:rsid w:val="00C0522E"/>
    <w:rsid w:val="00C052E7"/>
    <w:rsid w:val="00C053B5"/>
    <w:rsid w:val="00C05E90"/>
    <w:rsid w:val="00C05F29"/>
    <w:rsid w:val="00C06AEE"/>
    <w:rsid w:val="00C06B15"/>
    <w:rsid w:val="00C0704F"/>
    <w:rsid w:val="00C07850"/>
    <w:rsid w:val="00C102C0"/>
    <w:rsid w:val="00C10572"/>
    <w:rsid w:val="00C106DF"/>
    <w:rsid w:val="00C109AF"/>
    <w:rsid w:val="00C10C69"/>
    <w:rsid w:val="00C10DE5"/>
    <w:rsid w:val="00C10EE0"/>
    <w:rsid w:val="00C110E0"/>
    <w:rsid w:val="00C11B67"/>
    <w:rsid w:val="00C11C2E"/>
    <w:rsid w:val="00C11DB5"/>
    <w:rsid w:val="00C121D2"/>
    <w:rsid w:val="00C12556"/>
    <w:rsid w:val="00C126A5"/>
    <w:rsid w:val="00C12B21"/>
    <w:rsid w:val="00C136D7"/>
    <w:rsid w:val="00C136F6"/>
    <w:rsid w:val="00C13827"/>
    <w:rsid w:val="00C14355"/>
    <w:rsid w:val="00C14779"/>
    <w:rsid w:val="00C154F9"/>
    <w:rsid w:val="00C15717"/>
    <w:rsid w:val="00C159E6"/>
    <w:rsid w:val="00C15E84"/>
    <w:rsid w:val="00C1688D"/>
    <w:rsid w:val="00C16D69"/>
    <w:rsid w:val="00C17280"/>
    <w:rsid w:val="00C1738E"/>
    <w:rsid w:val="00C1754B"/>
    <w:rsid w:val="00C176A6"/>
    <w:rsid w:val="00C17B4F"/>
    <w:rsid w:val="00C17F3C"/>
    <w:rsid w:val="00C2084C"/>
    <w:rsid w:val="00C20B6E"/>
    <w:rsid w:val="00C21596"/>
    <w:rsid w:val="00C215BB"/>
    <w:rsid w:val="00C215DB"/>
    <w:rsid w:val="00C21AA0"/>
    <w:rsid w:val="00C21DCB"/>
    <w:rsid w:val="00C21E32"/>
    <w:rsid w:val="00C22660"/>
    <w:rsid w:val="00C228F8"/>
    <w:rsid w:val="00C22ACC"/>
    <w:rsid w:val="00C22DDD"/>
    <w:rsid w:val="00C22F09"/>
    <w:rsid w:val="00C23113"/>
    <w:rsid w:val="00C23270"/>
    <w:rsid w:val="00C234A6"/>
    <w:rsid w:val="00C23A0A"/>
    <w:rsid w:val="00C241C9"/>
    <w:rsid w:val="00C242FF"/>
    <w:rsid w:val="00C243A9"/>
    <w:rsid w:val="00C245BB"/>
    <w:rsid w:val="00C246BB"/>
    <w:rsid w:val="00C24B4E"/>
    <w:rsid w:val="00C250DE"/>
    <w:rsid w:val="00C2523F"/>
    <w:rsid w:val="00C255AC"/>
    <w:rsid w:val="00C257C7"/>
    <w:rsid w:val="00C2596A"/>
    <w:rsid w:val="00C25EFC"/>
    <w:rsid w:val="00C26070"/>
    <w:rsid w:val="00C26258"/>
    <w:rsid w:val="00C273C6"/>
    <w:rsid w:val="00C279F8"/>
    <w:rsid w:val="00C27F55"/>
    <w:rsid w:val="00C3016D"/>
    <w:rsid w:val="00C303D7"/>
    <w:rsid w:val="00C30586"/>
    <w:rsid w:val="00C305D7"/>
    <w:rsid w:val="00C30778"/>
    <w:rsid w:val="00C3077B"/>
    <w:rsid w:val="00C3103E"/>
    <w:rsid w:val="00C313BB"/>
    <w:rsid w:val="00C313F5"/>
    <w:rsid w:val="00C32856"/>
    <w:rsid w:val="00C329F0"/>
    <w:rsid w:val="00C32ABA"/>
    <w:rsid w:val="00C3308D"/>
    <w:rsid w:val="00C33601"/>
    <w:rsid w:val="00C33810"/>
    <w:rsid w:val="00C33861"/>
    <w:rsid w:val="00C33CB1"/>
    <w:rsid w:val="00C347AE"/>
    <w:rsid w:val="00C34B88"/>
    <w:rsid w:val="00C34CB3"/>
    <w:rsid w:val="00C34D5E"/>
    <w:rsid w:val="00C350B2"/>
    <w:rsid w:val="00C35325"/>
    <w:rsid w:val="00C353CF"/>
    <w:rsid w:val="00C35B22"/>
    <w:rsid w:val="00C35C9E"/>
    <w:rsid w:val="00C35CE9"/>
    <w:rsid w:val="00C35D62"/>
    <w:rsid w:val="00C36032"/>
    <w:rsid w:val="00C361B2"/>
    <w:rsid w:val="00C361E8"/>
    <w:rsid w:val="00C362BB"/>
    <w:rsid w:val="00C36605"/>
    <w:rsid w:val="00C366B6"/>
    <w:rsid w:val="00C36A1D"/>
    <w:rsid w:val="00C36D7C"/>
    <w:rsid w:val="00C3728E"/>
    <w:rsid w:val="00C3732A"/>
    <w:rsid w:val="00C376F0"/>
    <w:rsid w:val="00C37EDC"/>
    <w:rsid w:val="00C408C7"/>
    <w:rsid w:val="00C4185C"/>
    <w:rsid w:val="00C41FF4"/>
    <w:rsid w:val="00C42372"/>
    <w:rsid w:val="00C42A75"/>
    <w:rsid w:val="00C42D8E"/>
    <w:rsid w:val="00C42FF8"/>
    <w:rsid w:val="00C441F1"/>
    <w:rsid w:val="00C4444E"/>
    <w:rsid w:val="00C444A7"/>
    <w:rsid w:val="00C44542"/>
    <w:rsid w:val="00C44927"/>
    <w:rsid w:val="00C44D2F"/>
    <w:rsid w:val="00C44EBB"/>
    <w:rsid w:val="00C4507F"/>
    <w:rsid w:val="00C455FE"/>
    <w:rsid w:val="00C45850"/>
    <w:rsid w:val="00C45A56"/>
    <w:rsid w:val="00C45CF2"/>
    <w:rsid w:val="00C462F1"/>
    <w:rsid w:val="00C46418"/>
    <w:rsid w:val="00C4654C"/>
    <w:rsid w:val="00C466A8"/>
    <w:rsid w:val="00C46D70"/>
    <w:rsid w:val="00C47207"/>
    <w:rsid w:val="00C504CC"/>
    <w:rsid w:val="00C5086F"/>
    <w:rsid w:val="00C50A8C"/>
    <w:rsid w:val="00C50C94"/>
    <w:rsid w:val="00C50ECD"/>
    <w:rsid w:val="00C51191"/>
    <w:rsid w:val="00C51547"/>
    <w:rsid w:val="00C525C6"/>
    <w:rsid w:val="00C5277C"/>
    <w:rsid w:val="00C527AD"/>
    <w:rsid w:val="00C52B24"/>
    <w:rsid w:val="00C52B50"/>
    <w:rsid w:val="00C52D49"/>
    <w:rsid w:val="00C52D6C"/>
    <w:rsid w:val="00C542AF"/>
    <w:rsid w:val="00C542E0"/>
    <w:rsid w:val="00C54306"/>
    <w:rsid w:val="00C552FF"/>
    <w:rsid w:val="00C55B69"/>
    <w:rsid w:val="00C55D77"/>
    <w:rsid w:val="00C55DE5"/>
    <w:rsid w:val="00C56141"/>
    <w:rsid w:val="00C56A45"/>
    <w:rsid w:val="00C57D7C"/>
    <w:rsid w:val="00C60049"/>
    <w:rsid w:val="00C60140"/>
    <w:rsid w:val="00C6019F"/>
    <w:rsid w:val="00C6024D"/>
    <w:rsid w:val="00C603A1"/>
    <w:rsid w:val="00C6061A"/>
    <w:rsid w:val="00C60A08"/>
    <w:rsid w:val="00C60C86"/>
    <w:rsid w:val="00C6170A"/>
    <w:rsid w:val="00C61C02"/>
    <w:rsid w:val="00C61C43"/>
    <w:rsid w:val="00C625F3"/>
    <w:rsid w:val="00C62C58"/>
    <w:rsid w:val="00C62CF4"/>
    <w:rsid w:val="00C63042"/>
    <w:rsid w:val="00C63441"/>
    <w:rsid w:val="00C638F4"/>
    <w:rsid w:val="00C63A6D"/>
    <w:rsid w:val="00C640AF"/>
    <w:rsid w:val="00C6421C"/>
    <w:rsid w:val="00C6431A"/>
    <w:rsid w:val="00C64995"/>
    <w:rsid w:val="00C64A06"/>
    <w:rsid w:val="00C64AFC"/>
    <w:rsid w:val="00C65FDD"/>
    <w:rsid w:val="00C6606D"/>
    <w:rsid w:val="00C6625D"/>
    <w:rsid w:val="00C66A60"/>
    <w:rsid w:val="00C66A90"/>
    <w:rsid w:val="00C66AAD"/>
    <w:rsid w:val="00C66B01"/>
    <w:rsid w:val="00C66E61"/>
    <w:rsid w:val="00C679B3"/>
    <w:rsid w:val="00C679CF"/>
    <w:rsid w:val="00C67D2A"/>
    <w:rsid w:val="00C7011F"/>
    <w:rsid w:val="00C70448"/>
    <w:rsid w:val="00C70907"/>
    <w:rsid w:val="00C70A67"/>
    <w:rsid w:val="00C71886"/>
    <w:rsid w:val="00C71AAD"/>
    <w:rsid w:val="00C71DA5"/>
    <w:rsid w:val="00C71DE8"/>
    <w:rsid w:val="00C71F38"/>
    <w:rsid w:val="00C7289A"/>
    <w:rsid w:val="00C72929"/>
    <w:rsid w:val="00C73100"/>
    <w:rsid w:val="00C73309"/>
    <w:rsid w:val="00C73B12"/>
    <w:rsid w:val="00C74354"/>
    <w:rsid w:val="00C74A82"/>
    <w:rsid w:val="00C752B5"/>
    <w:rsid w:val="00C7568A"/>
    <w:rsid w:val="00C758A8"/>
    <w:rsid w:val="00C772C2"/>
    <w:rsid w:val="00C776FD"/>
    <w:rsid w:val="00C77930"/>
    <w:rsid w:val="00C77B72"/>
    <w:rsid w:val="00C77BEC"/>
    <w:rsid w:val="00C801A0"/>
    <w:rsid w:val="00C804C5"/>
    <w:rsid w:val="00C804F4"/>
    <w:rsid w:val="00C8197F"/>
    <w:rsid w:val="00C81ECF"/>
    <w:rsid w:val="00C81FF7"/>
    <w:rsid w:val="00C82374"/>
    <w:rsid w:val="00C825CC"/>
    <w:rsid w:val="00C82D69"/>
    <w:rsid w:val="00C83199"/>
    <w:rsid w:val="00C837BA"/>
    <w:rsid w:val="00C83FF2"/>
    <w:rsid w:val="00C8458E"/>
    <w:rsid w:val="00C84DAB"/>
    <w:rsid w:val="00C8542F"/>
    <w:rsid w:val="00C85683"/>
    <w:rsid w:val="00C85F39"/>
    <w:rsid w:val="00C87067"/>
    <w:rsid w:val="00C87587"/>
    <w:rsid w:val="00C877F8"/>
    <w:rsid w:val="00C87E51"/>
    <w:rsid w:val="00C87EAE"/>
    <w:rsid w:val="00C90529"/>
    <w:rsid w:val="00C9096D"/>
    <w:rsid w:val="00C91027"/>
    <w:rsid w:val="00C9117B"/>
    <w:rsid w:val="00C91737"/>
    <w:rsid w:val="00C91BFC"/>
    <w:rsid w:val="00C91F51"/>
    <w:rsid w:val="00C926FC"/>
    <w:rsid w:val="00C92DFF"/>
    <w:rsid w:val="00C92FB9"/>
    <w:rsid w:val="00C931DD"/>
    <w:rsid w:val="00C9323B"/>
    <w:rsid w:val="00C93AE6"/>
    <w:rsid w:val="00C93FE1"/>
    <w:rsid w:val="00C946CB"/>
    <w:rsid w:val="00C95213"/>
    <w:rsid w:val="00C957E0"/>
    <w:rsid w:val="00C95877"/>
    <w:rsid w:val="00C964DC"/>
    <w:rsid w:val="00C973C7"/>
    <w:rsid w:val="00CA04BD"/>
    <w:rsid w:val="00CA072F"/>
    <w:rsid w:val="00CA0A8C"/>
    <w:rsid w:val="00CA0ADA"/>
    <w:rsid w:val="00CA15F3"/>
    <w:rsid w:val="00CA1655"/>
    <w:rsid w:val="00CA174B"/>
    <w:rsid w:val="00CA1A80"/>
    <w:rsid w:val="00CA1D3B"/>
    <w:rsid w:val="00CA1D86"/>
    <w:rsid w:val="00CA1F21"/>
    <w:rsid w:val="00CA2282"/>
    <w:rsid w:val="00CA25ED"/>
    <w:rsid w:val="00CA28D7"/>
    <w:rsid w:val="00CA2CCE"/>
    <w:rsid w:val="00CA3072"/>
    <w:rsid w:val="00CA4F9C"/>
    <w:rsid w:val="00CA54D3"/>
    <w:rsid w:val="00CA56BA"/>
    <w:rsid w:val="00CA56F0"/>
    <w:rsid w:val="00CA5AD6"/>
    <w:rsid w:val="00CA5E3C"/>
    <w:rsid w:val="00CA5EAB"/>
    <w:rsid w:val="00CA62B5"/>
    <w:rsid w:val="00CA62BE"/>
    <w:rsid w:val="00CA643A"/>
    <w:rsid w:val="00CA6A98"/>
    <w:rsid w:val="00CA6B70"/>
    <w:rsid w:val="00CA778E"/>
    <w:rsid w:val="00CA7F31"/>
    <w:rsid w:val="00CB0B8B"/>
    <w:rsid w:val="00CB14D2"/>
    <w:rsid w:val="00CB1F20"/>
    <w:rsid w:val="00CB22B5"/>
    <w:rsid w:val="00CB24E4"/>
    <w:rsid w:val="00CB2786"/>
    <w:rsid w:val="00CB39FA"/>
    <w:rsid w:val="00CB39FB"/>
    <w:rsid w:val="00CB3DE7"/>
    <w:rsid w:val="00CB40A2"/>
    <w:rsid w:val="00CB44F6"/>
    <w:rsid w:val="00CB4573"/>
    <w:rsid w:val="00CB47F6"/>
    <w:rsid w:val="00CB56BD"/>
    <w:rsid w:val="00CB5939"/>
    <w:rsid w:val="00CB69AF"/>
    <w:rsid w:val="00CB6A1F"/>
    <w:rsid w:val="00CB6D49"/>
    <w:rsid w:val="00CB75B0"/>
    <w:rsid w:val="00CB76F3"/>
    <w:rsid w:val="00CB77A1"/>
    <w:rsid w:val="00CB7996"/>
    <w:rsid w:val="00CB7B1D"/>
    <w:rsid w:val="00CB7E13"/>
    <w:rsid w:val="00CC120A"/>
    <w:rsid w:val="00CC1997"/>
    <w:rsid w:val="00CC1D67"/>
    <w:rsid w:val="00CC239B"/>
    <w:rsid w:val="00CC28F8"/>
    <w:rsid w:val="00CC2B18"/>
    <w:rsid w:val="00CC2B3D"/>
    <w:rsid w:val="00CC2C65"/>
    <w:rsid w:val="00CC317F"/>
    <w:rsid w:val="00CC3251"/>
    <w:rsid w:val="00CC388B"/>
    <w:rsid w:val="00CC3C04"/>
    <w:rsid w:val="00CC47C4"/>
    <w:rsid w:val="00CC4E79"/>
    <w:rsid w:val="00CC5366"/>
    <w:rsid w:val="00CC5749"/>
    <w:rsid w:val="00CC5C39"/>
    <w:rsid w:val="00CC5D17"/>
    <w:rsid w:val="00CC6052"/>
    <w:rsid w:val="00CC66A6"/>
    <w:rsid w:val="00CC75B0"/>
    <w:rsid w:val="00CC7C88"/>
    <w:rsid w:val="00CD049E"/>
    <w:rsid w:val="00CD04B1"/>
    <w:rsid w:val="00CD0899"/>
    <w:rsid w:val="00CD09B2"/>
    <w:rsid w:val="00CD0D92"/>
    <w:rsid w:val="00CD1864"/>
    <w:rsid w:val="00CD196B"/>
    <w:rsid w:val="00CD2582"/>
    <w:rsid w:val="00CD3151"/>
    <w:rsid w:val="00CD379A"/>
    <w:rsid w:val="00CD38B5"/>
    <w:rsid w:val="00CD4608"/>
    <w:rsid w:val="00CD5348"/>
    <w:rsid w:val="00CD5542"/>
    <w:rsid w:val="00CD559C"/>
    <w:rsid w:val="00CD6415"/>
    <w:rsid w:val="00CD6767"/>
    <w:rsid w:val="00CD758F"/>
    <w:rsid w:val="00CE0119"/>
    <w:rsid w:val="00CE0700"/>
    <w:rsid w:val="00CE0811"/>
    <w:rsid w:val="00CE168B"/>
    <w:rsid w:val="00CE1735"/>
    <w:rsid w:val="00CE1AA7"/>
    <w:rsid w:val="00CE1C8E"/>
    <w:rsid w:val="00CE1CE2"/>
    <w:rsid w:val="00CE2280"/>
    <w:rsid w:val="00CE241B"/>
    <w:rsid w:val="00CE30DB"/>
    <w:rsid w:val="00CE3E63"/>
    <w:rsid w:val="00CE4C95"/>
    <w:rsid w:val="00CE4D8D"/>
    <w:rsid w:val="00CE5106"/>
    <w:rsid w:val="00CE57F7"/>
    <w:rsid w:val="00CE5A33"/>
    <w:rsid w:val="00CE5DD0"/>
    <w:rsid w:val="00CE6333"/>
    <w:rsid w:val="00CE6A1E"/>
    <w:rsid w:val="00CE6D1B"/>
    <w:rsid w:val="00CE723F"/>
    <w:rsid w:val="00CE74B9"/>
    <w:rsid w:val="00CE78C5"/>
    <w:rsid w:val="00CE7F5F"/>
    <w:rsid w:val="00CF0256"/>
    <w:rsid w:val="00CF08E6"/>
    <w:rsid w:val="00CF0966"/>
    <w:rsid w:val="00CF0C3F"/>
    <w:rsid w:val="00CF11E7"/>
    <w:rsid w:val="00CF44BC"/>
    <w:rsid w:val="00CF4827"/>
    <w:rsid w:val="00CF4B28"/>
    <w:rsid w:val="00CF4C90"/>
    <w:rsid w:val="00CF53A7"/>
    <w:rsid w:val="00CF5949"/>
    <w:rsid w:val="00CF6424"/>
    <w:rsid w:val="00CF6920"/>
    <w:rsid w:val="00CF706A"/>
    <w:rsid w:val="00CF7A08"/>
    <w:rsid w:val="00CF7C94"/>
    <w:rsid w:val="00D00766"/>
    <w:rsid w:val="00D00BA2"/>
    <w:rsid w:val="00D00C38"/>
    <w:rsid w:val="00D019D7"/>
    <w:rsid w:val="00D027C4"/>
    <w:rsid w:val="00D02D80"/>
    <w:rsid w:val="00D033CD"/>
    <w:rsid w:val="00D04ACF"/>
    <w:rsid w:val="00D04C68"/>
    <w:rsid w:val="00D04F30"/>
    <w:rsid w:val="00D05687"/>
    <w:rsid w:val="00D058F4"/>
    <w:rsid w:val="00D05B56"/>
    <w:rsid w:val="00D07201"/>
    <w:rsid w:val="00D0736E"/>
    <w:rsid w:val="00D07BFC"/>
    <w:rsid w:val="00D103B2"/>
    <w:rsid w:val="00D103FE"/>
    <w:rsid w:val="00D106E8"/>
    <w:rsid w:val="00D10D28"/>
    <w:rsid w:val="00D10DCD"/>
    <w:rsid w:val="00D135C7"/>
    <w:rsid w:val="00D148D4"/>
    <w:rsid w:val="00D148DD"/>
    <w:rsid w:val="00D14BA2"/>
    <w:rsid w:val="00D15114"/>
    <w:rsid w:val="00D151CD"/>
    <w:rsid w:val="00D155B3"/>
    <w:rsid w:val="00D15B33"/>
    <w:rsid w:val="00D1691D"/>
    <w:rsid w:val="00D16B59"/>
    <w:rsid w:val="00D16D62"/>
    <w:rsid w:val="00D17315"/>
    <w:rsid w:val="00D173D1"/>
    <w:rsid w:val="00D204D2"/>
    <w:rsid w:val="00D20767"/>
    <w:rsid w:val="00D20EDE"/>
    <w:rsid w:val="00D20F12"/>
    <w:rsid w:val="00D2153D"/>
    <w:rsid w:val="00D216A3"/>
    <w:rsid w:val="00D2238B"/>
    <w:rsid w:val="00D249D3"/>
    <w:rsid w:val="00D24A95"/>
    <w:rsid w:val="00D24DBA"/>
    <w:rsid w:val="00D256BB"/>
    <w:rsid w:val="00D25E93"/>
    <w:rsid w:val="00D26559"/>
    <w:rsid w:val="00D26F33"/>
    <w:rsid w:val="00D27303"/>
    <w:rsid w:val="00D2757F"/>
    <w:rsid w:val="00D2759A"/>
    <w:rsid w:val="00D277A8"/>
    <w:rsid w:val="00D27A64"/>
    <w:rsid w:val="00D27BA5"/>
    <w:rsid w:val="00D301FE"/>
    <w:rsid w:val="00D30279"/>
    <w:rsid w:val="00D30654"/>
    <w:rsid w:val="00D30868"/>
    <w:rsid w:val="00D30E0E"/>
    <w:rsid w:val="00D31097"/>
    <w:rsid w:val="00D315D5"/>
    <w:rsid w:val="00D318E5"/>
    <w:rsid w:val="00D31BF5"/>
    <w:rsid w:val="00D31D88"/>
    <w:rsid w:val="00D31EE2"/>
    <w:rsid w:val="00D3243E"/>
    <w:rsid w:val="00D3265A"/>
    <w:rsid w:val="00D32BBE"/>
    <w:rsid w:val="00D32E24"/>
    <w:rsid w:val="00D3328C"/>
    <w:rsid w:val="00D3383B"/>
    <w:rsid w:val="00D33870"/>
    <w:rsid w:val="00D33D1B"/>
    <w:rsid w:val="00D33F45"/>
    <w:rsid w:val="00D33FF8"/>
    <w:rsid w:val="00D34092"/>
    <w:rsid w:val="00D340F3"/>
    <w:rsid w:val="00D34684"/>
    <w:rsid w:val="00D34BF7"/>
    <w:rsid w:val="00D35484"/>
    <w:rsid w:val="00D3553F"/>
    <w:rsid w:val="00D35A36"/>
    <w:rsid w:val="00D35B93"/>
    <w:rsid w:val="00D35C12"/>
    <w:rsid w:val="00D35F2A"/>
    <w:rsid w:val="00D37247"/>
    <w:rsid w:val="00D3724C"/>
    <w:rsid w:val="00D372B2"/>
    <w:rsid w:val="00D3768E"/>
    <w:rsid w:val="00D37ADE"/>
    <w:rsid w:val="00D37F29"/>
    <w:rsid w:val="00D4016D"/>
    <w:rsid w:val="00D40287"/>
    <w:rsid w:val="00D402E0"/>
    <w:rsid w:val="00D402F4"/>
    <w:rsid w:val="00D40439"/>
    <w:rsid w:val="00D40953"/>
    <w:rsid w:val="00D40C56"/>
    <w:rsid w:val="00D4107B"/>
    <w:rsid w:val="00D41638"/>
    <w:rsid w:val="00D417DD"/>
    <w:rsid w:val="00D41BB8"/>
    <w:rsid w:val="00D41CD5"/>
    <w:rsid w:val="00D41D27"/>
    <w:rsid w:val="00D41F92"/>
    <w:rsid w:val="00D41FFA"/>
    <w:rsid w:val="00D4201D"/>
    <w:rsid w:val="00D42299"/>
    <w:rsid w:val="00D42F21"/>
    <w:rsid w:val="00D42F9A"/>
    <w:rsid w:val="00D43035"/>
    <w:rsid w:val="00D44D26"/>
    <w:rsid w:val="00D44DC8"/>
    <w:rsid w:val="00D44FF3"/>
    <w:rsid w:val="00D454C8"/>
    <w:rsid w:val="00D458C6"/>
    <w:rsid w:val="00D45AA9"/>
    <w:rsid w:val="00D467EE"/>
    <w:rsid w:val="00D47162"/>
    <w:rsid w:val="00D4786D"/>
    <w:rsid w:val="00D47CC0"/>
    <w:rsid w:val="00D50169"/>
    <w:rsid w:val="00D5028F"/>
    <w:rsid w:val="00D503D6"/>
    <w:rsid w:val="00D50503"/>
    <w:rsid w:val="00D50D7C"/>
    <w:rsid w:val="00D51473"/>
    <w:rsid w:val="00D51FB4"/>
    <w:rsid w:val="00D52419"/>
    <w:rsid w:val="00D52C8E"/>
    <w:rsid w:val="00D52DD5"/>
    <w:rsid w:val="00D53099"/>
    <w:rsid w:val="00D5336D"/>
    <w:rsid w:val="00D53728"/>
    <w:rsid w:val="00D53991"/>
    <w:rsid w:val="00D54354"/>
    <w:rsid w:val="00D54740"/>
    <w:rsid w:val="00D550C5"/>
    <w:rsid w:val="00D554DB"/>
    <w:rsid w:val="00D5679C"/>
    <w:rsid w:val="00D56A92"/>
    <w:rsid w:val="00D56E9F"/>
    <w:rsid w:val="00D573C6"/>
    <w:rsid w:val="00D574F4"/>
    <w:rsid w:val="00D57BD7"/>
    <w:rsid w:val="00D6025B"/>
    <w:rsid w:val="00D605A5"/>
    <w:rsid w:val="00D607AF"/>
    <w:rsid w:val="00D61026"/>
    <w:rsid w:val="00D61396"/>
    <w:rsid w:val="00D616DC"/>
    <w:rsid w:val="00D6177F"/>
    <w:rsid w:val="00D61B1A"/>
    <w:rsid w:val="00D61D29"/>
    <w:rsid w:val="00D61D72"/>
    <w:rsid w:val="00D6228A"/>
    <w:rsid w:val="00D62855"/>
    <w:rsid w:val="00D63C86"/>
    <w:rsid w:val="00D6445C"/>
    <w:rsid w:val="00D64858"/>
    <w:rsid w:val="00D6485C"/>
    <w:rsid w:val="00D65114"/>
    <w:rsid w:val="00D65478"/>
    <w:rsid w:val="00D65E29"/>
    <w:rsid w:val="00D66556"/>
    <w:rsid w:val="00D67379"/>
    <w:rsid w:val="00D679C1"/>
    <w:rsid w:val="00D67BDB"/>
    <w:rsid w:val="00D7001B"/>
    <w:rsid w:val="00D700FB"/>
    <w:rsid w:val="00D70695"/>
    <w:rsid w:val="00D70759"/>
    <w:rsid w:val="00D70802"/>
    <w:rsid w:val="00D7084C"/>
    <w:rsid w:val="00D70A5E"/>
    <w:rsid w:val="00D70EE6"/>
    <w:rsid w:val="00D70F08"/>
    <w:rsid w:val="00D7105A"/>
    <w:rsid w:val="00D716B6"/>
    <w:rsid w:val="00D71850"/>
    <w:rsid w:val="00D71F67"/>
    <w:rsid w:val="00D720AA"/>
    <w:rsid w:val="00D726F2"/>
    <w:rsid w:val="00D727C5"/>
    <w:rsid w:val="00D728E2"/>
    <w:rsid w:val="00D73DB3"/>
    <w:rsid w:val="00D74601"/>
    <w:rsid w:val="00D74730"/>
    <w:rsid w:val="00D7525D"/>
    <w:rsid w:val="00D756F4"/>
    <w:rsid w:val="00D75A86"/>
    <w:rsid w:val="00D75CED"/>
    <w:rsid w:val="00D76357"/>
    <w:rsid w:val="00D766F6"/>
    <w:rsid w:val="00D771F9"/>
    <w:rsid w:val="00D775D8"/>
    <w:rsid w:val="00D77BB6"/>
    <w:rsid w:val="00D77DD6"/>
    <w:rsid w:val="00D80A98"/>
    <w:rsid w:val="00D80A99"/>
    <w:rsid w:val="00D80EDA"/>
    <w:rsid w:val="00D8132F"/>
    <w:rsid w:val="00D8240F"/>
    <w:rsid w:val="00D82798"/>
    <w:rsid w:val="00D82A7C"/>
    <w:rsid w:val="00D83347"/>
    <w:rsid w:val="00D84544"/>
    <w:rsid w:val="00D84C32"/>
    <w:rsid w:val="00D84CF1"/>
    <w:rsid w:val="00D84E39"/>
    <w:rsid w:val="00D85A4A"/>
    <w:rsid w:val="00D86B75"/>
    <w:rsid w:val="00D8730F"/>
    <w:rsid w:val="00D87CAA"/>
    <w:rsid w:val="00D90565"/>
    <w:rsid w:val="00D90A44"/>
    <w:rsid w:val="00D91A26"/>
    <w:rsid w:val="00D92D43"/>
    <w:rsid w:val="00D92F0D"/>
    <w:rsid w:val="00D9380E"/>
    <w:rsid w:val="00D93C8D"/>
    <w:rsid w:val="00D94296"/>
    <w:rsid w:val="00D9431D"/>
    <w:rsid w:val="00D959E3"/>
    <w:rsid w:val="00D95D8D"/>
    <w:rsid w:val="00D96375"/>
    <w:rsid w:val="00D9681B"/>
    <w:rsid w:val="00D96A49"/>
    <w:rsid w:val="00D97123"/>
    <w:rsid w:val="00D97B66"/>
    <w:rsid w:val="00D97B77"/>
    <w:rsid w:val="00D97D15"/>
    <w:rsid w:val="00DA031C"/>
    <w:rsid w:val="00DA0FA4"/>
    <w:rsid w:val="00DA1475"/>
    <w:rsid w:val="00DA1996"/>
    <w:rsid w:val="00DA19FC"/>
    <w:rsid w:val="00DA1B6A"/>
    <w:rsid w:val="00DA1D6E"/>
    <w:rsid w:val="00DA213C"/>
    <w:rsid w:val="00DA26BE"/>
    <w:rsid w:val="00DA2B7C"/>
    <w:rsid w:val="00DA2C6E"/>
    <w:rsid w:val="00DA2D35"/>
    <w:rsid w:val="00DA2D63"/>
    <w:rsid w:val="00DA31B2"/>
    <w:rsid w:val="00DA383F"/>
    <w:rsid w:val="00DA3977"/>
    <w:rsid w:val="00DA3A55"/>
    <w:rsid w:val="00DA3CBA"/>
    <w:rsid w:val="00DA3DAD"/>
    <w:rsid w:val="00DA436C"/>
    <w:rsid w:val="00DA450B"/>
    <w:rsid w:val="00DA466E"/>
    <w:rsid w:val="00DA51A0"/>
    <w:rsid w:val="00DA5D4E"/>
    <w:rsid w:val="00DA5DD7"/>
    <w:rsid w:val="00DA5F6B"/>
    <w:rsid w:val="00DA60A3"/>
    <w:rsid w:val="00DA62DC"/>
    <w:rsid w:val="00DA6426"/>
    <w:rsid w:val="00DA66E3"/>
    <w:rsid w:val="00DA6FED"/>
    <w:rsid w:val="00DA709B"/>
    <w:rsid w:val="00DA76AD"/>
    <w:rsid w:val="00DA7732"/>
    <w:rsid w:val="00DA78A2"/>
    <w:rsid w:val="00DB067E"/>
    <w:rsid w:val="00DB06F3"/>
    <w:rsid w:val="00DB0F2B"/>
    <w:rsid w:val="00DB10C9"/>
    <w:rsid w:val="00DB16E4"/>
    <w:rsid w:val="00DB1892"/>
    <w:rsid w:val="00DB1DE1"/>
    <w:rsid w:val="00DB25A5"/>
    <w:rsid w:val="00DB2C1D"/>
    <w:rsid w:val="00DB305A"/>
    <w:rsid w:val="00DB33A2"/>
    <w:rsid w:val="00DB3598"/>
    <w:rsid w:val="00DB3A78"/>
    <w:rsid w:val="00DB3A9B"/>
    <w:rsid w:val="00DB3DBA"/>
    <w:rsid w:val="00DB4045"/>
    <w:rsid w:val="00DB480E"/>
    <w:rsid w:val="00DB483E"/>
    <w:rsid w:val="00DB49CD"/>
    <w:rsid w:val="00DB49FA"/>
    <w:rsid w:val="00DB5086"/>
    <w:rsid w:val="00DB551A"/>
    <w:rsid w:val="00DB560C"/>
    <w:rsid w:val="00DB5736"/>
    <w:rsid w:val="00DB654D"/>
    <w:rsid w:val="00DB65E1"/>
    <w:rsid w:val="00DB660C"/>
    <w:rsid w:val="00DB6BE3"/>
    <w:rsid w:val="00DB6ECC"/>
    <w:rsid w:val="00DC0182"/>
    <w:rsid w:val="00DC0498"/>
    <w:rsid w:val="00DC0566"/>
    <w:rsid w:val="00DC0C58"/>
    <w:rsid w:val="00DC0F0F"/>
    <w:rsid w:val="00DC1117"/>
    <w:rsid w:val="00DC11CA"/>
    <w:rsid w:val="00DC1202"/>
    <w:rsid w:val="00DC1848"/>
    <w:rsid w:val="00DC18E1"/>
    <w:rsid w:val="00DC2806"/>
    <w:rsid w:val="00DC2D4D"/>
    <w:rsid w:val="00DC4331"/>
    <w:rsid w:val="00DC4C81"/>
    <w:rsid w:val="00DC4DD0"/>
    <w:rsid w:val="00DC4E77"/>
    <w:rsid w:val="00DC5083"/>
    <w:rsid w:val="00DC5180"/>
    <w:rsid w:val="00DC55AD"/>
    <w:rsid w:val="00DC5606"/>
    <w:rsid w:val="00DC5E56"/>
    <w:rsid w:val="00DC6080"/>
    <w:rsid w:val="00DC6311"/>
    <w:rsid w:val="00DC6A39"/>
    <w:rsid w:val="00DC6FA9"/>
    <w:rsid w:val="00DC72E7"/>
    <w:rsid w:val="00DC7462"/>
    <w:rsid w:val="00DC7DE0"/>
    <w:rsid w:val="00DC7DEA"/>
    <w:rsid w:val="00DC7F2A"/>
    <w:rsid w:val="00DD066D"/>
    <w:rsid w:val="00DD06AE"/>
    <w:rsid w:val="00DD0A7A"/>
    <w:rsid w:val="00DD0F3A"/>
    <w:rsid w:val="00DD176D"/>
    <w:rsid w:val="00DD18AD"/>
    <w:rsid w:val="00DD22B1"/>
    <w:rsid w:val="00DD2B35"/>
    <w:rsid w:val="00DD2E66"/>
    <w:rsid w:val="00DD31AD"/>
    <w:rsid w:val="00DD374C"/>
    <w:rsid w:val="00DD3B1F"/>
    <w:rsid w:val="00DD3DB1"/>
    <w:rsid w:val="00DD4AE7"/>
    <w:rsid w:val="00DD54AE"/>
    <w:rsid w:val="00DD57DB"/>
    <w:rsid w:val="00DD5A37"/>
    <w:rsid w:val="00DD5AA4"/>
    <w:rsid w:val="00DD5CC0"/>
    <w:rsid w:val="00DD5E25"/>
    <w:rsid w:val="00DD6209"/>
    <w:rsid w:val="00DD6628"/>
    <w:rsid w:val="00DD699E"/>
    <w:rsid w:val="00DD6B1F"/>
    <w:rsid w:val="00DD6DBB"/>
    <w:rsid w:val="00DD6F93"/>
    <w:rsid w:val="00DD75BB"/>
    <w:rsid w:val="00DD7793"/>
    <w:rsid w:val="00DD7C7D"/>
    <w:rsid w:val="00DD7DE1"/>
    <w:rsid w:val="00DE00C9"/>
    <w:rsid w:val="00DE0775"/>
    <w:rsid w:val="00DE0895"/>
    <w:rsid w:val="00DE0A99"/>
    <w:rsid w:val="00DE0AB4"/>
    <w:rsid w:val="00DE0AD5"/>
    <w:rsid w:val="00DE0D9A"/>
    <w:rsid w:val="00DE12FD"/>
    <w:rsid w:val="00DE1E4D"/>
    <w:rsid w:val="00DE205E"/>
    <w:rsid w:val="00DE21BB"/>
    <w:rsid w:val="00DE22FA"/>
    <w:rsid w:val="00DE2372"/>
    <w:rsid w:val="00DE24FB"/>
    <w:rsid w:val="00DE2ACF"/>
    <w:rsid w:val="00DE2B68"/>
    <w:rsid w:val="00DE30E8"/>
    <w:rsid w:val="00DE3102"/>
    <w:rsid w:val="00DE3297"/>
    <w:rsid w:val="00DE3B80"/>
    <w:rsid w:val="00DE3E2C"/>
    <w:rsid w:val="00DE3F82"/>
    <w:rsid w:val="00DE4FB5"/>
    <w:rsid w:val="00DE5707"/>
    <w:rsid w:val="00DE634D"/>
    <w:rsid w:val="00DE64F8"/>
    <w:rsid w:val="00DE654D"/>
    <w:rsid w:val="00DE67A9"/>
    <w:rsid w:val="00DE6F76"/>
    <w:rsid w:val="00DE71CA"/>
    <w:rsid w:val="00DE7B93"/>
    <w:rsid w:val="00DF0406"/>
    <w:rsid w:val="00DF04AA"/>
    <w:rsid w:val="00DF0B93"/>
    <w:rsid w:val="00DF115F"/>
    <w:rsid w:val="00DF146E"/>
    <w:rsid w:val="00DF1576"/>
    <w:rsid w:val="00DF166E"/>
    <w:rsid w:val="00DF216F"/>
    <w:rsid w:val="00DF25E7"/>
    <w:rsid w:val="00DF297C"/>
    <w:rsid w:val="00DF2B80"/>
    <w:rsid w:val="00DF382F"/>
    <w:rsid w:val="00DF3C5B"/>
    <w:rsid w:val="00DF4C94"/>
    <w:rsid w:val="00DF5275"/>
    <w:rsid w:val="00DF5B64"/>
    <w:rsid w:val="00DF63A9"/>
    <w:rsid w:val="00DF659E"/>
    <w:rsid w:val="00DF6A14"/>
    <w:rsid w:val="00DF6DE9"/>
    <w:rsid w:val="00DF70D0"/>
    <w:rsid w:val="00DF777E"/>
    <w:rsid w:val="00E0028B"/>
    <w:rsid w:val="00E00406"/>
    <w:rsid w:val="00E008C5"/>
    <w:rsid w:val="00E00C16"/>
    <w:rsid w:val="00E00C56"/>
    <w:rsid w:val="00E0136E"/>
    <w:rsid w:val="00E014EF"/>
    <w:rsid w:val="00E01700"/>
    <w:rsid w:val="00E01ACF"/>
    <w:rsid w:val="00E01B5A"/>
    <w:rsid w:val="00E02137"/>
    <w:rsid w:val="00E02430"/>
    <w:rsid w:val="00E0265B"/>
    <w:rsid w:val="00E02712"/>
    <w:rsid w:val="00E02B81"/>
    <w:rsid w:val="00E02D11"/>
    <w:rsid w:val="00E02DA5"/>
    <w:rsid w:val="00E02E33"/>
    <w:rsid w:val="00E03AB2"/>
    <w:rsid w:val="00E03F07"/>
    <w:rsid w:val="00E04292"/>
    <w:rsid w:val="00E047EB"/>
    <w:rsid w:val="00E049F9"/>
    <w:rsid w:val="00E06202"/>
    <w:rsid w:val="00E06B6B"/>
    <w:rsid w:val="00E074F2"/>
    <w:rsid w:val="00E07867"/>
    <w:rsid w:val="00E07FA0"/>
    <w:rsid w:val="00E10A67"/>
    <w:rsid w:val="00E10B6F"/>
    <w:rsid w:val="00E10D9F"/>
    <w:rsid w:val="00E114C2"/>
    <w:rsid w:val="00E115D7"/>
    <w:rsid w:val="00E115E1"/>
    <w:rsid w:val="00E11C9C"/>
    <w:rsid w:val="00E11D48"/>
    <w:rsid w:val="00E12452"/>
    <w:rsid w:val="00E12554"/>
    <w:rsid w:val="00E125BA"/>
    <w:rsid w:val="00E12D68"/>
    <w:rsid w:val="00E13205"/>
    <w:rsid w:val="00E13214"/>
    <w:rsid w:val="00E1347B"/>
    <w:rsid w:val="00E1351D"/>
    <w:rsid w:val="00E136F5"/>
    <w:rsid w:val="00E1480D"/>
    <w:rsid w:val="00E14AB9"/>
    <w:rsid w:val="00E15745"/>
    <w:rsid w:val="00E16689"/>
    <w:rsid w:val="00E169E2"/>
    <w:rsid w:val="00E16B94"/>
    <w:rsid w:val="00E172DA"/>
    <w:rsid w:val="00E1744A"/>
    <w:rsid w:val="00E20238"/>
    <w:rsid w:val="00E202F1"/>
    <w:rsid w:val="00E209FF"/>
    <w:rsid w:val="00E20CF4"/>
    <w:rsid w:val="00E213C6"/>
    <w:rsid w:val="00E21B54"/>
    <w:rsid w:val="00E21BC4"/>
    <w:rsid w:val="00E22125"/>
    <w:rsid w:val="00E229D8"/>
    <w:rsid w:val="00E237D3"/>
    <w:rsid w:val="00E23B59"/>
    <w:rsid w:val="00E23C06"/>
    <w:rsid w:val="00E24A98"/>
    <w:rsid w:val="00E24F04"/>
    <w:rsid w:val="00E24F60"/>
    <w:rsid w:val="00E24F81"/>
    <w:rsid w:val="00E24FE1"/>
    <w:rsid w:val="00E25DCC"/>
    <w:rsid w:val="00E2674C"/>
    <w:rsid w:val="00E26AB6"/>
    <w:rsid w:val="00E26BDB"/>
    <w:rsid w:val="00E26E78"/>
    <w:rsid w:val="00E26E97"/>
    <w:rsid w:val="00E26EDE"/>
    <w:rsid w:val="00E2740E"/>
    <w:rsid w:val="00E27631"/>
    <w:rsid w:val="00E27F03"/>
    <w:rsid w:val="00E304C5"/>
    <w:rsid w:val="00E3060F"/>
    <w:rsid w:val="00E30647"/>
    <w:rsid w:val="00E30A7C"/>
    <w:rsid w:val="00E30C25"/>
    <w:rsid w:val="00E30E77"/>
    <w:rsid w:val="00E30EC1"/>
    <w:rsid w:val="00E31162"/>
    <w:rsid w:val="00E31666"/>
    <w:rsid w:val="00E3183A"/>
    <w:rsid w:val="00E31C42"/>
    <w:rsid w:val="00E325D3"/>
    <w:rsid w:val="00E32827"/>
    <w:rsid w:val="00E3421D"/>
    <w:rsid w:val="00E34226"/>
    <w:rsid w:val="00E3427C"/>
    <w:rsid w:val="00E34CE1"/>
    <w:rsid w:val="00E34EDA"/>
    <w:rsid w:val="00E351B7"/>
    <w:rsid w:val="00E35870"/>
    <w:rsid w:val="00E35E62"/>
    <w:rsid w:val="00E36A08"/>
    <w:rsid w:val="00E375B0"/>
    <w:rsid w:val="00E3789B"/>
    <w:rsid w:val="00E37BCA"/>
    <w:rsid w:val="00E40118"/>
    <w:rsid w:val="00E40581"/>
    <w:rsid w:val="00E411EB"/>
    <w:rsid w:val="00E414CF"/>
    <w:rsid w:val="00E41B67"/>
    <w:rsid w:val="00E41D52"/>
    <w:rsid w:val="00E4240D"/>
    <w:rsid w:val="00E4271D"/>
    <w:rsid w:val="00E427FF"/>
    <w:rsid w:val="00E428F0"/>
    <w:rsid w:val="00E42978"/>
    <w:rsid w:val="00E42AF1"/>
    <w:rsid w:val="00E42BA5"/>
    <w:rsid w:val="00E42EE8"/>
    <w:rsid w:val="00E430A6"/>
    <w:rsid w:val="00E43834"/>
    <w:rsid w:val="00E441D9"/>
    <w:rsid w:val="00E4451A"/>
    <w:rsid w:val="00E446C1"/>
    <w:rsid w:val="00E4654C"/>
    <w:rsid w:val="00E46C68"/>
    <w:rsid w:val="00E46E5C"/>
    <w:rsid w:val="00E46F93"/>
    <w:rsid w:val="00E46F9A"/>
    <w:rsid w:val="00E47068"/>
    <w:rsid w:val="00E47CE3"/>
    <w:rsid w:val="00E47F98"/>
    <w:rsid w:val="00E5093A"/>
    <w:rsid w:val="00E5110C"/>
    <w:rsid w:val="00E511C2"/>
    <w:rsid w:val="00E511C7"/>
    <w:rsid w:val="00E51EB9"/>
    <w:rsid w:val="00E5310C"/>
    <w:rsid w:val="00E533EB"/>
    <w:rsid w:val="00E534DE"/>
    <w:rsid w:val="00E53861"/>
    <w:rsid w:val="00E53D2F"/>
    <w:rsid w:val="00E53DCB"/>
    <w:rsid w:val="00E53E02"/>
    <w:rsid w:val="00E54639"/>
    <w:rsid w:val="00E54809"/>
    <w:rsid w:val="00E54925"/>
    <w:rsid w:val="00E54A40"/>
    <w:rsid w:val="00E55E66"/>
    <w:rsid w:val="00E55EE8"/>
    <w:rsid w:val="00E56CE0"/>
    <w:rsid w:val="00E57B3F"/>
    <w:rsid w:val="00E57DE4"/>
    <w:rsid w:val="00E605ED"/>
    <w:rsid w:val="00E6117E"/>
    <w:rsid w:val="00E61261"/>
    <w:rsid w:val="00E61687"/>
    <w:rsid w:val="00E6200D"/>
    <w:rsid w:val="00E62559"/>
    <w:rsid w:val="00E625A3"/>
    <w:rsid w:val="00E62A0C"/>
    <w:rsid w:val="00E62C11"/>
    <w:rsid w:val="00E62DA2"/>
    <w:rsid w:val="00E62E03"/>
    <w:rsid w:val="00E62E17"/>
    <w:rsid w:val="00E62FC1"/>
    <w:rsid w:val="00E630B5"/>
    <w:rsid w:val="00E637E3"/>
    <w:rsid w:val="00E63C85"/>
    <w:rsid w:val="00E63FD2"/>
    <w:rsid w:val="00E640C9"/>
    <w:rsid w:val="00E642D4"/>
    <w:rsid w:val="00E648E0"/>
    <w:rsid w:val="00E64FCF"/>
    <w:rsid w:val="00E655B6"/>
    <w:rsid w:val="00E658B7"/>
    <w:rsid w:val="00E65E84"/>
    <w:rsid w:val="00E65EB9"/>
    <w:rsid w:val="00E65F1B"/>
    <w:rsid w:val="00E65FC7"/>
    <w:rsid w:val="00E66502"/>
    <w:rsid w:val="00E665A4"/>
    <w:rsid w:val="00E66A5E"/>
    <w:rsid w:val="00E66BCB"/>
    <w:rsid w:val="00E66DDC"/>
    <w:rsid w:val="00E677A4"/>
    <w:rsid w:val="00E67C81"/>
    <w:rsid w:val="00E67F88"/>
    <w:rsid w:val="00E7033A"/>
    <w:rsid w:val="00E706AB"/>
    <w:rsid w:val="00E7150F"/>
    <w:rsid w:val="00E717E7"/>
    <w:rsid w:val="00E71EF4"/>
    <w:rsid w:val="00E723BF"/>
    <w:rsid w:val="00E73541"/>
    <w:rsid w:val="00E73902"/>
    <w:rsid w:val="00E73912"/>
    <w:rsid w:val="00E7399E"/>
    <w:rsid w:val="00E739FE"/>
    <w:rsid w:val="00E73AD9"/>
    <w:rsid w:val="00E73E0B"/>
    <w:rsid w:val="00E74140"/>
    <w:rsid w:val="00E74FA7"/>
    <w:rsid w:val="00E75191"/>
    <w:rsid w:val="00E7554C"/>
    <w:rsid w:val="00E75AF6"/>
    <w:rsid w:val="00E75C14"/>
    <w:rsid w:val="00E75C40"/>
    <w:rsid w:val="00E75C47"/>
    <w:rsid w:val="00E7640B"/>
    <w:rsid w:val="00E76508"/>
    <w:rsid w:val="00E76834"/>
    <w:rsid w:val="00E76F21"/>
    <w:rsid w:val="00E775C2"/>
    <w:rsid w:val="00E80064"/>
    <w:rsid w:val="00E805C1"/>
    <w:rsid w:val="00E809BA"/>
    <w:rsid w:val="00E80A07"/>
    <w:rsid w:val="00E80BC2"/>
    <w:rsid w:val="00E80C19"/>
    <w:rsid w:val="00E80E33"/>
    <w:rsid w:val="00E80F79"/>
    <w:rsid w:val="00E810A3"/>
    <w:rsid w:val="00E81805"/>
    <w:rsid w:val="00E81BD2"/>
    <w:rsid w:val="00E8232B"/>
    <w:rsid w:val="00E823F6"/>
    <w:rsid w:val="00E82470"/>
    <w:rsid w:val="00E82596"/>
    <w:rsid w:val="00E82CB1"/>
    <w:rsid w:val="00E82DF9"/>
    <w:rsid w:val="00E83889"/>
    <w:rsid w:val="00E83E3B"/>
    <w:rsid w:val="00E8432F"/>
    <w:rsid w:val="00E8440E"/>
    <w:rsid w:val="00E847F7"/>
    <w:rsid w:val="00E84B05"/>
    <w:rsid w:val="00E8523E"/>
    <w:rsid w:val="00E8550A"/>
    <w:rsid w:val="00E858A6"/>
    <w:rsid w:val="00E85EFC"/>
    <w:rsid w:val="00E86061"/>
    <w:rsid w:val="00E865EB"/>
    <w:rsid w:val="00E8672D"/>
    <w:rsid w:val="00E86E13"/>
    <w:rsid w:val="00E86FEA"/>
    <w:rsid w:val="00E87011"/>
    <w:rsid w:val="00E875D1"/>
    <w:rsid w:val="00E878F7"/>
    <w:rsid w:val="00E8791D"/>
    <w:rsid w:val="00E87F45"/>
    <w:rsid w:val="00E901D6"/>
    <w:rsid w:val="00E90250"/>
    <w:rsid w:val="00E90287"/>
    <w:rsid w:val="00E905F6"/>
    <w:rsid w:val="00E9073E"/>
    <w:rsid w:val="00E907B2"/>
    <w:rsid w:val="00E90DAF"/>
    <w:rsid w:val="00E90F43"/>
    <w:rsid w:val="00E911D3"/>
    <w:rsid w:val="00E91208"/>
    <w:rsid w:val="00E91482"/>
    <w:rsid w:val="00E9180A"/>
    <w:rsid w:val="00E9270B"/>
    <w:rsid w:val="00E92D58"/>
    <w:rsid w:val="00E92FF6"/>
    <w:rsid w:val="00E932C7"/>
    <w:rsid w:val="00E938B0"/>
    <w:rsid w:val="00E93A8B"/>
    <w:rsid w:val="00E93F68"/>
    <w:rsid w:val="00E94C18"/>
    <w:rsid w:val="00E95185"/>
    <w:rsid w:val="00E958A9"/>
    <w:rsid w:val="00E958BC"/>
    <w:rsid w:val="00E95B0A"/>
    <w:rsid w:val="00E95B1A"/>
    <w:rsid w:val="00E960CC"/>
    <w:rsid w:val="00E96302"/>
    <w:rsid w:val="00E963D3"/>
    <w:rsid w:val="00E963D5"/>
    <w:rsid w:val="00E96436"/>
    <w:rsid w:val="00E97605"/>
    <w:rsid w:val="00E977D5"/>
    <w:rsid w:val="00E97F9C"/>
    <w:rsid w:val="00EA0044"/>
    <w:rsid w:val="00EA0741"/>
    <w:rsid w:val="00EA209C"/>
    <w:rsid w:val="00EA20E5"/>
    <w:rsid w:val="00EA2274"/>
    <w:rsid w:val="00EA28C4"/>
    <w:rsid w:val="00EA30B2"/>
    <w:rsid w:val="00EA3883"/>
    <w:rsid w:val="00EA450A"/>
    <w:rsid w:val="00EA50C8"/>
    <w:rsid w:val="00EA5205"/>
    <w:rsid w:val="00EA522D"/>
    <w:rsid w:val="00EA5464"/>
    <w:rsid w:val="00EA5946"/>
    <w:rsid w:val="00EA62DA"/>
    <w:rsid w:val="00EA6A1B"/>
    <w:rsid w:val="00EA6A56"/>
    <w:rsid w:val="00EA6CC9"/>
    <w:rsid w:val="00EA6D0B"/>
    <w:rsid w:val="00EA6E6C"/>
    <w:rsid w:val="00EA6EBA"/>
    <w:rsid w:val="00EA7167"/>
    <w:rsid w:val="00EA73F8"/>
    <w:rsid w:val="00EA74EB"/>
    <w:rsid w:val="00EA782E"/>
    <w:rsid w:val="00EA7A9F"/>
    <w:rsid w:val="00EA7C3F"/>
    <w:rsid w:val="00EA7E84"/>
    <w:rsid w:val="00EB0E1C"/>
    <w:rsid w:val="00EB0E82"/>
    <w:rsid w:val="00EB0F1B"/>
    <w:rsid w:val="00EB1186"/>
    <w:rsid w:val="00EB1FCC"/>
    <w:rsid w:val="00EB2E6E"/>
    <w:rsid w:val="00EB30D7"/>
    <w:rsid w:val="00EB345C"/>
    <w:rsid w:val="00EB350A"/>
    <w:rsid w:val="00EB3750"/>
    <w:rsid w:val="00EB37CA"/>
    <w:rsid w:val="00EB3AA6"/>
    <w:rsid w:val="00EB44F3"/>
    <w:rsid w:val="00EB4542"/>
    <w:rsid w:val="00EB4A4B"/>
    <w:rsid w:val="00EB4C72"/>
    <w:rsid w:val="00EB5885"/>
    <w:rsid w:val="00EB58A7"/>
    <w:rsid w:val="00EB5D55"/>
    <w:rsid w:val="00EB6054"/>
    <w:rsid w:val="00EB60FF"/>
    <w:rsid w:val="00EB6E24"/>
    <w:rsid w:val="00EB7AF7"/>
    <w:rsid w:val="00EB7B2D"/>
    <w:rsid w:val="00EC0403"/>
    <w:rsid w:val="00EC0D01"/>
    <w:rsid w:val="00EC17FF"/>
    <w:rsid w:val="00EC188A"/>
    <w:rsid w:val="00EC1972"/>
    <w:rsid w:val="00EC1B73"/>
    <w:rsid w:val="00EC29D0"/>
    <w:rsid w:val="00EC2EDD"/>
    <w:rsid w:val="00EC37FF"/>
    <w:rsid w:val="00EC3DA6"/>
    <w:rsid w:val="00EC3F3B"/>
    <w:rsid w:val="00EC3F76"/>
    <w:rsid w:val="00EC4E41"/>
    <w:rsid w:val="00EC4EE2"/>
    <w:rsid w:val="00EC587F"/>
    <w:rsid w:val="00EC5D22"/>
    <w:rsid w:val="00EC60E3"/>
    <w:rsid w:val="00EC6280"/>
    <w:rsid w:val="00EC62ED"/>
    <w:rsid w:val="00EC634D"/>
    <w:rsid w:val="00EC66C9"/>
    <w:rsid w:val="00EC67A2"/>
    <w:rsid w:val="00EC7356"/>
    <w:rsid w:val="00EC7490"/>
    <w:rsid w:val="00EC75AA"/>
    <w:rsid w:val="00EC7902"/>
    <w:rsid w:val="00EC7A6A"/>
    <w:rsid w:val="00EC7D2F"/>
    <w:rsid w:val="00ED0096"/>
    <w:rsid w:val="00ED0667"/>
    <w:rsid w:val="00ED0A7F"/>
    <w:rsid w:val="00ED1B5A"/>
    <w:rsid w:val="00ED1BE3"/>
    <w:rsid w:val="00ED1FE9"/>
    <w:rsid w:val="00ED2977"/>
    <w:rsid w:val="00ED2C1D"/>
    <w:rsid w:val="00ED2ED3"/>
    <w:rsid w:val="00ED2EE9"/>
    <w:rsid w:val="00ED2F73"/>
    <w:rsid w:val="00ED35B3"/>
    <w:rsid w:val="00ED3D56"/>
    <w:rsid w:val="00ED42C2"/>
    <w:rsid w:val="00ED5BE8"/>
    <w:rsid w:val="00ED5C32"/>
    <w:rsid w:val="00ED5E67"/>
    <w:rsid w:val="00ED5FAF"/>
    <w:rsid w:val="00ED64F1"/>
    <w:rsid w:val="00ED71CB"/>
    <w:rsid w:val="00ED72F3"/>
    <w:rsid w:val="00ED73D4"/>
    <w:rsid w:val="00ED757F"/>
    <w:rsid w:val="00ED75BF"/>
    <w:rsid w:val="00ED78AD"/>
    <w:rsid w:val="00ED7CB4"/>
    <w:rsid w:val="00EE0C92"/>
    <w:rsid w:val="00EE0EAF"/>
    <w:rsid w:val="00EE1458"/>
    <w:rsid w:val="00EE1524"/>
    <w:rsid w:val="00EE19E2"/>
    <w:rsid w:val="00EE1C2E"/>
    <w:rsid w:val="00EE2DF5"/>
    <w:rsid w:val="00EE2F5C"/>
    <w:rsid w:val="00EE30CB"/>
    <w:rsid w:val="00EE37C9"/>
    <w:rsid w:val="00EE3811"/>
    <w:rsid w:val="00EE38E0"/>
    <w:rsid w:val="00EE3A0D"/>
    <w:rsid w:val="00EE3C9C"/>
    <w:rsid w:val="00EE4097"/>
    <w:rsid w:val="00EE416B"/>
    <w:rsid w:val="00EE429D"/>
    <w:rsid w:val="00EE45F8"/>
    <w:rsid w:val="00EE492E"/>
    <w:rsid w:val="00EE4BD9"/>
    <w:rsid w:val="00EE4FD3"/>
    <w:rsid w:val="00EE5B80"/>
    <w:rsid w:val="00EE5B92"/>
    <w:rsid w:val="00EE638E"/>
    <w:rsid w:val="00EE6866"/>
    <w:rsid w:val="00EE6BB7"/>
    <w:rsid w:val="00EE6D23"/>
    <w:rsid w:val="00EE73CC"/>
    <w:rsid w:val="00EE769C"/>
    <w:rsid w:val="00EE7AEF"/>
    <w:rsid w:val="00EE7BBE"/>
    <w:rsid w:val="00EF08D6"/>
    <w:rsid w:val="00EF09FB"/>
    <w:rsid w:val="00EF0AA4"/>
    <w:rsid w:val="00EF11C7"/>
    <w:rsid w:val="00EF1384"/>
    <w:rsid w:val="00EF1818"/>
    <w:rsid w:val="00EF183A"/>
    <w:rsid w:val="00EF1B84"/>
    <w:rsid w:val="00EF1FC1"/>
    <w:rsid w:val="00EF200B"/>
    <w:rsid w:val="00EF225F"/>
    <w:rsid w:val="00EF246F"/>
    <w:rsid w:val="00EF2879"/>
    <w:rsid w:val="00EF2A43"/>
    <w:rsid w:val="00EF2BFE"/>
    <w:rsid w:val="00EF33FB"/>
    <w:rsid w:val="00EF36E8"/>
    <w:rsid w:val="00EF3C71"/>
    <w:rsid w:val="00EF3D92"/>
    <w:rsid w:val="00EF41F0"/>
    <w:rsid w:val="00EF5B6B"/>
    <w:rsid w:val="00EF5E40"/>
    <w:rsid w:val="00EF6281"/>
    <w:rsid w:val="00EF6AFC"/>
    <w:rsid w:val="00EF6B53"/>
    <w:rsid w:val="00EF6BCD"/>
    <w:rsid w:val="00EF6DB5"/>
    <w:rsid w:val="00EF6F9E"/>
    <w:rsid w:val="00EF6FD9"/>
    <w:rsid w:val="00EF721A"/>
    <w:rsid w:val="00EF7C25"/>
    <w:rsid w:val="00EF7FE2"/>
    <w:rsid w:val="00F0015E"/>
    <w:rsid w:val="00F0060D"/>
    <w:rsid w:val="00F00879"/>
    <w:rsid w:val="00F00995"/>
    <w:rsid w:val="00F01295"/>
    <w:rsid w:val="00F0162D"/>
    <w:rsid w:val="00F0218C"/>
    <w:rsid w:val="00F024FF"/>
    <w:rsid w:val="00F025B5"/>
    <w:rsid w:val="00F027FA"/>
    <w:rsid w:val="00F038CC"/>
    <w:rsid w:val="00F042BC"/>
    <w:rsid w:val="00F04DE0"/>
    <w:rsid w:val="00F06733"/>
    <w:rsid w:val="00F06897"/>
    <w:rsid w:val="00F072D9"/>
    <w:rsid w:val="00F076D4"/>
    <w:rsid w:val="00F07F4E"/>
    <w:rsid w:val="00F10523"/>
    <w:rsid w:val="00F105F6"/>
    <w:rsid w:val="00F11519"/>
    <w:rsid w:val="00F11A5C"/>
    <w:rsid w:val="00F11C16"/>
    <w:rsid w:val="00F1204F"/>
    <w:rsid w:val="00F12217"/>
    <w:rsid w:val="00F1267D"/>
    <w:rsid w:val="00F1290F"/>
    <w:rsid w:val="00F13092"/>
    <w:rsid w:val="00F13136"/>
    <w:rsid w:val="00F1344B"/>
    <w:rsid w:val="00F134F5"/>
    <w:rsid w:val="00F13843"/>
    <w:rsid w:val="00F13F95"/>
    <w:rsid w:val="00F14B15"/>
    <w:rsid w:val="00F14C85"/>
    <w:rsid w:val="00F15321"/>
    <w:rsid w:val="00F15693"/>
    <w:rsid w:val="00F15992"/>
    <w:rsid w:val="00F15B37"/>
    <w:rsid w:val="00F166BF"/>
    <w:rsid w:val="00F169BF"/>
    <w:rsid w:val="00F16C34"/>
    <w:rsid w:val="00F16F56"/>
    <w:rsid w:val="00F1764D"/>
    <w:rsid w:val="00F17B64"/>
    <w:rsid w:val="00F201A6"/>
    <w:rsid w:val="00F20D11"/>
    <w:rsid w:val="00F20E67"/>
    <w:rsid w:val="00F20F2E"/>
    <w:rsid w:val="00F21158"/>
    <w:rsid w:val="00F2190B"/>
    <w:rsid w:val="00F21C34"/>
    <w:rsid w:val="00F21FA9"/>
    <w:rsid w:val="00F2261E"/>
    <w:rsid w:val="00F227FA"/>
    <w:rsid w:val="00F22F2E"/>
    <w:rsid w:val="00F23011"/>
    <w:rsid w:val="00F23993"/>
    <w:rsid w:val="00F2399F"/>
    <w:rsid w:val="00F23B6F"/>
    <w:rsid w:val="00F24294"/>
    <w:rsid w:val="00F24452"/>
    <w:rsid w:val="00F24E92"/>
    <w:rsid w:val="00F2515B"/>
    <w:rsid w:val="00F2547A"/>
    <w:rsid w:val="00F25C3C"/>
    <w:rsid w:val="00F2643C"/>
    <w:rsid w:val="00F26458"/>
    <w:rsid w:val="00F264D1"/>
    <w:rsid w:val="00F26543"/>
    <w:rsid w:val="00F2667A"/>
    <w:rsid w:val="00F26AB6"/>
    <w:rsid w:val="00F27046"/>
    <w:rsid w:val="00F27178"/>
    <w:rsid w:val="00F27FFD"/>
    <w:rsid w:val="00F30BD0"/>
    <w:rsid w:val="00F30D78"/>
    <w:rsid w:val="00F3162F"/>
    <w:rsid w:val="00F32601"/>
    <w:rsid w:val="00F32690"/>
    <w:rsid w:val="00F326F3"/>
    <w:rsid w:val="00F32759"/>
    <w:rsid w:val="00F335A4"/>
    <w:rsid w:val="00F33D81"/>
    <w:rsid w:val="00F34168"/>
    <w:rsid w:val="00F343CE"/>
    <w:rsid w:val="00F345B7"/>
    <w:rsid w:val="00F34AEF"/>
    <w:rsid w:val="00F355A1"/>
    <w:rsid w:val="00F3595D"/>
    <w:rsid w:val="00F35A7E"/>
    <w:rsid w:val="00F35B57"/>
    <w:rsid w:val="00F35FD5"/>
    <w:rsid w:val="00F3603E"/>
    <w:rsid w:val="00F36507"/>
    <w:rsid w:val="00F366EB"/>
    <w:rsid w:val="00F367D0"/>
    <w:rsid w:val="00F37703"/>
    <w:rsid w:val="00F37976"/>
    <w:rsid w:val="00F400D3"/>
    <w:rsid w:val="00F40BA4"/>
    <w:rsid w:val="00F40E13"/>
    <w:rsid w:val="00F4116E"/>
    <w:rsid w:val="00F415F9"/>
    <w:rsid w:val="00F41797"/>
    <w:rsid w:val="00F42D44"/>
    <w:rsid w:val="00F42DE4"/>
    <w:rsid w:val="00F43145"/>
    <w:rsid w:val="00F43A6F"/>
    <w:rsid w:val="00F4417F"/>
    <w:rsid w:val="00F4528C"/>
    <w:rsid w:val="00F452CF"/>
    <w:rsid w:val="00F456B8"/>
    <w:rsid w:val="00F4580F"/>
    <w:rsid w:val="00F45A05"/>
    <w:rsid w:val="00F45FF4"/>
    <w:rsid w:val="00F46537"/>
    <w:rsid w:val="00F4679F"/>
    <w:rsid w:val="00F473AD"/>
    <w:rsid w:val="00F47B85"/>
    <w:rsid w:val="00F47F07"/>
    <w:rsid w:val="00F50904"/>
    <w:rsid w:val="00F509C5"/>
    <w:rsid w:val="00F50AC4"/>
    <w:rsid w:val="00F50CD5"/>
    <w:rsid w:val="00F50D5E"/>
    <w:rsid w:val="00F50E57"/>
    <w:rsid w:val="00F5160E"/>
    <w:rsid w:val="00F51C77"/>
    <w:rsid w:val="00F51C96"/>
    <w:rsid w:val="00F5202D"/>
    <w:rsid w:val="00F5228F"/>
    <w:rsid w:val="00F52773"/>
    <w:rsid w:val="00F52C66"/>
    <w:rsid w:val="00F530A2"/>
    <w:rsid w:val="00F54093"/>
    <w:rsid w:val="00F5448F"/>
    <w:rsid w:val="00F548A4"/>
    <w:rsid w:val="00F54BDD"/>
    <w:rsid w:val="00F559E0"/>
    <w:rsid w:val="00F5645C"/>
    <w:rsid w:val="00F56C9C"/>
    <w:rsid w:val="00F57202"/>
    <w:rsid w:val="00F57335"/>
    <w:rsid w:val="00F57448"/>
    <w:rsid w:val="00F576A5"/>
    <w:rsid w:val="00F6039A"/>
    <w:rsid w:val="00F60544"/>
    <w:rsid w:val="00F6060C"/>
    <w:rsid w:val="00F60940"/>
    <w:rsid w:val="00F61094"/>
    <w:rsid w:val="00F61257"/>
    <w:rsid w:val="00F61C6D"/>
    <w:rsid w:val="00F61FF1"/>
    <w:rsid w:val="00F6207B"/>
    <w:rsid w:val="00F62724"/>
    <w:rsid w:val="00F627B8"/>
    <w:rsid w:val="00F629B2"/>
    <w:rsid w:val="00F62B07"/>
    <w:rsid w:val="00F62B08"/>
    <w:rsid w:val="00F62E3B"/>
    <w:rsid w:val="00F634A5"/>
    <w:rsid w:val="00F636B0"/>
    <w:rsid w:val="00F63DF7"/>
    <w:rsid w:val="00F6418D"/>
    <w:rsid w:val="00F64CB0"/>
    <w:rsid w:val="00F65486"/>
    <w:rsid w:val="00F6645E"/>
    <w:rsid w:val="00F6654C"/>
    <w:rsid w:val="00F667EB"/>
    <w:rsid w:val="00F66A34"/>
    <w:rsid w:val="00F66AD9"/>
    <w:rsid w:val="00F66EB7"/>
    <w:rsid w:val="00F66F7F"/>
    <w:rsid w:val="00F676E4"/>
    <w:rsid w:val="00F6785D"/>
    <w:rsid w:val="00F67B04"/>
    <w:rsid w:val="00F707B2"/>
    <w:rsid w:val="00F70A0F"/>
    <w:rsid w:val="00F70EF3"/>
    <w:rsid w:val="00F71356"/>
    <w:rsid w:val="00F71502"/>
    <w:rsid w:val="00F71577"/>
    <w:rsid w:val="00F7179A"/>
    <w:rsid w:val="00F71DFE"/>
    <w:rsid w:val="00F7206F"/>
    <w:rsid w:val="00F722F7"/>
    <w:rsid w:val="00F7239C"/>
    <w:rsid w:val="00F725AE"/>
    <w:rsid w:val="00F7285A"/>
    <w:rsid w:val="00F732AD"/>
    <w:rsid w:val="00F7340F"/>
    <w:rsid w:val="00F73610"/>
    <w:rsid w:val="00F73B7C"/>
    <w:rsid w:val="00F74156"/>
    <w:rsid w:val="00F74998"/>
    <w:rsid w:val="00F749D8"/>
    <w:rsid w:val="00F749E1"/>
    <w:rsid w:val="00F74E50"/>
    <w:rsid w:val="00F7571D"/>
    <w:rsid w:val="00F76742"/>
    <w:rsid w:val="00F77335"/>
    <w:rsid w:val="00F7783C"/>
    <w:rsid w:val="00F77C0B"/>
    <w:rsid w:val="00F77FBC"/>
    <w:rsid w:val="00F8007E"/>
    <w:rsid w:val="00F800F3"/>
    <w:rsid w:val="00F8020D"/>
    <w:rsid w:val="00F80992"/>
    <w:rsid w:val="00F80F18"/>
    <w:rsid w:val="00F82228"/>
    <w:rsid w:val="00F8287D"/>
    <w:rsid w:val="00F828C6"/>
    <w:rsid w:val="00F8383C"/>
    <w:rsid w:val="00F83883"/>
    <w:rsid w:val="00F838DA"/>
    <w:rsid w:val="00F83CBE"/>
    <w:rsid w:val="00F83D6F"/>
    <w:rsid w:val="00F84290"/>
    <w:rsid w:val="00F84801"/>
    <w:rsid w:val="00F849DA"/>
    <w:rsid w:val="00F84A9F"/>
    <w:rsid w:val="00F84E73"/>
    <w:rsid w:val="00F84F28"/>
    <w:rsid w:val="00F85057"/>
    <w:rsid w:val="00F85093"/>
    <w:rsid w:val="00F85795"/>
    <w:rsid w:val="00F85935"/>
    <w:rsid w:val="00F85AD4"/>
    <w:rsid w:val="00F85CF9"/>
    <w:rsid w:val="00F85ED1"/>
    <w:rsid w:val="00F86223"/>
    <w:rsid w:val="00F8655E"/>
    <w:rsid w:val="00F867B2"/>
    <w:rsid w:val="00F875B2"/>
    <w:rsid w:val="00F8780C"/>
    <w:rsid w:val="00F90620"/>
    <w:rsid w:val="00F90D33"/>
    <w:rsid w:val="00F90FF5"/>
    <w:rsid w:val="00F910FD"/>
    <w:rsid w:val="00F9188A"/>
    <w:rsid w:val="00F9212B"/>
    <w:rsid w:val="00F9253C"/>
    <w:rsid w:val="00F926B0"/>
    <w:rsid w:val="00F92B2C"/>
    <w:rsid w:val="00F93BB8"/>
    <w:rsid w:val="00F93FB4"/>
    <w:rsid w:val="00F94316"/>
    <w:rsid w:val="00F951E5"/>
    <w:rsid w:val="00F952D0"/>
    <w:rsid w:val="00F95727"/>
    <w:rsid w:val="00F95771"/>
    <w:rsid w:val="00F95A0C"/>
    <w:rsid w:val="00F95C67"/>
    <w:rsid w:val="00F95F36"/>
    <w:rsid w:val="00F9665C"/>
    <w:rsid w:val="00F96688"/>
    <w:rsid w:val="00F975CE"/>
    <w:rsid w:val="00FA076D"/>
    <w:rsid w:val="00FA0C0F"/>
    <w:rsid w:val="00FA183C"/>
    <w:rsid w:val="00FA1A0D"/>
    <w:rsid w:val="00FA1C30"/>
    <w:rsid w:val="00FA28B8"/>
    <w:rsid w:val="00FA2A8B"/>
    <w:rsid w:val="00FA2D42"/>
    <w:rsid w:val="00FA32A4"/>
    <w:rsid w:val="00FA3AA7"/>
    <w:rsid w:val="00FA3D10"/>
    <w:rsid w:val="00FA4397"/>
    <w:rsid w:val="00FA43D6"/>
    <w:rsid w:val="00FA4B61"/>
    <w:rsid w:val="00FA5E60"/>
    <w:rsid w:val="00FA60A6"/>
    <w:rsid w:val="00FA60E4"/>
    <w:rsid w:val="00FA6110"/>
    <w:rsid w:val="00FA6699"/>
    <w:rsid w:val="00FA66A4"/>
    <w:rsid w:val="00FA66E9"/>
    <w:rsid w:val="00FA685A"/>
    <w:rsid w:val="00FA6954"/>
    <w:rsid w:val="00FA6982"/>
    <w:rsid w:val="00FA6D21"/>
    <w:rsid w:val="00FA6E6F"/>
    <w:rsid w:val="00FA75EF"/>
    <w:rsid w:val="00FA7F91"/>
    <w:rsid w:val="00FB0A84"/>
    <w:rsid w:val="00FB0BAD"/>
    <w:rsid w:val="00FB0C30"/>
    <w:rsid w:val="00FB0D26"/>
    <w:rsid w:val="00FB0FD5"/>
    <w:rsid w:val="00FB1AE1"/>
    <w:rsid w:val="00FB2077"/>
    <w:rsid w:val="00FB2241"/>
    <w:rsid w:val="00FB26E8"/>
    <w:rsid w:val="00FB26F4"/>
    <w:rsid w:val="00FB2C12"/>
    <w:rsid w:val="00FB32AE"/>
    <w:rsid w:val="00FB37B3"/>
    <w:rsid w:val="00FB40A4"/>
    <w:rsid w:val="00FB4194"/>
    <w:rsid w:val="00FB4422"/>
    <w:rsid w:val="00FB47AC"/>
    <w:rsid w:val="00FB4A9E"/>
    <w:rsid w:val="00FB5785"/>
    <w:rsid w:val="00FB5B3A"/>
    <w:rsid w:val="00FB64C9"/>
    <w:rsid w:val="00FB66F1"/>
    <w:rsid w:val="00FB6714"/>
    <w:rsid w:val="00FB6799"/>
    <w:rsid w:val="00FB6D4C"/>
    <w:rsid w:val="00FB708D"/>
    <w:rsid w:val="00FB714B"/>
    <w:rsid w:val="00FB7745"/>
    <w:rsid w:val="00FB777C"/>
    <w:rsid w:val="00FB7C2E"/>
    <w:rsid w:val="00FB7E9A"/>
    <w:rsid w:val="00FB7F3C"/>
    <w:rsid w:val="00FC0380"/>
    <w:rsid w:val="00FC0AEB"/>
    <w:rsid w:val="00FC0B8C"/>
    <w:rsid w:val="00FC0DCA"/>
    <w:rsid w:val="00FC0E79"/>
    <w:rsid w:val="00FC137E"/>
    <w:rsid w:val="00FC1BA9"/>
    <w:rsid w:val="00FC1CA2"/>
    <w:rsid w:val="00FC1E5B"/>
    <w:rsid w:val="00FC2A60"/>
    <w:rsid w:val="00FC2B40"/>
    <w:rsid w:val="00FC3538"/>
    <w:rsid w:val="00FC3799"/>
    <w:rsid w:val="00FC41EA"/>
    <w:rsid w:val="00FC4753"/>
    <w:rsid w:val="00FC521A"/>
    <w:rsid w:val="00FC55CC"/>
    <w:rsid w:val="00FC5B36"/>
    <w:rsid w:val="00FC5B78"/>
    <w:rsid w:val="00FC5D51"/>
    <w:rsid w:val="00FC65A3"/>
    <w:rsid w:val="00FC686B"/>
    <w:rsid w:val="00FC6D49"/>
    <w:rsid w:val="00FC7534"/>
    <w:rsid w:val="00FD01F8"/>
    <w:rsid w:val="00FD09AE"/>
    <w:rsid w:val="00FD109C"/>
    <w:rsid w:val="00FD14A9"/>
    <w:rsid w:val="00FD14D1"/>
    <w:rsid w:val="00FD1514"/>
    <w:rsid w:val="00FD1727"/>
    <w:rsid w:val="00FD190F"/>
    <w:rsid w:val="00FD1A9A"/>
    <w:rsid w:val="00FD1E0F"/>
    <w:rsid w:val="00FD2A77"/>
    <w:rsid w:val="00FD2D5B"/>
    <w:rsid w:val="00FD3A37"/>
    <w:rsid w:val="00FD3F3B"/>
    <w:rsid w:val="00FD4259"/>
    <w:rsid w:val="00FD4387"/>
    <w:rsid w:val="00FD57AC"/>
    <w:rsid w:val="00FD5CEE"/>
    <w:rsid w:val="00FD6262"/>
    <w:rsid w:val="00FD62EB"/>
    <w:rsid w:val="00FD723C"/>
    <w:rsid w:val="00FD724A"/>
    <w:rsid w:val="00FD731A"/>
    <w:rsid w:val="00FD780F"/>
    <w:rsid w:val="00FD7BFF"/>
    <w:rsid w:val="00FE06F0"/>
    <w:rsid w:val="00FE09E2"/>
    <w:rsid w:val="00FE1672"/>
    <w:rsid w:val="00FE1684"/>
    <w:rsid w:val="00FE17D7"/>
    <w:rsid w:val="00FE1FC6"/>
    <w:rsid w:val="00FE22D4"/>
    <w:rsid w:val="00FE2425"/>
    <w:rsid w:val="00FE2626"/>
    <w:rsid w:val="00FE2ADD"/>
    <w:rsid w:val="00FE2E31"/>
    <w:rsid w:val="00FE38C4"/>
    <w:rsid w:val="00FE39FF"/>
    <w:rsid w:val="00FE3C96"/>
    <w:rsid w:val="00FE4862"/>
    <w:rsid w:val="00FE4AA6"/>
    <w:rsid w:val="00FE4CC3"/>
    <w:rsid w:val="00FE510D"/>
    <w:rsid w:val="00FE5833"/>
    <w:rsid w:val="00FE5A26"/>
    <w:rsid w:val="00FE6219"/>
    <w:rsid w:val="00FE6504"/>
    <w:rsid w:val="00FE66FE"/>
    <w:rsid w:val="00FE6DCC"/>
    <w:rsid w:val="00FE6E40"/>
    <w:rsid w:val="00FE7C4F"/>
    <w:rsid w:val="00FF01E7"/>
    <w:rsid w:val="00FF0ACC"/>
    <w:rsid w:val="00FF0CD7"/>
    <w:rsid w:val="00FF13F8"/>
    <w:rsid w:val="00FF198E"/>
    <w:rsid w:val="00FF1BA8"/>
    <w:rsid w:val="00FF1BCA"/>
    <w:rsid w:val="00FF2206"/>
    <w:rsid w:val="00FF2AB3"/>
    <w:rsid w:val="00FF2D4B"/>
    <w:rsid w:val="00FF2FDD"/>
    <w:rsid w:val="00FF3251"/>
    <w:rsid w:val="00FF39F6"/>
    <w:rsid w:val="00FF4D7A"/>
    <w:rsid w:val="00FF58A8"/>
    <w:rsid w:val="00FF5973"/>
    <w:rsid w:val="00FF5CB7"/>
    <w:rsid w:val="00FF6532"/>
    <w:rsid w:val="00FF68A9"/>
    <w:rsid w:val="00FF6F21"/>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49CF1"/>
  <w15:chartTrackingRefBased/>
  <w15:docId w15:val="{CB51ED3F-000E-4A70-8EC6-84435648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바탕"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Numbered - 1,ü1"/>
    <w:basedOn w:val="a"/>
    <w:next w:val="a"/>
    <w:link w:val="1Char"/>
    <w:qFormat/>
    <w:rsid w:val="002930CF"/>
    <w:pPr>
      <w:keepNext/>
      <w:widowControl w:val="0"/>
      <w:topLinePunct/>
      <w:spacing w:line="260" w:lineRule="exact"/>
      <w:jc w:val="both"/>
      <w:outlineLvl w:val="0"/>
    </w:pPr>
    <w:rPr>
      <w:rFonts w:ascii="Times New Roman" w:eastAsia="SimSun" w:hAnsi="Times New Roman"/>
      <w:b/>
      <w:bCs/>
      <w:kern w:val="2"/>
      <w:sz w:val="19"/>
      <w:szCs w:val="24"/>
      <w:lang w:eastAsia="zh-CN"/>
    </w:rPr>
  </w:style>
  <w:style w:type="paragraph" w:styleId="3">
    <w:name w:val="heading 3"/>
    <w:basedOn w:val="a"/>
    <w:next w:val="a"/>
    <w:link w:val="3Char"/>
    <w:uiPriority w:val="9"/>
    <w:semiHidden/>
    <w:unhideWhenUsed/>
    <w:qFormat/>
    <w:rsid w:val="00300B23"/>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표준1"/>
    <w:qFormat/>
    <w:pPr>
      <w:spacing w:after="200"/>
      <w:jc w:val="both"/>
    </w:pPr>
    <w:rPr>
      <w:rFonts w:ascii="Times" w:hAnsi="Times"/>
      <w:sz w:val="24"/>
    </w:rPr>
  </w:style>
  <w:style w:type="table" w:customStyle="1" w:styleId="11">
    <w:name w:val="표준 표1"/>
    <w:uiPriority w:val="99"/>
    <w:semiHidden/>
    <w:unhideWhenUsed/>
    <w:tblPr>
      <w:tblInd w:w="0" w:type="dxa"/>
      <w:tblCellMar>
        <w:top w:w="0" w:type="dxa"/>
        <w:left w:w="108" w:type="dxa"/>
        <w:bottom w:w="0" w:type="dxa"/>
        <w:right w:w="108" w:type="dxa"/>
      </w:tblCellMar>
    </w:tblPr>
  </w:style>
  <w:style w:type="numbering" w:customStyle="1" w:styleId="12">
    <w:name w:val="목록 없음1"/>
    <w:uiPriority w:val="99"/>
    <w:semiHidden/>
    <w:unhideWhenUsed/>
  </w:style>
  <w:style w:type="character" w:customStyle="1" w:styleId="13">
    <w:name w:val="열어본 하이퍼링크1"/>
    <w:rPr>
      <w:color w:val="800080"/>
      <w:u w:val="single"/>
    </w:rPr>
  </w:style>
  <w:style w:type="paragraph" w:customStyle="1" w:styleId="14">
    <w:name w:val="본문1"/>
    <w:basedOn w:val="10"/>
    <w:pPr>
      <w:jc w:val="center"/>
    </w:pPr>
    <w:rPr>
      <w:b/>
      <w:sz w:val="40"/>
    </w:rPr>
  </w:style>
  <w:style w:type="paragraph" w:customStyle="1" w:styleId="15">
    <w:name w:val="각주 텍스트1"/>
    <w:basedOn w:val="10"/>
    <w:next w:val="TFReferencesSection"/>
    <w:semiHidden/>
  </w:style>
  <w:style w:type="paragraph" w:customStyle="1" w:styleId="TFReferencesSection">
    <w:name w:val="TF_References_Section"/>
    <w:basedOn w:val="10"/>
    <w:pPr>
      <w:spacing w:line="480" w:lineRule="auto"/>
      <w:ind w:firstLine="187"/>
    </w:pPr>
    <w:rPr>
      <w:rFonts w:eastAsiaTheme="minorEastAsia"/>
    </w:rPr>
  </w:style>
  <w:style w:type="paragraph" w:customStyle="1" w:styleId="TAMainText">
    <w:name w:val="TA_Main_Text"/>
    <w:basedOn w:val="10"/>
    <w:pPr>
      <w:spacing w:after="0" w:line="480" w:lineRule="auto"/>
      <w:ind w:firstLine="202"/>
    </w:pPr>
    <w:rPr>
      <w:rFonts w:eastAsiaTheme="minorEastAsia"/>
    </w:rPr>
  </w:style>
  <w:style w:type="paragraph" w:customStyle="1" w:styleId="BATitle">
    <w:name w:val="BA_Title"/>
    <w:basedOn w:val="10"/>
    <w:next w:val="BBAuthorName"/>
    <w:pPr>
      <w:spacing w:before="720" w:after="360" w:line="480" w:lineRule="auto"/>
      <w:jc w:val="center"/>
    </w:pPr>
    <w:rPr>
      <w:rFonts w:ascii="Times New Roman" w:hAnsi="Times New Roman"/>
      <w:sz w:val="44"/>
    </w:rPr>
  </w:style>
  <w:style w:type="paragraph" w:customStyle="1" w:styleId="BBAuthorName">
    <w:name w:val="BB_Author_Name"/>
    <w:basedOn w:val="10"/>
    <w:next w:val="BCAuthorAddress"/>
    <w:pPr>
      <w:spacing w:after="240" w:line="480" w:lineRule="auto"/>
      <w:jc w:val="center"/>
    </w:pPr>
    <w:rPr>
      <w:i/>
    </w:rPr>
  </w:style>
  <w:style w:type="paragraph" w:customStyle="1" w:styleId="BCAuthorAddress">
    <w:name w:val="BC_Author_Address"/>
    <w:basedOn w:val="10"/>
    <w:next w:val="BIEmailAddress"/>
    <w:pPr>
      <w:spacing w:after="240" w:line="480" w:lineRule="auto"/>
      <w:jc w:val="center"/>
    </w:pPr>
  </w:style>
  <w:style w:type="paragraph" w:customStyle="1" w:styleId="BIEmailAddress">
    <w:name w:val="BI_Email_Address"/>
    <w:basedOn w:val="10"/>
    <w:next w:val="AIReceivedDate"/>
    <w:pPr>
      <w:spacing w:line="480" w:lineRule="auto"/>
    </w:pPr>
  </w:style>
  <w:style w:type="paragraph" w:customStyle="1" w:styleId="AIReceivedDate">
    <w:name w:val="AI_Received_Date"/>
    <w:basedOn w:val="10"/>
    <w:next w:val="BDAbstract"/>
    <w:pPr>
      <w:spacing w:after="240" w:line="480" w:lineRule="auto"/>
    </w:pPr>
    <w:rPr>
      <w:b/>
    </w:rPr>
  </w:style>
  <w:style w:type="paragraph" w:customStyle="1" w:styleId="BDAbstract">
    <w:name w:val="BD_Abstract"/>
    <w:basedOn w:val="10"/>
    <w:next w:val="TAMainText"/>
    <w:pPr>
      <w:spacing w:before="360" w:after="360" w:line="480" w:lineRule="auto"/>
    </w:pPr>
  </w:style>
  <w:style w:type="paragraph" w:customStyle="1" w:styleId="TDAcknowledgments">
    <w:name w:val="TD_Acknowledgments"/>
    <w:basedOn w:val="10"/>
    <w:next w:val="10"/>
    <w:pPr>
      <w:spacing w:before="200" w:line="480" w:lineRule="auto"/>
      <w:ind w:firstLine="202"/>
    </w:pPr>
    <w:rPr>
      <w:rFonts w:eastAsiaTheme="minorEastAsia"/>
    </w:rPr>
  </w:style>
  <w:style w:type="paragraph" w:customStyle="1" w:styleId="TESupportingInformation">
    <w:name w:val="TE_Supporting_Information"/>
    <w:basedOn w:val="10"/>
    <w:next w:val="10"/>
    <w:pPr>
      <w:spacing w:line="480" w:lineRule="auto"/>
      <w:ind w:firstLine="187"/>
    </w:pPr>
    <w:rPr>
      <w:rFonts w:eastAsiaTheme="minorEastAsia"/>
    </w:rPr>
  </w:style>
  <w:style w:type="paragraph" w:customStyle="1" w:styleId="VCSchemeTitle">
    <w:name w:val="VC_Scheme_Title"/>
    <w:basedOn w:val="10"/>
    <w:next w:val="10"/>
    <w:pPr>
      <w:spacing w:line="480" w:lineRule="auto"/>
    </w:pPr>
    <w:rPr>
      <w:rFonts w:eastAsiaTheme="minorEastAsia"/>
    </w:rPr>
  </w:style>
  <w:style w:type="paragraph" w:customStyle="1" w:styleId="VDTableTitle">
    <w:name w:val="VD_Table_Title"/>
    <w:basedOn w:val="10"/>
    <w:next w:val="10"/>
    <w:pPr>
      <w:spacing w:line="480" w:lineRule="auto"/>
    </w:pPr>
    <w:rPr>
      <w:rFonts w:eastAsiaTheme="minorEastAsia"/>
    </w:rPr>
  </w:style>
  <w:style w:type="paragraph" w:customStyle="1" w:styleId="VAFigureCaption">
    <w:name w:val="VA_Figure_Caption"/>
    <w:basedOn w:val="10"/>
    <w:next w:val="10"/>
    <w:pPr>
      <w:spacing w:line="480" w:lineRule="auto"/>
    </w:pPr>
    <w:rPr>
      <w:rFonts w:eastAsiaTheme="minorEastAsia"/>
    </w:rPr>
  </w:style>
  <w:style w:type="paragraph" w:customStyle="1" w:styleId="VBChartTitle">
    <w:name w:val="VB_Chart_Title"/>
    <w:basedOn w:val="10"/>
    <w:next w:val="10"/>
    <w:pPr>
      <w:spacing w:line="480" w:lineRule="auto"/>
    </w:pPr>
    <w:rPr>
      <w:rFonts w:eastAsiaTheme="minorEastAsia"/>
    </w:rPr>
  </w:style>
  <w:style w:type="paragraph" w:customStyle="1" w:styleId="FETableFootnote">
    <w:name w:val="FE_Table_Footnote"/>
    <w:basedOn w:val="10"/>
    <w:next w:val="10"/>
    <w:pPr>
      <w:ind w:firstLine="187"/>
    </w:pPr>
    <w:rPr>
      <w:rFonts w:eastAsiaTheme="minorEastAsia"/>
    </w:rPr>
  </w:style>
  <w:style w:type="paragraph" w:customStyle="1" w:styleId="FCChartFootnote">
    <w:name w:val="FC_Chart_Footnote"/>
    <w:basedOn w:val="10"/>
    <w:next w:val="10"/>
    <w:pPr>
      <w:ind w:firstLine="187"/>
    </w:pPr>
  </w:style>
  <w:style w:type="paragraph" w:customStyle="1" w:styleId="FDSchemeFootnote">
    <w:name w:val="FD_Scheme_Footnote"/>
    <w:basedOn w:val="10"/>
    <w:next w:val="10"/>
    <w:pPr>
      <w:ind w:firstLine="187"/>
    </w:pPr>
  </w:style>
  <w:style w:type="paragraph" w:customStyle="1" w:styleId="TCTableBody">
    <w:name w:val="TC_Table_Body"/>
    <w:basedOn w:val="10"/>
  </w:style>
  <w:style w:type="paragraph" w:customStyle="1" w:styleId="AFTitleRunningHead">
    <w:name w:val="AF_Title_Running_Head"/>
    <w:basedOn w:val="10"/>
    <w:next w:val="TAMainText"/>
    <w:pPr>
      <w:spacing w:line="480" w:lineRule="auto"/>
    </w:pPr>
  </w:style>
  <w:style w:type="paragraph" w:customStyle="1" w:styleId="BEAuthorBiography">
    <w:name w:val="BE_Author_Biography"/>
    <w:basedOn w:val="10"/>
    <w:pPr>
      <w:spacing w:line="480" w:lineRule="auto"/>
    </w:pPr>
  </w:style>
  <w:style w:type="paragraph" w:customStyle="1" w:styleId="FACorrespondingAuthorFootnote">
    <w:name w:val="FA_Corresponding_Author_Footnote"/>
    <w:basedOn w:val="10"/>
    <w:next w:val="TAMainText"/>
    <w:pPr>
      <w:spacing w:line="480" w:lineRule="auto"/>
    </w:pPr>
  </w:style>
  <w:style w:type="paragraph" w:customStyle="1" w:styleId="SNSynopsisTOC">
    <w:name w:val="SN_Synopsis_TOC"/>
    <w:basedOn w:val="10"/>
    <w:pPr>
      <w:spacing w:line="480" w:lineRule="auto"/>
    </w:pPr>
  </w:style>
  <w:style w:type="character" w:customStyle="1" w:styleId="16">
    <w:name w:val="하이퍼링크1"/>
    <w:rPr>
      <w:color w:val="0000FF"/>
      <w:u w:val="single"/>
    </w:rPr>
  </w:style>
  <w:style w:type="paragraph" w:customStyle="1" w:styleId="17">
    <w:name w:val="바닥글1"/>
    <w:basedOn w:val="10"/>
    <w:pPr>
      <w:tabs>
        <w:tab w:val="center" w:pos="4320"/>
        <w:tab w:val="right" w:pos="8640"/>
      </w:tabs>
    </w:pPr>
  </w:style>
  <w:style w:type="paragraph" w:customStyle="1" w:styleId="BGKeywords">
    <w:name w:val="BG_Keywords"/>
    <w:basedOn w:val="10"/>
    <w:pPr>
      <w:spacing w:line="480" w:lineRule="auto"/>
    </w:pPr>
  </w:style>
  <w:style w:type="paragraph" w:customStyle="1" w:styleId="BHBriefs">
    <w:name w:val="BH_Briefs"/>
    <w:basedOn w:val="10"/>
    <w:pPr>
      <w:spacing w:line="480" w:lineRule="auto"/>
    </w:pPr>
  </w:style>
  <w:style w:type="character" w:customStyle="1" w:styleId="18">
    <w:name w:val="페이지 번호1"/>
    <w:basedOn w:val="a0"/>
  </w:style>
  <w:style w:type="paragraph" w:customStyle="1" w:styleId="19">
    <w:name w:val="머리글1"/>
    <w:basedOn w:val="10"/>
    <w:link w:val="Char"/>
    <w:unhideWhenUsed/>
    <w:rsid w:val="00CE4C95"/>
    <w:pPr>
      <w:tabs>
        <w:tab w:val="center" w:pos="4513"/>
        <w:tab w:val="right" w:pos="9026"/>
      </w:tabs>
      <w:snapToGrid w:val="0"/>
    </w:pPr>
  </w:style>
  <w:style w:type="character" w:customStyle="1" w:styleId="Char">
    <w:name w:val="머리글 Char"/>
    <w:link w:val="19"/>
    <w:uiPriority w:val="99"/>
    <w:rsid w:val="00CE4C95"/>
    <w:rPr>
      <w:rFonts w:ascii="Times" w:hAnsi="Times"/>
      <w:sz w:val="24"/>
      <w:lang w:eastAsia="en-US"/>
    </w:rPr>
  </w:style>
  <w:style w:type="paragraph" w:styleId="a3">
    <w:name w:val="Balloon Text"/>
    <w:next w:val="a4"/>
    <w:semiHidden/>
    <w:rsid w:val="00E96302"/>
    <w:rPr>
      <w:rFonts w:ascii="Tahoma" w:eastAsiaTheme="minorEastAsia" w:hAnsi="Tahoma" w:cs="Tahoma"/>
      <w:sz w:val="16"/>
      <w:szCs w:val="16"/>
    </w:rPr>
  </w:style>
  <w:style w:type="character" w:customStyle="1" w:styleId="1a">
    <w:name w:val="메모 참조1"/>
    <w:rsid w:val="00D54740"/>
    <w:rPr>
      <w:sz w:val="16"/>
      <w:szCs w:val="16"/>
    </w:rPr>
  </w:style>
  <w:style w:type="paragraph" w:styleId="a4">
    <w:name w:val="annotation text"/>
    <w:link w:val="Char1"/>
    <w:uiPriority w:val="99"/>
    <w:rsid w:val="008B7DA9"/>
    <w:rPr>
      <w:rFonts w:ascii="Tahoma" w:hAnsi="Tahoma" w:cs="Tahoma"/>
      <w:b/>
      <w:sz w:val="16"/>
      <w:lang w:eastAsia="ko-KR"/>
    </w:rPr>
  </w:style>
  <w:style w:type="paragraph" w:customStyle="1" w:styleId="1b">
    <w:name w:val="메모 주제1"/>
    <w:next w:val="a4"/>
    <w:semiHidden/>
    <w:rsid w:val="00D54740"/>
    <w:rPr>
      <w:rFonts w:ascii="Tahoma" w:hAnsi="Tahoma" w:cs="Tahoma"/>
      <w:b/>
      <w:bCs/>
      <w:sz w:val="16"/>
    </w:rPr>
  </w:style>
  <w:style w:type="character" w:customStyle="1" w:styleId="1c">
    <w:name w:val="각주 참조1"/>
    <w:semiHidden/>
    <w:unhideWhenUsed/>
    <w:rsid w:val="00725F50"/>
    <w:rPr>
      <w:vertAlign w:val="superscript"/>
    </w:rPr>
  </w:style>
  <w:style w:type="paragraph" w:customStyle="1" w:styleId="1d">
    <w:name w:val="미주 텍스트1"/>
    <w:basedOn w:val="10"/>
    <w:link w:val="Char0"/>
    <w:uiPriority w:val="99"/>
    <w:semiHidden/>
    <w:unhideWhenUsed/>
    <w:rsid w:val="00725F50"/>
    <w:pPr>
      <w:snapToGrid w:val="0"/>
      <w:jc w:val="left"/>
    </w:pPr>
  </w:style>
  <w:style w:type="character" w:customStyle="1" w:styleId="Char0">
    <w:name w:val="미주 텍스트 Char"/>
    <w:link w:val="1d"/>
    <w:uiPriority w:val="99"/>
    <w:semiHidden/>
    <w:rsid w:val="00725F50"/>
    <w:rPr>
      <w:rFonts w:ascii="Times" w:hAnsi="Times"/>
      <w:sz w:val="24"/>
      <w:lang w:eastAsia="en-US"/>
    </w:rPr>
  </w:style>
  <w:style w:type="character" w:customStyle="1" w:styleId="1e">
    <w:name w:val="미주 참조1"/>
    <w:uiPriority w:val="99"/>
    <w:semiHidden/>
    <w:unhideWhenUsed/>
    <w:rsid w:val="00725F50"/>
    <w:rPr>
      <w:vertAlign w:val="superscript"/>
    </w:rPr>
  </w:style>
  <w:style w:type="paragraph" w:customStyle="1" w:styleId="1f">
    <w:name w:val="수정1"/>
    <w:hidden/>
    <w:uiPriority w:val="99"/>
    <w:semiHidden/>
    <w:rsid w:val="001250D1"/>
    <w:rPr>
      <w:rFonts w:ascii="Times" w:hAnsi="Times"/>
      <w:sz w:val="24"/>
    </w:rPr>
  </w:style>
  <w:style w:type="paragraph" w:customStyle="1" w:styleId="1f0">
    <w:name w:val="일반 (웹)1"/>
    <w:basedOn w:val="10"/>
    <w:uiPriority w:val="99"/>
    <w:unhideWhenUsed/>
    <w:rsid w:val="008C1B86"/>
    <w:pPr>
      <w:spacing w:before="100" w:beforeAutospacing="1" w:after="100" w:afterAutospacing="1"/>
      <w:jc w:val="left"/>
    </w:pPr>
    <w:rPr>
      <w:rFonts w:ascii="Times New Roman" w:eastAsia="맑은 고딕" w:hAnsi="Times New Roman"/>
      <w:szCs w:val="24"/>
      <w:lang w:eastAsia="ko-KR"/>
    </w:rPr>
  </w:style>
  <w:style w:type="paragraph" w:customStyle="1" w:styleId="ExperimentalText">
    <w:name w:val="Experimental Text"/>
    <w:basedOn w:val="10"/>
    <w:link w:val="ExperimentalTextChar"/>
    <w:autoRedefine/>
    <w:rsid w:val="00F35A7E"/>
    <w:pPr>
      <w:spacing w:after="0" w:line="480" w:lineRule="auto"/>
    </w:pPr>
    <w:rPr>
      <w:rFonts w:ascii="Times New Roman" w:eastAsia="MS Mincho" w:hAnsi="Times New Roman"/>
      <w:szCs w:val="24"/>
      <w:lang w:eastAsia="ko-KR"/>
    </w:rPr>
  </w:style>
  <w:style w:type="character" w:customStyle="1" w:styleId="ExperimentalTextChar">
    <w:name w:val="Experimental Text Char"/>
    <w:link w:val="ExperimentalText"/>
    <w:rsid w:val="00F35A7E"/>
    <w:rPr>
      <w:rFonts w:ascii="Times New Roman" w:eastAsia="MS Mincho" w:hAnsi="Times New Roman"/>
      <w:sz w:val="24"/>
      <w:szCs w:val="24"/>
    </w:rPr>
  </w:style>
  <w:style w:type="character" w:customStyle="1" w:styleId="a5">
    <w:name w:val="......."/>
    <w:rsid w:val="00961D77"/>
    <w:rPr>
      <w:color w:val="000000"/>
      <w:sz w:val="28"/>
      <w:szCs w:val="28"/>
    </w:rPr>
  </w:style>
  <w:style w:type="character" w:customStyle="1" w:styleId="Char2">
    <w:name w:val="메모 텍스트 Char"/>
    <w:uiPriority w:val="99"/>
    <w:semiHidden/>
    <w:rsid w:val="000F4704"/>
    <w:rPr>
      <w:rFonts w:ascii="Tahoma" w:hAnsi="Tahoma" w:cs="Tahoma"/>
      <w:sz w:val="16"/>
    </w:rPr>
  </w:style>
  <w:style w:type="paragraph" w:customStyle="1" w:styleId="StyleFACorrespondingAuthorFootnote7pt">
    <w:name w:val="Style FA_Corresponding_Author_Footnote + 7 pt"/>
    <w:basedOn w:val="10"/>
    <w:next w:val="BGKeywords"/>
    <w:link w:val="StyleFACorrespondingAuthorFootnote7ptChar"/>
    <w:autoRedefine/>
    <w:rsid w:val="000F574B"/>
    <w:pPr>
      <w:spacing w:after="0"/>
      <w:jc w:val="left"/>
    </w:pPr>
    <w:rPr>
      <w:rFonts w:ascii="Arno Pro" w:eastAsiaTheme="minorEastAsia" w:hAnsi="Arno Pro"/>
      <w:kern w:val="20"/>
      <w:sz w:val="18"/>
    </w:rPr>
  </w:style>
  <w:style w:type="character" w:customStyle="1" w:styleId="StyleFACorrespondingAuthorFootnote7ptChar">
    <w:name w:val="Style FA_Corresponding_Author_Footnote + 7 pt Char"/>
    <w:link w:val="StyleFACorrespondingAuthorFootnote7pt"/>
    <w:rsid w:val="000F574B"/>
    <w:rPr>
      <w:rFonts w:ascii="Arno Pro" w:eastAsiaTheme="minorEastAsia" w:hAnsi="Arno Pro"/>
      <w:kern w:val="20"/>
      <w:sz w:val="18"/>
    </w:rPr>
  </w:style>
  <w:style w:type="paragraph" w:customStyle="1" w:styleId="FAAuthorInfoSubtitle">
    <w:name w:val="FA_Author_Info_Subtitle"/>
    <w:basedOn w:val="10"/>
    <w:link w:val="FAAuthorInfoSubtitleChar"/>
    <w:autoRedefine/>
    <w:rsid w:val="000F574B"/>
    <w:pPr>
      <w:spacing w:before="120" w:after="60" w:line="480" w:lineRule="auto"/>
      <w:jc w:val="left"/>
    </w:pPr>
    <w:rPr>
      <w:rFonts w:eastAsiaTheme="minorEastAsia" w:cs="Times"/>
      <w:b/>
    </w:rPr>
  </w:style>
  <w:style w:type="character" w:customStyle="1" w:styleId="FAAuthorInfoSubtitleChar">
    <w:name w:val="FA_Author_Info_Subtitle Char"/>
    <w:link w:val="FAAuthorInfoSubtitle"/>
    <w:rsid w:val="000F574B"/>
    <w:rPr>
      <w:rFonts w:ascii="Times" w:eastAsiaTheme="minorEastAsia" w:hAnsi="Times" w:cs="Times"/>
      <w:b/>
      <w:sz w:val="24"/>
    </w:rPr>
  </w:style>
  <w:style w:type="paragraph" w:customStyle="1" w:styleId="Default">
    <w:name w:val="Default"/>
    <w:rsid w:val="000F574B"/>
    <w:pPr>
      <w:autoSpaceDE w:val="0"/>
      <w:autoSpaceDN w:val="0"/>
      <w:adjustRightInd w:val="0"/>
    </w:pPr>
    <w:rPr>
      <w:rFonts w:ascii="Symbol" w:eastAsiaTheme="minorEastAsia" w:hAnsi="Symbol" w:cs="Symbol"/>
      <w:color w:val="000000"/>
      <w:sz w:val="24"/>
      <w:szCs w:val="24"/>
    </w:rPr>
  </w:style>
  <w:style w:type="character" w:customStyle="1" w:styleId="Char1">
    <w:name w:val="메모 텍스트 Char1"/>
    <w:basedOn w:val="a0"/>
    <w:link w:val="a4"/>
    <w:rsid w:val="000F574B"/>
    <w:rPr>
      <w:rFonts w:ascii="Tahoma" w:hAnsi="Tahoma" w:cs="Tahoma"/>
      <w:b/>
      <w:sz w:val="16"/>
      <w:lang w:eastAsia="ko-KR"/>
    </w:rPr>
  </w:style>
  <w:style w:type="paragraph" w:customStyle="1" w:styleId="TSongREF">
    <w:name w:val="TSong_REF"/>
    <w:basedOn w:val="10"/>
    <w:rsid w:val="00235A40"/>
    <w:pPr>
      <w:numPr>
        <w:numId w:val="22"/>
      </w:numPr>
      <w:tabs>
        <w:tab w:val="num" w:pos="475"/>
      </w:tabs>
      <w:spacing w:after="0" w:line="300" w:lineRule="auto"/>
      <w:ind w:left="475"/>
    </w:pPr>
    <w:rPr>
      <w:rFonts w:ascii="Times New Roman" w:hAnsi="Times New Roman"/>
      <w:sz w:val="22"/>
      <w:szCs w:val="22"/>
      <w:lang w:eastAsia="ko-KR"/>
    </w:rPr>
  </w:style>
  <w:style w:type="paragraph" w:styleId="a6">
    <w:name w:val="List Paragraph"/>
    <w:basedOn w:val="10"/>
    <w:uiPriority w:val="34"/>
    <w:qFormat/>
    <w:rsid w:val="00105F05"/>
    <w:pPr>
      <w:ind w:leftChars="400" w:left="800"/>
    </w:pPr>
    <w:rPr>
      <w:rFonts w:eastAsiaTheme="minorEastAsia"/>
    </w:rPr>
  </w:style>
  <w:style w:type="character" w:styleId="a7">
    <w:name w:val="Placeholder Text"/>
    <w:basedOn w:val="a0"/>
    <w:uiPriority w:val="99"/>
    <w:semiHidden/>
    <w:rsid w:val="000F574B"/>
    <w:rPr>
      <w:color w:val="808080"/>
    </w:rPr>
  </w:style>
  <w:style w:type="character" w:customStyle="1" w:styleId="HeaderChar">
    <w:name w:val="Header Char"/>
    <w:basedOn w:val="a0"/>
    <w:rsid w:val="000F574B"/>
    <w:rPr>
      <w:rFonts w:ascii="Times" w:hAnsi="Times"/>
      <w:sz w:val="24"/>
    </w:rPr>
  </w:style>
  <w:style w:type="paragraph" w:customStyle="1" w:styleId="Text">
    <w:name w:val="Text"/>
    <w:rsid w:val="000F574B"/>
    <w:pPr>
      <w:widowControl w:val="0"/>
      <w:pBdr>
        <w:top w:val="nil"/>
        <w:left w:val="nil"/>
        <w:bottom w:val="nil"/>
        <w:right w:val="nil"/>
        <w:between w:val="nil"/>
        <w:bar w:val="nil"/>
      </w:pBdr>
      <w:spacing w:after="200" w:line="252" w:lineRule="auto"/>
      <w:ind w:firstLine="202"/>
      <w:jc w:val="both"/>
    </w:pPr>
    <w:rPr>
      <w:rFonts w:ascii="맑은 고딕" w:eastAsia="맑은 고딕" w:hAnsi="맑은 고딕" w:cs="맑은 고딕"/>
      <w:color w:val="000000"/>
      <w:kern w:val="2"/>
      <w:u w:color="000000"/>
      <w:bdr w:val="nil"/>
      <w:lang w:eastAsia="ko-KR"/>
    </w:rPr>
  </w:style>
  <w:style w:type="paragraph" w:styleId="a8">
    <w:name w:val="annotation subject"/>
    <w:next w:val="a4"/>
    <w:link w:val="Char3"/>
    <w:uiPriority w:val="99"/>
    <w:semiHidden/>
    <w:unhideWhenUsed/>
    <w:rsid w:val="000F6674"/>
    <w:rPr>
      <w:rFonts w:ascii="Tahoma" w:hAnsi="Tahoma" w:cs="Tahoma"/>
      <w:b/>
      <w:bCs/>
      <w:sz w:val="16"/>
      <w:lang w:eastAsia="ko-KR"/>
    </w:rPr>
  </w:style>
  <w:style w:type="character" w:customStyle="1" w:styleId="Char3">
    <w:name w:val="메모 주제 Char"/>
    <w:basedOn w:val="Char1"/>
    <w:link w:val="a8"/>
    <w:uiPriority w:val="99"/>
    <w:semiHidden/>
    <w:rsid w:val="000F6674"/>
    <w:rPr>
      <w:rFonts w:ascii="Tahoma" w:hAnsi="Tahoma" w:cs="Tahoma"/>
      <w:b/>
      <w:bCs/>
      <w:sz w:val="16"/>
      <w:lang w:eastAsia="ko-KR"/>
    </w:rPr>
  </w:style>
  <w:style w:type="character" w:styleId="a9">
    <w:name w:val="annotation reference"/>
    <w:basedOn w:val="a0"/>
    <w:uiPriority w:val="99"/>
    <w:semiHidden/>
    <w:unhideWhenUsed/>
    <w:rsid w:val="000F6674"/>
    <w:rPr>
      <w:sz w:val="16"/>
      <w:szCs w:val="16"/>
    </w:rPr>
  </w:style>
  <w:style w:type="paragraph" w:styleId="aa">
    <w:name w:val="header"/>
    <w:basedOn w:val="a"/>
    <w:link w:val="Char10"/>
    <w:unhideWhenUsed/>
    <w:rsid w:val="003955F7"/>
    <w:pPr>
      <w:tabs>
        <w:tab w:val="center" w:pos="4513"/>
        <w:tab w:val="right" w:pos="9026"/>
      </w:tabs>
      <w:snapToGrid w:val="0"/>
    </w:pPr>
  </w:style>
  <w:style w:type="character" w:customStyle="1" w:styleId="Char10">
    <w:name w:val="머리글 Char1"/>
    <w:basedOn w:val="a0"/>
    <w:link w:val="aa"/>
    <w:rsid w:val="003955F7"/>
  </w:style>
  <w:style w:type="paragraph" w:styleId="ab">
    <w:name w:val="footer"/>
    <w:basedOn w:val="a"/>
    <w:link w:val="Char4"/>
    <w:unhideWhenUsed/>
    <w:rsid w:val="003955F7"/>
    <w:pPr>
      <w:tabs>
        <w:tab w:val="center" w:pos="4513"/>
        <w:tab w:val="right" w:pos="9026"/>
      </w:tabs>
      <w:snapToGrid w:val="0"/>
    </w:pPr>
  </w:style>
  <w:style w:type="character" w:customStyle="1" w:styleId="Char4">
    <w:name w:val="바닥글 Char"/>
    <w:basedOn w:val="a0"/>
    <w:link w:val="ab"/>
    <w:rsid w:val="003955F7"/>
  </w:style>
  <w:style w:type="character" w:styleId="ac">
    <w:name w:val="Hyperlink"/>
    <w:rsid w:val="00A36CB9"/>
    <w:rPr>
      <w:color w:val="0000FF"/>
      <w:u w:val="single"/>
    </w:rPr>
  </w:style>
  <w:style w:type="paragraph" w:customStyle="1" w:styleId="ad">
    <w:name w:val="表头"/>
    <w:basedOn w:val="a"/>
    <w:rsid w:val="007306CC"/>
    <w:pPr>
      <w:widowControl w:val="0"/>
      <w:topLinePunct/>
      <w:adjustRightInd w:val="0"/>
      <w:snapToGrid w:val="0"/>
      <w:spacing w:beforeLines="100" w:before="100" w:afterLines="20" w:after="20" w:line="220" w:lineRule="exact"/>
      <w:jc w:val="both"/>
    </w:pPr>
    <w:rPr>
      <w:rFonts w:ascii="Times New Roman" w:eastAsia="SimSun" w:hAnsi="Times New Roman"/>
      <w:kern w:val="2"/>
      <w:sz w:val="18"/>
      <w:szCs w:val="24"/>
      <w:lang w:eastAsia="zh-CN"/>
    </w:rPr>
  </w:style>
  <w:style w:type="character" w:customStyle="1" w:styleId="1Char">
    <w:name w:val="제목 1 Char"/>
    <w:aliases w:val="Numbered - 1 Char,ü1 Char"/>
    <w:basedOn w:val="a0"/>
    <w:link w:val="1"/>
    <w:rsid w:val="002930CF"/>
    <w:rPr>
      <w:rFonts w:ascii="Times New Roman" w:eastAsia="SimSun" w:hAnsi="Times New Roman"/>
      <w:b/>
      <w:bCs/>
      <w:kern w:val="2"/>
      <w:sz w:val="19"/>
      <w:szCs w:val="24"/>
      <w:lang w:eastAsia="zh-CN"/>
    </w:rPr>
  </w:style>
  <w:style w:type="paragraph" w:customStyle="1" w:styleId="2019BT2">
    <w:name w:val="2019BT2"/>
    <w:basedOn w:val="a"/>
    <w:rsid w:val="00065013"/>
    <w:pPr>
      <w:keepNext/>
      <w:widowControl w:val="0"/>
      <w:topLinePunct/>
      <w:adjustRightInd w:val="0"/>
      <w:snapToGrid w:val="0"/>
      <w:spacing w:beforeLines="70" w:before="218" w:afterLines="20" w:after="62" w:line="256" w:lineRule="atLeast"/>
      <w:jc w:val="both"/>
      <w:outlineLvl w:val="0"/>
    </w:pPr>
    <w:rPr>
      <w:rFonts w:ascii="Minion Pro" w:eastAsia="SimSun" w:hAnsi="Minion Pro"/>
      <w:b/>
      <w:bCs/>
      <w:color w:val="FF0000"/>
      <w:kern w:val="2"/>
      <w:sz w:val="24"/>
      <w:szCs w:val="24"/>
      <w:lang w:eastAsia="zh-CN"/>
    </w:rPr>
  </w:style>
  <w:style w:type="character" w:customStyle="1" w:styleId="1f1">
    <w:name w:val="확인되지 않은 멘션1"/>
    <w:basedOn w:val="a0"/>
    <w:uiPriority w:val="99"/>
    <w:semiHidden/>
    <w:unhideWhenUsed/>
    <w:rsid w:val="008E620E"/>
    <w:rPr>
      <w:color w:val="605E5C"/>
      <w:shd w:val="clear" w:color="auto" w:fill="E1DFDD"/>
    </w:rPr>
  </w:style>
  <w:style w:type="paragraph" w:customStyle="1" w:styleId="Legend">
    <w:name w:val="Legend"/>
    <w:basedOn w:val="a"/>
    <w:rsid w:val="00EF246F"/>
    <w:rPr>
      <w:rFonts w:ascii="Times New Roman" w:eastAsia="MS Mincho" w:hAnsi="Times New Roman"/>
      <w:sz w:val="24"/>
      <w:szCs w:val="24"/>
      <w:lang w:eastAsia="ja-JP"/>
    </w:rPr>
  </w:style>
  <w:style w:type="character" w:customStyle="1" w:styleId="katex-mathml">
    <w:name w:val="katex-mathml"/>
    <w:basedOn w:val="a0"/>
    <w:rsid w:val="00EF246F"/>
  </w:style>
  <w:style w:type="character" w:styleId="ae">
    <w:name w:val="Unresolved Mention"/>
    <w:basedOn w:val="a0"/>
    <w:uiPriority w:val="99"/>
    <w:semiHidden/>
    <w:unhideWhenUsed/>
    <w:rsid w:val="0035614C"/>
    <w:rPr>
      <w:color w:val="605E5C"/>
      <w:shd w:val="clear" w:color="auto" w:fill="E1DFDD"/>
    </w:rPr>
  </w:style>
  <w:style w:type="paragraph" w:styleId="af">
    <w:name w:val="caption"/>
    <w:basedOn w:val="a"/>
    <w:next w:val="a"/>
    <w:uiPriority w:val="35"/>
    <w:unhideWhenUsed/>
    <w:qFormat/>
    <w:rsid w:val="00A208DB"/>
    <w:rPr>
      <w:b/>
      <w:bCs/>
    </w:rPr>
  </w:style>
  <w:style w:type="paragraph" w:styleId="af0">
    <w:name w:val="Normal (Web)"/>
    <w:basedOn w:val="a"/>
    <w:uiPriority w:val="99"/>
    <w:semiHidden/>
    <w:unhideWhenUsed/>
    <w:rsid w:val="006C1D3B"/>
    <w:rPr>
      <w:rFonts w:ascii="Times New Roman" w:hAnsi="Times New Roman"/>
      <w:sz w:val="24"/>
      <w:szCs w:val="24"/>
    </w:rPr>
  </w:style>
  <w:style w:type="paragraph" w:customStyle="1" w:styleId="msonormal0">
    <w:name w:val="msonormal"/>
    <w:basedOn w:val="a"/>
    <w:rsid w:val="0051379F"/>
    <w:pPr>
      <w:spacing w:before="100" w:beforeAutospacing="1" w:after="100" w:afterAutospacing="1"/>
    </w:pPr>
    <w:rPr>
      <w:rFonts w:ascii="굴림" w:eastAsia="굴림" w:hAnsi="굴림" w:cs="굴림"/>
      <w:sz w:val="24"/>
      <w:szCs w:val="24"/>
      <w:lang w:eastAsia="ko-KR"/>
    </w:rPr>
  </w:style>
  <w:style w:type="paragraph" w:customStyle="1" w:styleId="Maintext">
    <w:name w:val="Main text"/>
    <w:basedOn w:val="a"/>
    <w:link w:val="MaintextChar"/>
    <w:autoRedefine/>
    <w:rsid w:val="00915578"/>
    <w:pPr>
      <w:spacing w:line="480" w:lineRule="auto"/>
    </w:pPr>
    <w:rPr>
      <w:rFonts w:ascii="Times New Roman" w:eastAsia="MS Mincho" w:hAnsi="Times New Roman"/>
      <w:sz w:val="24"/>
      <w:szCs w:val="24"/>
      <w:lang w:eastAsia="ja-JP"/>
    </w:rPr>
  </w:style>
  <w:style w:type="character" w:customStyle="1" w:styleId="MaintextChar">
    <w:name w:val="Main text Char"/>
    <w:link w:val="Maintext"/>
    <w:rsid w:val="00915578"/>
    <w:rPr>
      <w:rFonts w:ascii="Times New Roman" w:eastAsia="MS Mincho" w:hAnsi="Times New Roman"/>
      <w:sz w:val="24"/>
      <w:szCs w:val="24"/>
      <w:lang w:eastAsia="ja-JP"/>
    </w:rPr>
  </w:style>
  <w:style w:type="character" w:customStyle="1" w:styleId="selected">
    <w:name w:val="selected"/>
    <w:basedOn w:val="a0"/>
    <w:rsid w:val="00915578"/>
  </w:style>
  <w:style w:type="table" w:styleId="af1">
    <w:name w:val="Table Grid"/>
    <w:basedOn w:val="a1"/>
    <w:uiPriority w:val="59"/>
    <w:rsid w:val="006D7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FE510D"/>
  </w:style>
  <w:style w:type="character" w:styleId="af3">
    <w:name w:val="Strong"/>
    <w:basedOn w:val="a0"/>
    <w:uiPriority w:val="22"/>
    <w:qFormat/>
    <w:rsid w:val="003A68A3"/>
    <w:rPr>
      <w:b/>
      <w:bCs/>
    </w:rPr>
  </w:style>
  <w:style w:type="character" w:customStyle="1" w:styleId="3Char">
    <w:name w:val="제목 3 Char"/>
    <w:basedOn w:val="a0"/>
    <w:link w:val="3"/>
    <w:uiPriority w:val="9"/>
    <w:semiHidden/>
    <w:rsid w:val="00300B23"/>
    <w:rPr>
      <w:rFonts w:asciiTheme="majorHAnsi" w:eastAsiaTheme="majorEastAsia" w:hAnsiTheme="majorHAnsi" w:cstheme="majorBidi"/>
    </w:rPr>
  </w:style>
  <w:style w:type="table" w:styleId="af4">
    <w:name w:val="Grid Table Light"/>
    <w:basedOn w:val="a1"/>
    <w:uiPriority w:val="40"/>
    <w:rsid w:val="00597C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2">
    <w:name w:val="Plain Table 1"/>
    <w:basedOn w:val="a1"/>
    <w:uiPriority w:val="41"/>
    <w:rsid w:val="00597C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
    <w:name w:val="Plain Table 2"/>
    <w:basedOn w:val="a1"/>
    <w:uiPriority w:val="42"/>
    <w:rsid w:val="00597C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80828">
      <w:bodyDiv w:val="1"/>
      <w:marLeft w:val="0"/>
      <w:marRight w:val="0"/>
      <w:marTop w:val="0"/>
      <w:marBottom w:val="0"/>
      <w:divBdr>
        <w:top w:val="none" w:sz="0" w:space="0" w:color="auto"/>
        <w:left w:val="none" w:sz="0" w:space="0" w:color="auto"/>
        <w:bottom w:val="none" w:sz="0" w:space="0" w:color="auto"/>
        <w:right w:val="none" w:sz="0" w:space="0" w:color="auto"/>
      </w:divBdr>
    </w:div>
    <w:div w:id="267665837">
      <w:bodyDiv w:val="1"/>
      <w:marLeft w:val="0"/>
      <w:marRight w:val="0"/>
      <w:marTop w:val="0"/>
      <w:marBottom w:val="0"/>
      <w:divBdr>
        <w:top w:val="none" w:sz="0" w:space="0" w:color="auto"/>
        <w:left w:val="none" w:sz="0" w:space="0" w:color="auto"/>
        <w:bottom w:val="none" w:sz="0" w:space="0" w:color="auto"/>
        <w:right w:val="none" w:sz="0" w:space="0" w:color="auto"/>
      </w:divBdr>
    </w:div>
    <w:div w:id="579951529">
      <w:bodyDiv w:val="1"/>
      <w:marLeft w:val="0"/>
      <w:marRight w:val="0"/>
      <w:marTop w:val="0"/>
      <w:marBottom w:val="0"/>
      <w:divBdr>
        <w:top w:val="none" w:sz="0" w:space="0" w:color="auto"/>
        <w:left w:val="none" w:sz="0" w:space="0" w:color="auto"/>
        <w:bottom w:val="none" w:sz="0" w:space="0" w:color="auto"/>
        <w:right w:val="none" w:sz="0" w:space="0" w:color="auto"/>
      </w:divBdr>
      <w:divsChild>
        <w:div w:id="1423184788">
          <w:marLeft w:val="640"/>
          <w:marRight w:val="0"/>
          <w:marTop w:val="0"/>
          <w:marBottom w:val="0"/>
          <w:divBdr>
            <w:top w:val="none" w:sz="0" w:space="0" w:color="auto"/>
            <w:left w:val="none" w:sz="0" w:space="0" w:color="auto"/>
            <w:bottom w:val="none" w:sz="0" w:space="0" w:color="auto"/>
            <w:right w:val="none" w:sz="0" w:space="0" w:color="auto"/>
          </w:divBdr>
        </w:div>
      </w:divsChild>
    </w:div>
    <w:div w:id="611598386">
      <w:bodyDiv w:val="1"/>
      <w:marLeft w:val="0"/>
      <w:marRight w:val="0"/>
      <w:marTop w:val="0"/>
      <w:marBottom w:val="0"/>
      <w:divBdr>
        <w:top w:val="none" w:sz="0" w:space="0" w:color="auto"/>
        <w:left w:val="none" w:sz="0" w:space="0" w:color="auto"/>
        <w:bottom w:val="none" w:sz="0" w:space="0" w:color="auto"/>
        <w:right w:val="none" w:sz="0" w:space="0" w:color="auto"/>
      </w:divBdr>
    </w:div>
    <w:div w:id="719328138">
      <w:bodyDiv w:val="1"/>
      <w:marLeft w:val="0"/>
      <w:marRight w:val="0"/>
      <w:marTop w:val="0"/>
      <w:marBottom w:val="0"/>
      <w:divBdr>
        <w:top w:val="none" w:sz="0" w:space="0" w:color="auto"/>
        <w:left w:val="none" w:sz="0" w:space="0" w:color="auto"/>
        <w:bottom w:val="none" w:sz="0" w:space="0" w:color="auto"/>
        <w:right w:val="none" w:sz="0" w:space="0" w:color="auto"/>
      </w:divBdr>
    </w:div>
    <w:div w:id="722287648">
      <w:bodyDiv w:val="1"/>
      <w:marLeft w:val="0"/>
      <w:marRight w:val="0"/>
      <w:marTop w:val="0"/>
      <w:marBottom w:val="0"/>
      <w:divBdr>
        <w:top w:val="none" w:sz="0" w:space="0" w:color="auto"/>
        <w:left w:val="none" w:sz="0" w:space="0" w:color="auto"/>
        <w:bottom w:val="none" w:sz="0" w:space="0" w:color="auto"/>
        <w:right w:val="none" w:sz="0" w:space="0" w:color="auto"/>
      </w:divBdr>
    </w:div>
    <w:div w:id="727536884">
      <w:bodyDiv w:val="1"/>
      <w:marLeft w:val="0"/>
      <w:marRight w:val="0"/>
      <w:marTop w:val="0"/>
      <w:marBottom w:val="0"/>
      <w:divBdr>
        <w:top w:val="none" w:sz="0" w:space="0" w:color="auto"/>
        <w:left w:val="none" w:sz="0" w:space="0" w:color="auto"/>
        <w:bottom w:val="none" w:sz="0" w:space="0" w:color="auto"/>
        <w:right w:val="none" w:sz="0" w:space="0" w:color="auto"/>
      </w:divBdr>
    </w:div>
    <w:div w:id="744032211">
      <w:bodyDiv w:val="1"/>
      <w:marLeft w:val="0"/>
      <w:marRight w:val="0"/>
      <w:marTop w:val="0"/>
      <w:marBottom w:val="0"/>
      <w:divBdr>
        <w:top w:val="none" w:sz="0" w:space="0" w:color="auto"/>
        <w:left w:val="none" w:sz="0" w:space="0" w:color="auto"/>
        <w:bottom w:val="none" w:sz="0" w:space="0" w:color="auto"/>
        <w:right w:val="none" w:sz="0" w:space="0" w:color="auto"/>
      </w:divBdr>
      <w:divsChild>
        <w:div w:id="872233507">
          <w:marLeft w:val="640"/>
          <w:marRight w:val="0"/>
          <w:marTop w:val="0"/>
          <w:marBottom w:val="0"/>
          <w:divBdr>
            <w:top w:val="none" w:sz="0" w:space="0" w:color="auto"/>
            <w:left w:val="none" w:sz="0" w:space="0" w:color="auto"/>
            <w:bottom w:val="none" w:sz="0" w:space="0" w:color="auto"/>
            <w:right w:val="none" w:sz="0" w:space="0" w:color="auto"/>
          </w:divBdr>
        </w:div>
      </w:divsChild>
    </w:div>
    <w:div w:id="784889012">
      <w:bodyDiv w:val="1"/>
      <w:marLeft w:val="0"/>
      <w:marRight w:val="0"/>
      <w:marTop w:val="0"/>
      <w:marBottom w:val="0"/>
      <w:divBdr>
        <w:top w:val="none" w:sz="0" w:space="0" w:color="auto"/>
        <w:left w:val="none" w:sz="0" w:space="0" w:color="auto"/>
        <w:bottom w:val="none" w:sz="0" w:space="0" w:color="auto"/>
        <w:right w:val="none" w:sz="0" w:space="0" w:color="auto"/>
      </w:divBdr>
    </w:div>
    <w:div w:id="789741417">
      <w:bodyDiv w:val="1"/>
      <w:marLeft w:val="0"/>
      <w:marRight w:val="0"/>
      <w:marTop w:val="0"/>
      <w:marBottom w:val="0"/>
      <w:divBdr>
        <w:top w:val="none" w:sz="0" w:space="0" w:color="auto"/>
        <w:left w:val="none" w:sz="0" w:space="0" w:color="auto"/>
        <w:bottom w:val="none" w:sz="0" w:space="0" w:color="auto"/>
        <w:right w:val="none" w:sz="0" w:space="0" w:color="auto"/>
      </w:divBdr>
      <w:divsChild>
        <w:div w:id="1481118555">
          <w:marLeft w:val="640"/>
          <w:marRight w:val="0"/>
          <w:marTop w:val="0"/>
          <w:marBottom w:val="0"/>
          <w:divBdr>
            <w:top w:val="none" w:sz="0" w:space="0" w:color="auto"/>
            <w:left w:val="none" w:sz="0" w:space="0" w:color="auto"/>
            <w:bottom w:val="none" w:sz="0" w:space="0" w:color="auto"/>
            <w:right w:val="none" w:sz="0" w:space="0" w:color="auto"/>
          </w:divBdr>
        </w:div>
        <w:div w:id="447744632">
          <w:marLeft w:val="640"/>
          <w:marRight w:val="0"/>
          <w:marTop w:val="0"/>
          <w:marBottom w:val="0"/>
          <w:divBdr>
            <w:top w:val="none" w:sz="0" w:space="0" w:color="auto"/>
            <w:left w:val="none" w:sz="0" w:space="0" w:color="auto"/>
            <w:bottom w:val="none" w:sz="0" w:space="0" w:color="auto"/>
            <w:right w:val="none" w:sz="0" w:space="0" w:color="auto"/>
          </w:divBdr>
        </w:div>
      </w:divsChild>
    </w:div>
    <w:div w:id="960961593">
      <w:bodyDiv w:val="1"/>
      <w:marLeft w:val="0"/>
      <w:marRight w:val="0"/>
      <w:marTop w:val="0"/>
      <w:marBottom w:val="0"/>
      <w:divBdr>
        <w:top w:val="none" w:sz="0" w:space="0" w:color="auto"/>
        <w:left w:val="none" w:sz="0" w:space="0" w:color="auto"/>
        <w:bottom w:val="none" w:sz="0" w:space="0" w:color="auto"/>
        <w:right w:val="none" w:sz="0" w:space="0" w:color="auto"/>
      </w:divBdr>
    </w:div>
    <w:div w:id="990910416">
      <w:bodyDiv w:val="1"/>
      <w:marLeft w:val="0"/>
      <w:marRight w:val="0"/>
      <w:marTop w:val="0"/>
      <w:marBottom w:val="0"/>
      <w:divBdr>
        <w:top w:val="none" w:sz="0" w:space="0" w:color="auto"/>
        <w:left w:val="none" w:sz="0" w:space="0" w:color="auto"/>
        <w:bottom w:val="none" w:sz="0" w:space="0" w:color="auto"/>
        <w:right w:val="none" w:sz="0" w:space="0" w:color="auto"/>
      </w:divBdr>
    </w:div>
    <w:div w:id="1006204616">
      <w:bodyDiv w:val="1"/>
      <w:marLeft w:val="0"/>
      <w:marRight w:val="0"/>
      <w:marTop w:val="0"/>
      <w:marBottom w:val="0"/>
      <w:divBdr>
        <w:top w:val="none" w:sz="0" w:space="0" w:color="auto"/>
        <w:left w:val="none" w:sz="0" w:space="0" w:color="auto"/>
        <w:bottom w:val="none" w:sz="0" w:space="0" w:color="auto"/>
        <w:right w:val="none" w:sz="0" w:space="0" w:color="auto"/>
      </w:divBdr>
      <w:divsChild>
        <w:div w:id="95910495">
          <w:marLeft w:val="0"/>
          <w:marRight w:val="0"/>
          <w:marTop w:val="0"/>
          <w:marBottom w:val="0"/>
          <w:divBdr>
            <w:top w:val="none" w:sz="0" w:space="0" w:color="auto"/>
            <w:left w:val="none" w:sz="0" w:space="0" w:color="auto"/>
            <w:bottom w:val="none" w:sz="0" w:space="0" w:color="auto"/>
            <w:right w:val="none" w:sz="0" w:space="0" w:color="auto"/>
          </w:divBdr>
          <w:divsChild>
            <w:div w:id="510491510">
              <w:marLeft w:val="60"/>
              <w:marRight w:val="0"/>
              <w:marTop w:val="0"/>
              <w:marBottom w:val="0"/>
              <w:divBdr>
                <w:top w:val="none" w:sz="0" w:space="0" w:color="auto"/>
                <w:left w:val="none" w:sz="0" w:space="0" w:color="auto"/>
                <w:bottom w:val="none" w:sz="0" w:space="0" w:color="auto"/>
                <w:right w:val="none" w:sz="0" w:space="0" w:color="auto"/>
              </w:divBdr>
              <w:divsChild>
                <w:div w:id="1910073872">
                  <w:marLeft w:val="0"/>
                  <w:marRight w:val="0"/>
                  <w:marTop w:val="0"/>
                  <w:marBottom w:val="0"/>
                  <w:divBdr>
                    <w:top w:val="none" w:sz="0" w:space="0" w:color="auto"/>
                    <w:left w:val="none" w:sz="0" w:space="0" w:color="auto"/>
                    <w:bottom w:val="none" w:sz="0" w:space="0" w:color="auto"/>
                    <w:right w:val="none" w:sz="0" w:space="0" w:color="auto"/>
                  </w:divBdr>
                  <w:divsChild>
                    <w:div w:id="1126701998">
                      <w:marLeft w:val="0"/>
                      <w:marRight w:val="0"/>
                      <w:marTop w:val="0"/>
                      <w:marBottom w:val="120"/>
                      <w:divBdr>
                        <w:top w:val="single" w:sz="6" w:space="0" w:color="F5F5F5"/>
                        <w:left w:val="single" w:sz="6" w:space="0" w:color="F5F5F5"/>
                        <w:bottom w:val="single" w:sz="6" w:space="0" w:color="F5F5F5"/>
                        <w:right w:val="single" w:sz="6" w:space="0" w:color="F5F5F5"/>
                      </w:divBdr>
                      <w:divsChild>
                        <w:div w:id="1912230763">
                          <w:marLeft w:val="0"/>
                          <w:marRight w:val="0"/>
                          <w:marTop w:val="0"/>
                          <w:marBottom w:val="0"/>
                          <w:divBdr>
                            <w:top w:val="none" w:sz="0" w:space="0" w:color="auto"/>
                            <w:left w:val="none" w:sz="0" w:space="0" w:color="auto"/>
                            <w:bottom w:val="none" w:sz="0" w:space="0" w:color="auto"/>
                            <w:right w:val="none" w:sz="0" w:space="0" w:color="auto"/>
                          </w:divBdr>
                          <w:divsChild>
                            <w:div w:id="101793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792869">
          <w:marLeft w:val="0"/>
          <w:marRight w:val="0"/>
          <w:marTop w:val="0"/>
          <w:marBottom w:val="0"/>
          <w:divBdr>
            <w:top w:val="none" w:sz="0" w:space="0" w:color="auto"/>
            <w:left w:val="none" w:sz="0" w:space="0" w:color="auto"/>
            <w:bottom w:val="none" w:sz="0" w:space="0" w:color="auto"/>
            <w:right w:val="none" w:sz="0" w:space="0" w:color="auto"/>
          </w:divBdr>
          <w:divsChild>
            <w:div w:id="459106326">
              <w:marLeft w:val="0"/>
              <w:marRight w:val="60"/>
              <w:marTop w:val="0"/>
              <w:marBottom w:val="0"/>
              <w:divBdr>
                <w:top w:val="none" w:sz="0" w:space="0" w:color="auto"/>
                <w:left w:val="none" w:sz="0" w:space="0" w:color="auto"/>
                <w:bottom w:val="none" w:sz="0" w:space="0" w:color="auto"/>
                <w:right w:val="none" w:sz="0" w:space="0" w:color="auto"/>
              </w:divBdr>
              <w:divsChild>
                <w:div w:id="979725717">
                  <w:marLeft w:val="0"/>
                  <w:marRight w:val="0"/>
                  <w:marTop w:val="180"/>
                  <w:marBottom w:val="240"/>
                  <w:divBdr>
                    <w:top w:val="none" w:sz="0" w:space="0" w:color="auto"/>
                    <w:left w:val="none" w:sz="0" w:space="0" w:color="auto"/>
                    <w:bottom w:val="none" w:sz="0" w:space="0" w:color="auto"/>
                    <w:right w:val="none" w:sz="0" w:space="0" w:color="auto"/>
                  </w:divBdr>
                </w:div>
                <w:div w:id="1647584223">
                  <w:marLeft w:val="0"/>
                  <w:marRight w:val="0"/>
                  <w:marTop w:val="0"/>
                  <w:marBottom w:val="120"/>
                  <w:divBdr>
                    <w:top w:val="single" w:sz="6" w:space="0" w:color="C0C0C0"/>
                    <w:left w:val="single" w:sz="6" w:space="0" w:color="D9D9D9"/>
                    <w:bottom w:val="single" w:sz="6" w:space="0" w:color="D9D9D9"/>
                    <w:right w:val="single" w:sz="6" w:space="0" w:color="D9D9D9"/>
                  </w:divBdr>
                  <w:divsChild>
                    <w:div w:id="1023245076">
                      <w:marLeft w:val="0"/>
                      <w:marRight w:val="0"/>
                      <w:marTop w:val="0"/>
                      <w:marBottom w:val="0"/>
                      <w:divBdr>
                        <w:top w:val="none" w:sz="0" w:space="0" w:color="auto"/>
                        <w:left w:val="none" w:sz="0" w:space="0" w:color="auto"/>
                        <w:bottom w:val="none" w:sz="0" w:space="0" w:color="auto"/>
                        <w:right w:val="none" w:sz="0" w:space="0" w:color="auto"/>
                      </w:divBdr>
                    </w:div>
                    <w:div w:id="187446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707722">
      <w:bodyDiv w:val="1"/>
      <w:marLeft w:val="0"/>
      <w:marRight w:val="0"/>
      <w:marTop w:val="0"/>
      <w:marBottom w:val="0"/>
      <w:divBdr>
        <w:top w:val="none" w:sz="0" w:space="0" w:color="auto"/>
        <w:left w:val="none" w:sz="0" w:space="0" w:color="auto"/>
        <w:bottom w:val="none" w:sz="0" w:space="0" w:color="auto"/>
        <w:right w:val="none" w:sz="0" w:space="0" w:color="auto"/>
      </w:divBdr>
    </w:div>
    <w:div w:id="1259026725">
      <w:bodyDiv w:val="1"/>
      <w:marLeft w:val="0"/>
      <w:marRight w:val="0"/>
      <w:marTop w:val="0"/>
      <w:marBottom w:val="0"/>
      <w:divBdr>
        <w:top w:val="none" w:sz="0" w:space="0" w:color="auto"/>
        <w:left w:val="none" w:sz="0" w:space="0" w:color="auto"/>
        <w:bottom w:val="none" w:sz="0" w:space="0" w:color="auto"/>
        <w:right w:val="none" w:sz="0" w:space="0" w:color="auto"/>
      </w:divBdr>
    </w:div>
    <w:div w:id="1307776911">
      <w:bodyDiv w:val="1"/>
      <w:marLeft w:val="0"/>
      <w:marRight w:val="0"/>
      <w:marTop w:val="0"/>
      <w:marBottom w:val="0"/>
      <w:divBdr>
        <w:top w:val="none" w:sz="0" w:space="0" w:color="auto"/>
        <w:left w:val="none" w:sz="0" w:space="0" w:color="auto"/>
        <w:bottom w:val="none" w:sz="0" w:space="0" w:color="auto"/>
        <w:right w:val="none" w:sz="0" w:space="0" w:color="auto"/>
      </w:divBdr>
    </w:div>
    <w:div w:id="1388993757">
      <w:bodyDiv w:val="1"/>
      <w:marLeft w:val="0"/>
      <w:marRight w:val="0"/>
      <w:marTop w:val="0"/>
      <w:marBottom w:val="0"/>
      <w:divBdr>
        <w:top w:val="none" w:sz="0" w:space="0" w:color="auto"/>
        <w:left w:val="none" w:sz="0" w:space="0" w:color="auto"/>
        <w:bottom w:val="none" w:sz="0" w:space="0" w:color="auto"/>
        <w:right w:val="none" w:sz="0" w:space="0" w:color="auto"/>
      </w:divBdr>
      <w:divsChild>
        <w:div w:id="72774996">
          <w:marLeft w:val="446"/>
          <w:marRight w:val="0"/>
          <w:marTop w:val="0"/>
          <w:marBottom w:val="0"/>
          <w:divBdr>
            <w:top w:val="none" w:sz="0" w:space="0" w:color="auto"/>
            <w:left w:val="none" w:sz="0" w:space="0" w:color="auto"/>
            <w:bottom w:val="none" w:sz="0" w:space="0" w:color="auto"/>
            <w:right w:val="none" w:sz="0" w:space="0" w:color="auto"/>
          </w:divBdr>
        </w:div>
      </w:divsChild>
    </w:div>
    <w:div w:id="1452818458">
      <w:bodyDiv w:val="1"/>
      <w:marLeft w:val="0"/>
      <w:marRight w:val="0"/>
      <w:marTop w:val="0"/>
      <w:marBottom w:val="0"/>
      <w:divBdr>
        <w:top w:val="none" w:sz="0" w:space="0" w:color="auto"/>
        <w:left w:val="none" w:sz="0" w:space="0" w:color="auto"/>
        <w:bottom w:val="none" w:sz="0" w:space="0" w:color="auto"/>
        <w:right w:val="none" w:sz="0" w:space="0" w:color="auto"/>
      </w:divBdr>
    </w:div>
    <w:div w:id="1471363781">
      <w:bodyDiv w:val="1"/>
      <w:marLeft w:val="0"/>
      <w:marRight w:val="0"/>
      <w:marTop w:val="0"/>
      <w:marBottom w:val="0"/>
      <w:divBdr>
        <w:top w:val="none" w:sz="0" w:space="0" w:color="auto"/>
        <w:left w:val="none" w:sz="0" w:space="0" w:color="auto"/>
        <w:bottom w:val="none" w:sz="0" w:space="0" w:color="auto"/>
        <w:right w:val="none" w:sz="0" w:space="0" w:color="auto"/>
      </w:divBdr>
    </w:div>
    <w:div w:id="1487892832">
      <w:bodyDiv w:val="1"/>
      <w:marLeft w:val="0"/>
      <w:marRight w:val="0"/>
      <w:marTop w:val="0"/>
      <w:marBottom w:val="0"/>
      <w:divBdr>
        <w:top w:val="none" w:sz="0" w:space="0" w:color="auto"/>
        <w:left w:val="none" w:sz="0" w:space="0" w:color="auto"/>
        <w:bottom w:val="none" w:sz="0" w:space="0" w:color="auto"/>
        <w:right w:val="none" w:sz="0" w:space="0" w:color="auto"/>
      </w:divBdr>
    </w:div>
    <w:div w:id="1591233186">
      <w:bodyDiv w:val="1"/>
      <w:marLeft w:val="0"/>
      <w:marRight w:val="0"/>
      <w:marTop w:val="0"/>
      <w:marBottom w:val="0"/>
      <w:divBdr>
        <w:top w:val="none" w:sz="0" w:space="0" w:color="auto"/>
        <w:left w:val="none" w:sz="0" w:space="0" w:color="auto"/>
        <w:bottom w:val="none" w:sz="0" w:space="0" w:color="auto"/>
        <w:right w:val="none" w:sz="0" w:space="0" w:color="auto"/>
      </w:divBdr>
    </w:div>
    <w:div w:id="1597984793">
      <w:bodyDiv w:val="1"/>
      <w:marLeft w:val="0"/>
      <w:marRight w:val="0"/>
      <w:marTop w:val="0"/>
      <w:marBottom w:val="0"/>
      <w:divBdr>
        <w:top w:val="none" w:sz="0" w:space="0" w:color="auto"/>
        <w:left w:val="none" w:sz="0" w:space="0" w:color="auto"/>
        <w:bottom w:val="none" w:sz="0" w:space="0" w:color="auto"/>
        <w:right w:val="none" w:sz="0" w:space="0" w:color="auto"/>
      </w:divBdr>
    </w:div>
    <w:div w:id="1647051402">
      <w:bodyDiv w:val="1"/>
      <w:marLeft w:val="0"/>
      <w:marRight w:val="0"/>
      <w:marTop w:val="0"/>
      <w:marBottom w:val="0"/>
      <w:divBdr>
        <w:top w:val="none" w:sz="0" w:space="0" w:color="auto"/>
        <w:left w:val="none" w:sz="0" w:space="0" w:color="auto"/>
        <w:bottom w:val="none" w:sz="0" w:space="0" w:color="auto"/>
        <w:right w:val="none" w:sz="0" w:space="0" w:color="auto"/>
      </w:divBdr>
    </w:div>
    <w:div w:id="1715420880">
      <w:bodyDiv w:val="1"/>
      <w:marLeft w:val="0"/>
      <w:marRight w:val="0"/>
      <w:marTop w:val="0"/>
      <w:marBottom w:val="0"/>
      <w:divBdr>
        <w:top w:val="none" w:sz="0" w:space="0" w:color="auto"/>
        <w:left w:val="none" w:sz="0" w:space="0" w:color="auto"/>
        <w:bottom w:val="none" w:sz="0" w:space="0" w:color="auto"/>
        <w:right w:val="none" w:sz="0" w:space="0" w:color="auto"/>
      </w:divBdr>
    </w:div>
    <w:div w:id="1789007680">
      <w:bodyDiv w:val="1"/>
      <w:marLeft w:val="0"/>
      <w:marRight w:val="0"/>
      <w:marTop w:val="0"/>
      <w:marBottom w:val="0"/>
      <w:divBdr>
        <w:top w:val="none" w:sz="0" w:space="0" w:color="auto"/>
        <w:left w:val="none" w:sz="0" w:space="0" w:color="auto"/>
        <w:bottom w:val="none" w:sz="0" w:space="0" w:color="auto"/>
        <w:right w:val="none" w:sz="0" w:space="0" w:color="auto"/>
      </w:divBdr>
    </w:div>
    <w:div w:id="1844857230">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48783653">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886336284">
      <w:bodyDiv w:val="1"/>
      <w:marLeft w:val="0"/>
      <w:marRight w:val="0"/>
      <w:marTop w:val="0"/>
      <w:marBottom w:val="0"/>
      <w:divBdr>
        <w:top w:val="none" w:sz="0" w:space="0" w:color="auto"/>
        <w:left w:val="none" w:sz="0" w:space="0" w:color="auto"/>
        <w:bottom w:val="none" w:sz="0" w:space="0" w:color="auto"/>
        <w:right w:val="none" w:sz="0" w:space="0" w:color="auto"/>
      </w:divBdr>
    </w:div>
    <w:div w:id="1895969967">
      <w:bodyDiv w:val="1"/>
      <w:marLeft w:val="0"/>
      <w:marRight w:val="0"/>
      <w:marTop w:val="0"/>
      <w:marBottom w:val="0"/>
      <w:divBdr>
        <w:top w:val="none" w:sz="0" w:space="0" w:color="auto"/>
        <w:left w:val="none" w:sz="0" w:space="0" w:color="auto"/>
        <w:bottom w:val="none" w:sz="0" w:space="0" w:color="auto"/>
        <w:right w:val="none" w:sz="0" w:space="0" w:color="auto"/>
      </w:divBdr>
      <w:divsChild>
        <w:div w:id="1311597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422588">
      <w:bodyDiv w:val="1"/>
      <w:marLeft w:val="0"/>
      <w:marRight w:val="0"/>
      <w:marTop w:val="0"/>
      <w:marBottom w:val="0"/>
      <w:divBdr>
        <w:top w:val="none" w:sz="0" w:space="0" w:color="auto"/>
        <w:left w:val="none" w:sz="0" w:space="0" w:color="auto"/>
        <w:bottom w:val="none" w:sz="0" w:space="0" w:color="auto"/>
        <w:right w:val="none" w:sz="0" w:space="0" w:color="auto"/>
      </w:divBdr>
    </w:div>
    <w:div w:id="1988313802">
      <w:bodyDiv w:val="1"/>
      <w:marLeft w:val="0"/>
      <w:marRight w:val="0"/>
      <w:marTop w:val="0"/>
      <w:marBottom w:val="0"/>
      <w:divBdr>
        <w:top w:val="none" w:sz="0" w:space="0" w:color="auto"/>
        <w:left w:val="none" w:sz="0" w:space="0" w:color="auto"/>
        <w:bottom w:val="none" w:sz="0" w:space="0" w:color="auto"/>
        <w:right w:val="none" w:sz="0" w:space="0" w:color="auto"/>
      </w:divBdr>
      <w:divsChild>
        <w:div w:id="349262639">
          <w:marLeft w:val="0"/>
          <w:marRight w:val="0"/>
          <w:marTop w:val="0"/>
          <w:marBottom w:val="0"/>
          <w:divBdr>
            <w:top w:val="none" w:sz="0" w:space="0" w:color="auto"/>
            <w:left w:val="none" w:sz="0" w:space="0" w:color="auto"/>
            <w:bottom w:val="none" w:sz="0" w:space="0" w:color="auto"/>
            <w:right w:val="none" w:sz="0" w:space="0" w:color="auto"/>
          </w:divBdr>
          <w:divsChild>
            <w:div w:id="862475826">
              <w:marLeft w:val="0"/>
              <w:marRight w:val="0"/>
              <w:marTop w:val="0"/>
              <w:marBottom w:val="0"/>
              <w:divBdr>
                <w:top w:val="none" w:sz="0" w:space="0" w:color="auto"/>
                <w:left w:val="none" w:sz="0" w:space="0" w:color="auto"/>
                <w:bottom w:val="none" w:sz="0" w:space="0" w:color="auto"/>
                <w:right w:val="none" w:sz="0" w:space="0" w:color="auto"/>
              </w:divBdr>
              <w:divsChild>
                <w:div w:id="124202345">
                  <w:marLeft w:val="0"/>
                  <w:marRight w:val="0"/>
                  <w:marTop w:val="0"/>
                  <w:marBottom w:val="0"/>
                  <w:divBdr>
                    <w:top w:val="none" w:sz="0" w:space="0" w:color="auto"/>
                    <w:left w:val="none" w:sz="0" w:space="0" w:color="auto"/>
                    <w:bottom w:val="none" w:sz="0" w:space="0" w:color="auto"/>
                    <w:right w:val="none" w:sz="0" w:space="0" w:color="auto"/>
                  </w:divBdr>
                  <w:divsChild>
                    <w:div w:id="1504710165">
                      <w:marLeft w:val="0"/>
                      <w:marRight w:val="0"/>
                      <w:marTop w:val="0"/>
                      <w:marBottom w:val="0"/>
                      <w:divBdr>
                        <w:top w:val="none" w:sz="0" w:space="0" w:color="auto"/>
                        <w:left w:val="none" w:sz="0" w:space="0" w:color="auto"/>
                        <w:bottom w:val="none" w:sz="0" w:space="0" w:color="auto"/>
                        <w:right w:val="none" w:sz="0" w:space="0" w:color="auto"/>
                      </w:divBdr>
                      <w:divsChild>
                        <w:div w:id="1963462603">
                          <w:marLeft w:val="0"/>
                          <w:marRight w:val="0"/>
                          <w:marTop w:val="0"/>
                          <w:marBottom w:val="0"/>
                          <w:divBdr>
                            <w:top w:val="none" w:sz="0" w:space="0" w:color="auto"/>
                            <w:left w:val="none" w:sz="0" w:space="0" w:color="auto"/>
                            <w:bottom w:val="none" w:sz="0" w:space="0" w:color="auto"/>
                            <w:right w:val="none" w:sz="0" w:space="0" w:color="auto"/>
                          </w:divBdr>
                          <w:divsChild>
                            <w:div w:id="1312323485">
                              <w:marLeft w:val="0"/>
                              <w:marRight w:val="0"/>
                              <w:marTop w:val="0"/>
                              <w:marBottom w:val="0"/>
                              <w:divBdr>
                                <w:top w:val="none" w:sz="0" w:space="0" w:color="auto"/>
                                <w:left w:val="none" w:sz="0" w:space="0" w:color="auto"/>
                                <w:bottom w:val="none" w:sz="0" w:space="0" w:color="auto"/>
                                <w:right w:val="none" w:sz="0" w:space="0" w:color="auto"/>
                              </w:divBdr>
                              <w:divsChild>
                                <w:div w:id="2087994076">
                                  <w:marLeft w:val="0"/>
                                  <w:marRight w:val="0"/>
                                  <w:marTop w:val="0"/>
                                  <w:marBottom w:val="0"/>
                                  <w:divBdr>
                                    <w:top w:val="none" w:sz="0" w:space="0" w:color="auto"/>
                                    <w:left w:val="none" w:sz="0" w:space="0" w:color="auto"/>
                                    <w:bottom w:val="none" w:sz="0" w:space="0" w:color="auto"/>
                                    <w:right w:val="none" w:sz="0" w:space="0" w:color="auto"/>
                                  </w:divBdr>
                                  <w:divsChild>
                                    <w:div w:id="886330514">
                                      <w:marLeft w:val="0"/>
                                      <w:marRight w:val="0"/>
                                      <w:marTop w:val="0"/>
                                      <w:marBottom w:val="0"/>
                                      <w:divBdr>
                                        <w:top w:val="none" w:sz="0" w:space="0" w:color="auto"/>
                                        <w:left w:val="none" w:sz="0" w:space="0" w:color="auto"/>
                                        <w:bottom w:val="none" w:sz="0" w:space="0" w:color="auto"/>
                                        <w:right w:val="none" w:sz="0" w:space="0" w:color="auto"/>
                                      </w:divBdr>
                                      <w:divsChild>
                                        <w:div w:id="1654335355">
                                          <w:marLeft w:val="0"/>
                                          <w:marRight w:val="0"/>
                                          <w:marTop w:val="0"/>
                                          <w:marBottom w:val="0"/>
                                          <w:divBdr>
                                            <w:top w:val="none" w:sz="0" w:space="0" w:color="auto"/>
                                            <w:left w:val="none" w:sz="0" w:space="0" w:color="auto"/>
                                            <w:bottom w:val="none" w:sz="0" w:space="0" w:color="auto"/>
                                            <w:right w:val="none" w:sz="0" w:space="0" w:color="auto"/>
                                          </w:divBdr>
                                          <w:divsChild>
                                            <w:div w:id="882180861">
                                              <w:marLeft w:val="0"/>
                                              <w:marRight w:val="0"/>
                                              <w:marTop w:val="0"/>
                                              <w:marBottom w:val="0"/>
                                              <w:divBdr>
                                                <w:top w:val="none" w:sz="0" w:space="0" w:color="auto"/>
                                                <w:left w:val="none" w:sz="0" w:space="0" w:color="auto"/>
                                                <w:bottom w:val="none" w:sz="0" w:space="0" w:color="auto"/>
                                                <w:right w:val="none" w:sz="0" w:space="0" w:color="auto"/>
                                              </w:divBdr>
                                              <w:divsChild>
                                                <w:div w:id="1862159611">
                                                  <w:marLeft w:val="0"/>
                                                  <w:marRight w:val="0"/>
                                                  <w:marTop w:val="0"/>
                                                  <w:marBottom w:val="0"/>
                                                  <w:divBdr>
                                                    <w:top w:val="none" w:sz="0" w:space="0" w:color="auto"/>
                                                    <w:left w:val="none" w:sz="0" w:space="0" w:color="auto"/>
                                                    <w:bottom w:val="none" w:sz="0" w:space="0" w:color="auto"/>
                                                    <w:right w:val="none" w:sz="0" w:space="0" w:color="auto"/>
                                                  </w:divBdr>
                                                  <w:divsChild>
                                                    <w:div w:id="340740508">
                                                      <w:marLeft w:val="0"/>
                                                      <w:marRight w:val="0"/>
                                                      <w:marTop w:val="0"/>
                                                      <w:marBottom w:val="0"/>
                                                      <w:divBdr>
                                                        <w:top w:val="none" w:sz="0" w:space="0" w:color="auto"/>
                                                        <w:left w:val="none" w:sz="0" w:space="0" w:color="auto"/>
                                                        <w:bottom w:val="none" w:sz="0" w:space="0" w:color="auto"/>
                                                        <w:right w:val="none" w:sz="0" w:space="0" w:color="auto"/>
                                                      </w:divBdr>
                                                      <w:divsChild>
                                                        <w:div w:id="1927105505">
                                                          <w:marLeft w:val="0"/>
                                                          <w:marRight w:val="0"/>
                                                          <w:marTop w:val="0"/>
                                                          <w:marBottom w:val="0"/>
                                                          <w:divBdr>
                                                            <w:top w:val="none" w:sz="0" w:space="0" w:color="auto"/>
                                                            <w:left w:val="none" w:sz="0" w:space="0" w:color="auto"/>
                                                            <w:bottom w:val="none" w:sz="0" w:space="0" w:color="auto"/>
                                                            <w:right w:val="none" w:sz="0" w:space="0" w:color="auto"/>
                                                          </w:divBdr>
                                                          <w:divsChild>
                                                            <w:div w:id="641736411">
                                                              <w:marLeft w:val="0"/>
                                                              <w:marRight w:val="0"/>
                                                              <w:marTop w:val="0"/>
                                                              <w:marBottom w:val="0"/>
                                                              <w:divBdr>
                                                                <w:top w:val="none" w:sz="0" w:space="0" w:color="auto"/>
                                                                <w:left w:val="none" w:sz="0" w:space="0" w:color="auto"/>
                                                                <w:bottom w:val="none" w:sz="0" w:space="0" w:color="auto"/>
                                                                <w:right w:val="none" w:sz="0" w:space="0" w:color="auto"/>
                                                              </w:divBdr>
                                                              <w:divsChild>
                                                                <w:div w:id="1698235087">
                                                                  <w:marLeft w:val="0"/>
                                                                  <w:marRight w:val="0"/>
                                                                  <w:marTop w:val="0"/>
                                                                  <w:marBottom w:val="0"/>
                                                                  <w:divBdr>
                                                                    <w:top w:val="none" w:sz="0" w:space="0" w:color="auto"/>
                                                                    <w:left w:val="none" w:sz="0" w:space="0" w:color="auto"/>
                                                                    <w:bottom w:val="none" w:sz="0" w:space="0" w:color="auto"/>
                                                                    <w:right w:val="none" w:sz="0" w:space="0" w:color="auto"/>
                                                                  </w:divBdr>
                                                                  <w:divsChild>
                                                                    <w:div w:id="444613961">
                                                                      <w:marLeft w:val="0"/>
                                                                      <w:marRight w:val="0"/>
                                                                      <w:marTop w:val="0"/>
                                                                      <w:marBottom w:val="0"/>
                                                                      <w:divBdr>
                                                                        <w:top w:val="none" w:sz="0" w:space="0" w:color="auto"/>
                                                                        <w:left w:val="none" w:sz="0" w:space="0" w:color="auto"/>
                                                                        <w:bottom w:val="none" w:sz="0" w:space="0" w:color="auto"/>
                                                                        <w:right w:val="none" w:sz="0" w:space="0" w:color="auto"/>
                                                                      </w:divBdr>
                                                                      <w:divsChild>
                                                                        <w:div w:id="984431577">
                                                                          <w:marLeft w:val="0"/>
                                                                          <w:marRight w:val="0"/>
                                                                          <w:marTop w:val="0"/>
                                                                          <w:marBottom w:val="0"/>
                                                                          <w:divBdr>
                                                                            <w:top w:val="none" w:sz="0" w:space="0" w:color="auto"/>
                                                                            <w:left w:val="none" w:sz="0" w:space="0" w:color="auto"/>
                                                                            <w:bottom w:val="none" w:sz="0" w:space="0" w:color="auto"/>
                                                                            <w:right w:val="none" w:sz="0" w:space="0" w:color="auto"/>
                                                                          </w:divBdr>
                                                                          <w:divsChild>
                                                                            <w:div w:id="499127185">
                                                                              <w:marLeft w:val="0"/>
                                                                              <w:marRight w:val="0"/>
                                                                              <w:marTop w:val="0"/>
                                                                              <w:marBottom w:val="0"/>
                                                                              <w:divBdr>
                                                                                <w:top w:val="none" w:sz="0" w:space="0" w:color="auto"/>
                                                                                <w:left w:val="none" w:sz="0" w:space="0" w:color="auto"/>
                                                                                <w:bottom w:val="none" w:sz="0" w:space="0" w:color="auto"/>
                                                                                <w:right w:val="none" w:sz="0" w:space="0" w:color="auto"/>
                                                                              </w:divBdr>
                                                                              <w:divsChild>
                                                                                <w:div w:id="18190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5521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951x951@kookmin.ac.kr" TargetMode="External"/><Relationship Id="rId18" Type="http://schemas.openxmlformats.org/officeDocument/2006/relationships/image" Target="media/image1.emf"/><Relationship Id="rId26" Type="http://schemas.openxmlformats.org/officeDocument/2006/relationships/image" Target="media/image9.png"/><Relationship Id="rId21" Type="http://schemas.openxmlformats.org/officeDocument/2006/relationships/image" Target="media/image4.emf"/><Relationship Id="rId34" Type="http://schemas.openxmlformats.org/officeDocument/2006/relationships/image" Target="media/image17.png"/><Relationship Id="rId7" Type="http://schemas.openxmlformats.org/officeDocument/2006/relationships/settings" Target="settings.xml"/><Relationship Id="rId12" Type="http://schemas.openxmlformats.org/officeDocument/2006/relationships/hyperlink" Target="mailto:123koabc@kookmin.ac.kr" TargetMode="External"/><Relationship Id="rId17" Type="http://schemas.openxmlformats.org/officeDocument/2006/relationships/hyperlink" Target="mailto:sjchoiee@kookmin.ac.kr" TargetMode="External"/><Relationship Id="rId25" Type="http://schemas.openxmlformats.org/officeDocument/2006/relationships/image" Target="media/image8.emf"/><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mh@nnfc.re.kr" TargetMode="External"/><Relationship Id="rId20" Type="http://schemas.openxmlformats.org/officeDocument/2006/relationships/image" Target="media/image3.e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jdakfwjddus@kookmin.ac.kr" TargetMode="External"/><Relationship Id="rId24" Type="http://schemas.openxmlformats.org/officeDocument/2006/relationships/image" Target="media/image7.emf"/><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yoonjung.lee@kookmin.ac.kr" TargetMode="External"/><Relationship Id="rId23" Type="http://schemas.openxmlformats.org/officeDocument/2006/relationships/image" Target="media/image6.emf"/><Relationship Id="rId28" Type="http://schemas.openxmlformats.org/officeDocument/2006/relationships/image" Target="media/image11.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1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life@kookmin.ac.kr" TargetMode="External"/><Relationship Id="rId22" Type="http://schemas.openxmlformats.org/officeDocument/2006/relationships/image" Target="media/image5.emf"/><Relationship Id="rId27" Type="http://schemas.openxmlformats.org/officeDocument/2006/relationships/image" Target="media/image10.png"/><Relationship Id="rId30" Type="http://schemas.openxmlformats.org/officeDocument/2006/relationships/image" Target="media/image13.emf"/><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ngho%20Kim\&#48148;&#53461;%20&#54868;&#47732;\Dit_re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DBB707-736B-44DE-8319-DF7F7BBA57AC}">
  <we:reference id="f78a3046-9e99-4300-aa2b-5814002b01a2" version="1.55.1.0" store="EXCatalog" storeType="EXCatalog"/>
  <we:alternateReferences>
    <we:reference id="WA104382081" version="1.55.1.0" store="ko-KR" storeType="OMEX"/>
  </we:alternateReferences>
  <we:properties>
    <we:property name="MENDELEY_CITATIONS" valu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1564119-bddf-424d-84ca-5682f20e91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문서" ma:contentTypeID="0x0101007597BA83CDCFF441996F9A16705C6698" ma:contentTypeVersion="13" ma:contentTypeDescription="새 문서를 만듭니다." ma:contentTypeScope="" ma:versionID="220ccfdfae94cc27288526c62704b60f">
  <xsd:schema xmlns:xsd="http://www.w3.org/2001/XMLSchema" xmlns:xs="http://www.w3.org/2001/XMLSchema" xmlns:p="http://schemas.microsoft.com/office/2006/metadata/properties" xmlns:ns3="61564119-bddf-424d-84ca-5682f20e912c" targetNamespace="http://schemas.microsoft.com/office/2006/metadata/properties" ma:root="true" ma:fieldsID="632e63c97e45aed1d3f2f2857b1481b0" ns3:_="">
    <xsd:import namespace="61564119-bddf-424d-84ca-5682f20e912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64119-bddf-424d-84ca-5682f20e9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8AF06-0671-4640-9016-5F512317A580}">
  <ds:schemaRefs>
    <ds:schemaRef ds:uri="http://schemas.microsoft.com/office/2006/metadata/properties"/>
    <ds:schemaRef ds:uri="http://schemas.microsoft.com/office/infopath/2007/PartnerControls"/>
    <ds:schemaRef ds:uri="61564119-bddf-424d-84ca-5682f20e912c"/>
  </ds:schemaRefs>
</ds:datastoreItem>
</file>

<file path=customXml/itemProps2.xml><?xml version="1.0" encoding="utf-8"?>
<ds:datastoreItem xmlns:ds="http://schemas.openxmlformats.org/officeDocument/2006/customXml" ds:itemID="{4AA4A482-B8C7-4F54-87E0-604DC09CB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64119-bddf-424d-84ca-5682f20e9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33C0C8-D722-4099-9E72-1E4596514A9F}">
  <ds:schemaRefs>
    <ds:schemaRef ds:uri="http://schemas.microsoft.com/sharepoint/v3/contenttype/forms"/>
  </ds:schemaRefs>
</ds:datastoreItem>
</file>

<file path=customXml/itemProps4.xml><?xml version="1.0" encoding="utf-8"?>
<ds:datastoreItem xmlns:ds="http://schemas.openxmlformats.org/officeDocument/2006/customXml" ds:itemID="{8D41762B-7599-49F4-A03C-B64EE55AF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Dit_rev1</Template>
  <TotalTime>1</TotalTime>
  <Pages>1</Pages>
  <Words>9755</Words>
  <Characters>55604</Characters>
  <Application>Microsoft Office Word</Application>
  <DocSecurity>0</DocSecurity>
  <Lines>463</Lines>
  <Paragraphs>130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Template for Electronic Submission to ACS Journals</vt:lpstr>
    </vt:vector>
  </TitlesOfParts>
  <Company/>
  <LinksUpToDate>false</LinksUpToDate>
  <CharactersWithSpaces>65229</CharactersWithSpaces>
  <SharedDoc>false</SharedDoc>
  <HLinks>
    <vt:vector size="54" baseType="variant">
      <vt:variant>
        <vt:i4>7536652</vt:i4>
      </vt:variant>
      <vt:variant>
        <vt:i4>24</vt:i4>
      </vt:variant>
      <vt:variant>
        <vt:i4>0</vt:i4>
      </vt:variant>
      <vt:variant>
        <vt:i4>5</vt:i4>
      </vt:variant>
      <vt:variant>
        <vt:lpwstr>mailto:sjchoiee@kookmin.ac.kr</vt:lpwstr>
      </vt:variant>
      <vt:variant>
        <vt:lpwstr/>
      </vt:variant>
      <vt:variant>
        <vt:i4>3801157</vt:i4>
      </vt:variant>
      <vt:variant>
        <vt:i4>21</vt:i4>
      </vt:variant>
      <vt:variant>
        <vt:i4>0</vt:i4>
      </vt:variant>
      <vt:variant>
        <vt:i4>5</vt:i4>
      </vt:variant>
      <vt:variant>
        <vt:lpwstr>mailto:dmkim@kookmin.ac.kr</vt:lpwstr>
      </vt:variant>
      <vt:variant>
        <vt:lpwstr/>
      </vt:variant>
      <vt:variant>
        <vt:i4>458876</vt:i4>
      </vt:variant>
      <vt:variant>
        <vt:i4>18</vt:i4>
      </vt:variant>
      <vt:variant>
        <vt:i4>0</vt:i4>
      </vt:variant>
      <vt:variant>
        <vt:i4>5</vt:i4>
      </vt:variant>
      <vt:variant>
        <vt:lpwstr>mailto:drlife@kookmin.ac.kr</vt:lpwstr>
      </vt:variant>
      <vt:variant>
        <vt:lpwstr/>
      </vt:variant>
      <vt:variant>
        <vt:i4>7077889</vt:i4>
      </vt:variant>
      <vt:variant>
        <vt:i4>15</vt:i4>
      </vt:variant>
      <vt:variant>
        <vt:i4>0</vt:i4>
      </vt:variant>
      <vt:variant>
        <vt:i4>5</vt:i4>
      </vt:variant>
      <vt:variant>
        <vt:lpwstr>mailto:20133050@kookmin.ac.kr</vt:lpwstr>
      </vt:variant>
      <vt:variant>
        <vt:lpwstr/>
      </vt:variant>
      <vt:variant>
        <vt:i4>6160440</vt:i4>
      </vt:variant>
      <vt:variant>
        <vt:i4>12</vt:i4>
      </vt:variant>
      <vt:variant>
        <vt:i4>0</vt:i4>
      </vt:variant>
      <vt:variant>
        <vt:i4>5</vt:i4>
      </vt:variant>
      <vt:variant>
        <vt:lpwstr>mailto:kym1010@kookmin.ac.kr</vt:lpwstr>
      </vt:variant>
      <vt:variant>
        <vt:lpwstr/>
      </vt:variant>
      <vt:variant>
        <vt:i4>4390968</vt:i4>
      </vt:variant>
      <vt:variant>
        <vt:i4>9</vt:i4>
      </vt:variant>
      <vt:variant>
        <vt:i4>0</vt:i4>
      </vt:variant>
      <vt:variant>
        <vt:i4>5</vt:i4>
      </vt:variant>
      <vt:variant>
        <vt:lpwstr>mailto:lyw0909@kookmin.ac.kr</vt:lpwstr>
      </vt:variant>
      <vt:variant>
        <vt:lpwstr/>
      </vt:variant>
      <vt:variant>
        <vt:i4>6553689</vt:i4>
      </vt:variant>
      <vt:variant>
        <vt:i4>6</vt:i4>
      </vt:variant>
      <vt:variant>
        <vt:i4>0</vt:i4>
      </vt:variant>
      <vt:variant>
        <vt:i4>5</vt:i4>
      </vt:variant>
      <vt:variant>
        <vt:lpwstr>mailto:yjs10070@kookmin.ac.kr</vt:lpwstr>
      </vt:variant>
      <vt:variant>
        <vt:lpwstr/>
      </vt:variant>
      <vt:variant>
        <vt:i4>458864</vt:i4>
      </vt:variant>
      <vt:variant>
        <vt:i4>3</vt:i4>
      </vt:variant>
      <vt:variant>
        <vt:i4>0</vt:i4>
      </vt:variant>
      <vt:variant>
        <vt:i4>5</vt:i4>
      </vt:variant>
      <vt:variant>
        <vt:lpwstr>mailto:bschoi@kookmin.ac.kr</vt:lpwstr>
      </vt:variant>
      <vt:variant>
        <vt:lpwstr/>
      </vt:variant>
      <vt:variant>
        <vt:i4>4456553</vt:i4>
      </vt:variant>
      <vt:variant>
        <vt:i4>0</vt:i4>
      </vt:variant>
      <vt:variant>
        <vt:i4>0</vt:i4>
      </vt:variant>
      <vt:variant>
        <vt:i4>5</vt:i4>
      </vt:variant>
      <vt:variant>
        <vt:lpwstr>mailto:jhp576@kookmin.ac.kr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정성현(대학원생-지능형반도체및디스플레이전공)</dc:creator>
  <cp:keywords/>
  <cp:lastModifiedBy>최성진(교원-지능형반도체융합전자전공)</cp:lastModifiedBy>
  <cp:revision>3</cp:revision>
  <cp:lastPrinted>2026-09-21T01:46:00Z</cp:lastPrinted>
  <dcterms:created xsi:type="dcterms:W3CDTF">2026-10-15T02:34:00Z</dcterms:created>
  <dcterms:modified xsi:type="dcterms:W3CDTF">2026-10-15T02:34:00Z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http://www.zotero.org/styles/american-chemical-society</vt:lpwstr>
  </property>
  <property fmtid="{D5CDD505-2E9C-101B-9397-08002B2CF9AE}" pid="3" name="Mendeley Document_1">
    <vt:lpwstr>True</vt:lpwstr>
  </property>
  <property fmtid="{D5CDD505-2E9C-101B-9397-08002B2CF9AE}" pid="4" name="Mendeley Recent Style Id 0_1">
    <vt:lpwstr>http://www.zotero.org/styles/acs-nano</vt:lpwstr>
  </property>
  <property fmtid="{D5CDD505-2E9C-101B-9397-08002B2CF9AE}" pid="5" name="Mendeley Recent Style Id 1_1">
    <vt:lpwstr>http://www.zotero.org/styles/american-medical-association</vt:lpwstr>
  </property>
  <property fmtid="{D5CDD505-2E9C-101B-9397-08002B2CF9AE}" pid="6" name="Mendeley Recent Style Id 2_1">
    <vt:lpwstr>http://www.zotero.org/styles/american-political-science-association</vt:lpwstr>
  </property>
  <property fmtid="{D5CDD505-2E9C-101B-9397-08002B2CF9AE}" pid="7" name="Mendeley Recent Style Id 3_1">
    <vt:lpwstr>http://www.zotero.org/styles/apa</vt:lpwstr>
  </property>
  <property fmtid="{D5CDD505-2E9C-101B-9397-08002B2CF9AE}" pid="8" name="Mendeley Recent Style Id 4_1">
    <vt:lpwstr>http://www.zotero.org/styles/american-sociological-association</vt:lpwstr>
  </property>
  <property fmtid="{D5CDD505-2E9C-101B-9397-08002B2CF9AE}" pid="9" name="Mendeley Recent Style Id 5_1">
    <vt:lpwstr>http://www.zotero.org/styles/chicago-author-date</vt:lpwstr>
  </property>
  <property fmtid="{D5CDD505-2E9C-101B-9397-08002B2CF9AE}" pid="10" name="Mendeley Recent Style Id 6_1">
    <vt:lpwstr>http://www.zotero.org/styles/harvard-cite-them-right</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ACS Nano</vt:lpwstr>
  </property>
  <property fmtid="{D5CDD505-2E9C-101B-9397-08002B2CF9AE}" pid="15" name="Mendeley Recent Style Name 1_1">
    <vt:lpwstr>American Medical Association</vt:lpwstr>
  </property>
  <property fmtid="{D5CDD505-2E9C-101B-9397-08002B2CF9AE}" pid="16" name="Mendeley Recent Style Name 2_1">
    <vt:lpwstr>American Political Science Association</vt:lpwstr>
  </property>
  <property fmtid="{D5CDD505-2E9C-101B-9397-08002B2CF9AE}" pid="17" name="Mendeley Recent Style Name 3_1">
    <vt:lpwstr>American Psychological Association 6th edition</vt:lpwstr>
  </property>
  <property fmtid="{D5CDD505-2E9C-101B-9397-08002B2CF9AE}" pid="18" name="Mendeley Recent Style Name 4_1">
    <vt:lpwstr>American Sociological Association</vt:lpwstr>
  </property>
  <property fmtid="{D5CDD505-2E9C-101B-9397-08002B2CF9AE}" pid="19" name="Mendeley Recent Style Name 5_1">
    <vt:lpwstr>Chicago Manual of Style 16th edition (author-date)</vt:lpwstr>
  </property>
  <property fmtid="{D5CDD505-2E9C-101B-9397-08002B2CF9AE}" pid="20" name="Mendeley Recent Style Name 6_1">
    <vt:lpwstr>Cite Them Right 10th edition - Harvard</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ser Name_1">
    <vt:lpwstr>sjchoiee@gmail.com@www.mendeley.com</vt:lpwstr>
  </property>
  <property fmtid="{D5CDD505-2E9C-101B-9397-08002B2CF9AE}" pid="25" name="LastTick">
    <vt:r8>43367.689537037</vt:r8>
  </property>
  <property fmtid="{D5CDD505-2E9C-101B-9397-08002B2CF9AE}" pid="26" name="UseTimer">
    <vt:bool>false</vt:bool>
  </property>
  <property fmtid="{D5CDD505-2E9C-101B-9397-08002B2CF9AE}" pid="27" name="ContentTypeId">
    <vt:lpwstr>0x0101007597BA83CDCFF441996F9A16705C6698</vt:lpwstr>
  </property>
</Properties>
</file>