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CFB47" w14:textId="77777777" w:rsidR="005E3077" w:rsidRPr="00AA3830" w:rsidRDefault="005E3077" w:rsidP="005E3077">
      <w:pPr>
        <w:pStyle w:val="MDPI11articletype"/>
        <w:rPr>
          <w:rFonts w:asciiTheme="majorBidi" w:hAnsiTheme="majorBidi" w:cstheme="majorBidi"/>
          <w:b/>
          <w:bCs/>
          <w:sz w:val="28"/>
          <w:szCs w:val="28"/>
        </w:rPr>
      </w:pPr>
      <w:r w:rsidRPr="00AA3830">
        <w:rPr>
          <w:rFonts w:asciiTheme="majorBidi" w:hAnsiTheme="majorBidi" w:cstheme="majorBidi"/>
          <w:b/>
          <w:bCs/>
          <w:sz w:val="28"/>
          <w:szCs w:val="28"/>
        </w:rPr>
        <w:t>Research Article</w:t>
      </w:r>
    </w:p>
    <w:p w14:paraId="4A309C39" w14:textId="77777777" w:rsidR="005E3077" w:rsidRPr="00D02D6E" w:rsidRDefault="005E3077" w:rsidP="005E3077">
      <w:pPr>
        <w:pStyle w:val="MDPI12title"/>
        <w:rPr>
          <w:rFonts w:asciiTheme="majorBidi" w:hAnsiTheme="majorBidi" w:cstheme="majorBidi"/>
          <w:sz w:val="32"/>
          <w:szCs w:val="32"/>
        </w:rPr>
      </w:pPr>
      <w:r w:rsidRPr="00D02D6E">
        <w:rPr>
          <w:rFonts w:asciiTheme="majorBidi" w:hAnsiTheme="majorBidi" w:cstheme="majorBidi"/>
          <w:sz w:val="32"/>
          <w:szCs w:val="32"/>
        </w:rPr>
        <w:t>Severity of COVID-19 Infection in ACEI/ARB Users in Two Saudi Public Specialty Hospitals: Retrospective Cohort Study</w:t>
      </w:r>
    </w:p>
    <w:p w14:paraId="45E610D9" w14:textId="77777777" w:rsidR="005E3077" w:rsidRPr="00D02D6E" w:rsidRDefault="005E3077" w:rsidP="005E3077">
      <w:pPr>
        <w:pStyle w:val="MDPI13authornames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 w:rsidRPr="00D02D6E">
        <w:rPr>
          <w:rFonts w:asciiTheme="majorBidi" w:hAnsiTheme="majorBidi" w:cstheme="majorBidi"/>
          <w:sz w:val="24"/>
          <w:szCs w:val="24"/>
        </w:rPr>
        <w:t>Ahmed A. Alrashed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D02D6E">
        <w:rPr>
          <w:rFonts w:asciiTheme="majorBidi" w:hAnsiTheme="majorBidi" w:cstheme="majorBidi"/>
          <w:sz w:val="24"/>
          <w:szCs w:val="24"/>
        </w:rPr>
        <w:t>, Tahir M. Khan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2,3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Noara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K. Alhusseini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D02D6E">
        <w:rPr>
          <w:rFonts w:asciiTheme="majorBidi" w:hAnsiTheme="majorBidi" w:cstheme="majorBidi"/>
          <w:sz w:val="24"/>
          <w:szCs w:val="24"/>
        </w:rPr>
        <w:t>, Syed Mohammed Basheeruddin Asdaq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D02D6E">
        <w:rPr>
          <w:rFonts w:asciiTheme="majorBidi" w:hAnsiTheme="majorBidi" w:cstheme="majorBidi"/>
          <w:sz w:val="24"/>
          <w:szCs w:val="24"/>
        </w:rPr>
        <w:t xml:space="preserve">*,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Mushira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Enani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Pr="00D02D6E">
        <w:rPr>
          <w:rFonts w:asciiTheme="majorBidi" w:hAnsiTheme="majorBidi" w:cstheme="majorBidi"/>
          <w:sz w:val="24"/>
          <w:szCs w:val="24"/>
        </w:rPr>
        <w:t>, Bandar Alosaimi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7,8</w:t>
      </w:r>
      <w:r w:rsidRPr="00D02D6E">
        <w:rPr>
          <w:rFonts w:asciiTheme="majorBidi" w:hAnsiTheme="majorBidi" w:cstheme="majorBidi"/>
          <w:sz w:val="24"/>
          <w:szCs w:val="24"/>
        </w:rPr>
        <w:t>, Nada M. Alkhani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Yahya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Mohzari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Maram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M. Alghalbi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Wafa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Alfahad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D02D6E">
        <w:rPr>
          <w:rFonts w:asciiTheme="majorBidi" w:hAnsiTheme="majorBidi" w:cstheme="majorBidi"/>
          <w:sz w:val="24"/>
          <w:szCs w:val="24"/>
        </w:rPr>
        <w:t>, Mona A. Alanazi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11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Asma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S. Albujaidya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11</w:t>
      </w:r>
      <w:r w:rsidRPr="00D02D6E">
        <w:rPr>
          <w:rFonts w:asciiTheme="majorBidi" w:hAnsiTheme="majorBidi" w:cstheme="majorBidi"/>
          <w:sz w:val="24"/>
          <w:szCs w:val="24"/>
        </w:rPr>
        <w:t>, Amal Ben-Akresh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D02D6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2D6E">
        <w:rPr>
          <w:rFonts w:asciiTheme="majorBidi" w:hAnsiTheme="majorBidi" w:cstheme="majorBidi"/>
          <w:sz w:val="24"/>
          <w:szCs w:val="24"/>
        </w:rPr>
        <w:t>Malak</w:t>
      </w:r>
      <w:proofErr w:type="spellEnd"/>
      <w:r w:rsidRPr="00D02D6E">
        <w:rPr>
          <w:rFonts w:asciiTheme="majorBidi" w:hAnsiTheme="majorBidi" w:cstheme="majorBidi"/>
          <w:sz w:val="24"/>
          <w:szCs w:val="24"/>
        </w:rPr>
        <w:t xml:space="preserve"> Almutairi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D02D6E">
        <w:rPr>
          <w:rFonts w:asciiTheme="majorBidi" w:hAnsiTheme="majorBidi" w:cstheme="majorBidi"/>
          <w:sz w:val="24"/>
          <w:szCs w:val="24"/>
        </w:rPr>
        <w:t>, Ivo Abraham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12,13</w:t>
      </w:r>
      <w:r w:rsidRPr="00D02D6E">
        <w:rPr>
          <w:rFonts w:asciiTheme="majorBidi" w:hAnsiTheme="majorBidi" w:cstheme="majorBidi"/>
          <w:sz w:val="24"/>
          <w:szCs w:val="24"/>
        </w:rPr>
        <w:t>, Ahmad Alamer</w:t>
      </w:r>
      <w:r w:rsidRPr="00D02D6E">
        <w:rPr>
          <w:rFonts w:asciiTheme="majorBidi" w:hAnsiTheme="majorBidi" w:cstheme="majorBidi"/>
          <w:sz w:val="24"/>
          <w:szCs w:val="24"/>
          <w:vertAlign w:val="superscript"/>
        </w:rPr>
        <w:t>13,14</w:t>
      </w:r>
    </w:p>
    <w:p w14:paraId="3CAA3756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1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Pharmaceutical Service Department, Main Hospital, King Fahad Medical City, Riyadh, Saudi Arabia; </w:t>
      </w:r>
      <w:hyperlink r:id="rId6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fahad@ksmc.med.sa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(A.A.A.); </w:t>
      </w:r>
      <w:hyperlink r:id="rId7" w:history="1">
        <w:r w:rsidRPr="005B7785">
          <w:rPr>
            <w:rStyle w:val="Hyperlink"/>
            <w:rFonts w:asciiTheme="majorBidi" w:eastAsia="SimSun" w:hAnsiTheme="majorBidi" w:cstheme="majorBidi"/>
            <w:color w:val="auto"/>
            <w:sz w:val="20"/>
            <w:szCs w:val="20"/>
            <w:u w:val="none"/>
            <w:lang w:eastAsia="zh-CN"/>
          </w:rPr>
          <w:t>mhospital1920@gmail.com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(N.M.A.)</w:t>
      </w:r>
    </w:p>
    <w:p w14:paraId="6919B994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2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The institute of Pharmaceutical Science (IPS) of University of Veterinary and Animal Sciences, Lahore, Pakistan; qualityasdaq@gmail.com </w:t>
      </w:r>
    </w:p>
    <w:p w14:paraId="1AF14CB8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3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School of Pharmacy, Monash University, Sunway City, Selangor, Malaysia. </w:t>
      </w:r>
    </w:p>
    <w:p w14:paraId="3618DC2D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4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College of Medicine,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Alfaisal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University, Riyadh, Saudi Arabia; sasdaq@gmail.com </w:t>
      </w:r>
    </w:p>
    <w:p w14:paraId="72C38010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5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College of Pharmacy, AlMaarefa University, Riyadh, Saudi Arabia; </w:t>
      </w:r>
      <w:hyperlink r:id="rId8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sasdag@mcst.edu.sa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(S.M.B.A.); </w:t>
      </w:r>
      <w:hyperlink r:id="rId9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farhana.basheer13@gmail.com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(M.A.)</w:t>
      </w:r>
    </w:p>
    <w:p w14:paraId="5114DE39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6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>Infectious Disease Section, Medical specialties Department, King Fahad Medical City, Saudi Arabia; emadasdaq@mcst.edu.sa</w:t>
      </w:r>
    </w:p>
    <w:p w14:paraId="289E06A7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7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>Research Center, King Fahad Medical City, Riyadh, Saudi Arabia; basheer_1@rediffmail.com</w:t>
      </w:r>
    </w:p>
    <w:p w14:paraId="5171F541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8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>College of Medicine, King Fahad Medical City, Riyadh, Saudi Arabia</w:t>
      </w:r>
    </w:p>
    <w:p w14:paraId="1BDAAE7C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9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Pharmacy Department, Clinical Pharmacy section, King Saud Medical City, Saudi Arabia; </w:t>
      </w:r>
      <w:hyperlink r:id="rId10" w:tgtFrame="_blank" w:history="1">
        <w:r w:rsidRPr="005B778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Yali2016@hotmail.com</w:t>
        </w:r>
      </w:hyperlink>
    </w:p>
    <w:p w14:paraId="2F6485CB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10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Pharmacy Services Department, Prince Sultan Military Medical City, Riyadh, Saudi Arabia; </w:t>
      </w:r>
      <w:hyperlink r:id="rId11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emadfaiqa@gmail.com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(W.A.); </w:t>
      </w:r>
      <w:hyperlink r:id="rId12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research.dir@mcst.edu.sa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(A.B.);malghalbi@gmail.com (M.M.A.)</w:t>
      </w:r>
    </w:p>
    <w:p w14:paraId="3E6D7FCF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11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Prince Mohammed Bin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Abdulaziz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Hospital, Riyadh, Saudi Arabia; </w:t>
      </w:r>
      <w:hyperlink r:id="rId13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abstracts@mcst.edu.sa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(M.A.A.); </w:t>
      </w:r>
      <w:hyperlink r:id="rId14" w:history="1">
        <w:r w:rsidRPr="005B7785">
          <w:rPr>
            <w:rStyle w:val="Hyperlink"/>
            <w:rFonts w:asciiTheme="majorBidi" w:hAnsiTheme="majorBidi" w:cstheme="majorBidi"/>
            <w:bCs/>
            <w:color w:val="auto"/>
            <w:sz w:val="20"/>
            <w:szCs w:val="20"/>
            <w:u w:val="none"/>
          </w:rPr>
          <w:t>irb@mcst.edu.sa</w:t>
        </w:r>
      </w:hyperlink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(A.S.A.)</w:t>
      </w:r>
    </w:p>
    <w:p w14:paraId="09CCF17C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12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>Department of Pharmacy Practice and Science, College of Pharmacy, University of Arizona, Tucson, Arizona, USA; basheer96@yahoo.com</w:t>
      </w:r>
    </w:p>
    <w:p w14:paraId="1658C7E3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 xml:space="preserve">13 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Center for Health Outcomes and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PharmacoEconomic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Research, University of Arizona, Tucson, Arizona, USA; alamer@pharmacy.arizona.edu</w:t>
      </w:r>
    </w:p>
    <w:p w14:paraId="66F91EE3" w14:textId="77777777" w:rsidR="00E33AFF" w:rsidRPr="005B7785" w:rsidRDefault="00E33AFF" w:rsidP="00E33AFF">
      <w:pPr>
        <w:pStyle w:val="MDPI16affiliation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5B7785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 xml:space="preserve">14 </w:t>
      </w:r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Department of Clinical Pharmacy, Prince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Sattam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Bin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Abdulaziz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 xml:space="preserve"> University, </w:t>
      </w:r>
      <w:proofErr w:type="spellStart"/>
      <w:r w:rsidRPr="005B7785">
        <w:rPr>
          <w:rFonts w:asciiTheme="majorBidi" w:hAnsiTheme="majorBidi" w:cstheme="majorBidi"/>
          <w:color w:val="auto"/>
          <w:sz w:val="20"/>
          <w:szCs w:val="20"/>
        </w:rPr>
        <w:t>Alkharj</w:t>
      </w:r>
      <w:proofErr w:type="spellEnd"/>
      <w:r w:rsidRPr="005B7785">
        <w:rPr>
          <w:rFonts w:asciiTheme="majorBidi" w:hAnsiTheme="majorBidi" w:cstheme="majorBidi"/>
          <w:color w:val="auto"/>
          <w:sz w:val="20"/>
          <w:szCs w:val="20"/>
        </w:rPr>
        <w:t>, Saudi Arabia</w:t>
      </w:r>
    </w:p>
    <w:p w14:paraId="6FD9A67A" w14:textId="77777777" w:rsidR="005E3077" w:rsidRPr="00AA3830" w:rsidRDefault="005E3077" w:rsidP="005E3077">
      <w:pPr>
        <w:pStyle w:val="MDPI17abstract"/>
        <w:rPr>
          <w:rFonts w:asciiTheme="majorBidi" w:hAnsiTheme="majorBidi" w:cstheme="majorBidi"/>
          <w:b/>
        </w:rPr>
      </w:pPr>
      <w:bookmarkStart w:id="0" w:name="_GoBack"/>
      <w:bookmarkEnd w:id="0"/>
    </w:p>
    <w:p w14:paraId="0BD48631" w14:textId="77777777" w:rsidR="005E3077" w:rsidRPr="00AA3830" w:rsidRDefault="005E3077" w:rsidP="005E3077">
      <w:p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AA3830">
        <w:rPr>
          <w:rFonts w:asciiTheme="majorBidi" w:hAnsiTheme="majorBidi" w:cstheme="majorBidi"/>
          <w:b/>
        </w:rPr>
        <w:t>*Corresponding author:</w:t>
      </w:r>
    </w:p>
    <w:p w14:paraId="732CC09E" w14:textId="77777777" w:rsidR="005E3077" w:rsidRPr="00AA3830" w:rsidRDefault="005E3077" w:rsidP="005E3077">
      <w:p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AA3830">
        <w:rPr>
          <w:rFonts w:asciiTheme="majorBidi" w:hAnsiTheme="majorBidi" w:cstheme="majorBidi"/>
          <w:b/>
        </w:rPr>
        <w:t>Dr. Syed Mohammed Basheeruddin Asdaq</w:t>
      </w:r>
    </w:p>
    <w:p w14:paraId="16E65DCB" w14:textId="77777777" w:rsidR="005E3077" w:rsidRPr="00AA3830" w:rsidRDefault="005E3077" w:rsidP="005E3077">
      <w:pPr>
        <w:spacing w:after="0" w:line="240" w:lineRule="auto"/>
        <w:jc w:val="both"/>
        <w:rPr>
          <w:rFonts w:asciiTheme="majorBidi" w:hAnsiTheme="majorBidi" w:cstheme="majorBidi"/>
        </w:rPr>
      </w:pPr>
      <w:r w:rsidRPr="00AA3830">
        <w:rPr>
          <w:rFonts w:asciiTheme="majorBidi" w:hAnsiTheme="majorBidi" w:cstheme="majorBidi"/>
        </w:rPr>
        <w:t>Department of Pharmacology, College of Pharmacy, AlMaarefa University,</w:t>
      </w:r>
    </w:p>
    <w:p w14:paraId="1EA8F9E8" w14:textId="77777777" w:rsidR="005E3077" w:rsidRPr="00AA3830" w:rsidRDefault="005E3077" w:rsidP="005E3077">
      <w:pPr>
        <w:spacing w:after="0" w:line="240" w:lineRule="auto"/>
        <w:jc w:val="both"/>
        <w:rPr>
          <w:rFonts w:asciiTheme="majorBidi" w:hAnsiTheme="majorBidi" w:cstheme="majorBidi"/>
        </w:rPr>
      </w:pPr>
      <w:r w:rsidRPr="00AA3830">
        <w:rPr>
          <w:rFonts w:asciiTheme="majorBidi" w:hAnsiTheme="majorBidi" w:cstheme="majorBidi"/>
        </w:rPr>
        <w:t>Dariyah, Riyadh-11597, KSA, Fax</w:t>
      </w:r>
      <w:proofErr w:type="gramStart"/>
      <w:r w:rsidRPr="00AA3830">
        <w:rPr>
          <w:rFonts w:asciiTheme="majorBidi" w:hAnsiTheme="majorBidi" w:cstheme="majorBidi"/>
        </w:rPr>
        <w:t>:00966</w:t>
      </w:r>
      <w:proofErr w:type="gramEnd"/>
      <w:r w:rsidRPr="00AA3830">
        <w:rPr>
          <w:rFonts w:asciiTheme="majorBidi" w:hAnsiTheme="majorBidi" w:cstheme="majorBidi"/>
        </w:rPr>
        <w:t>-4903501-3399</w:t>
      </w:r>
    </w:p>
    <w:p w14:paraId="538805DB" w14:textId="77777777" w:rsidR="005E3077" w:rsidRPr="00AA3830" w:rsidRDefault="005E3077" w:rsidP="005E3077">
      <w:pPr>
        <w:spacing w:after="0" w:line="240" w:lineRule="auto"/>
        <w:jc w:val="both"/>
        <w:rPr>
          <w:rFonts w:asciiTheme="majorBidi" w:hAnsiTheme="majorBidi" w:cstheme="majorBidi"/>
        </w:rPr>
      </w:pPr>
      <w:proofErr w:type="spellStart"/>
      <w:r w:rsidRPr="00AA3830">
        <w:rPr>
          <w:rFonts w:asciiTheme="majorBidi" w:hAnsiTheme="majorBidi" w:cstheme="majorBidi"/>
        </w:rPr>
        <w:t>E-mail:sasdag@mcst.edu.sa</w:t>
      </w:r>
      <w:proofErr w:type="spellEnd"/>
      <w:r w:rsidRPr="00AA3830">
        <w:rPr>
          <w:rFonts w:asciiTheme="majorBidi" w:hAnsiTheme="majorBidi" w:cstheme="majorBidi"/>
        </w:rPr>
        <w:t xml:space="preserve"> </w:t>
      </w:r>
    </w:p>
    <w:p w14:paraId="245594D4" w14:textId="77777777" w:rsidR="005E3077" w:rsidRPr="00AA3830" w:rsidRDefault="005E3077" w:rsidP="005E3077">
      <w:pPr>
        <w:rPr>
          <w:rFonts w:asciiTheme="majorBidi" w:hAnsiTheme="majorBidi" w:cstheme="majorBidi"/>
          <w:u w:val="single"/>
        </w:rPr>
      </w:pPr>
    </w:p>
    <w:p w14:paraId="023B3C92" w14:textId="77777777" w:rsidR="005E3077" w:rsidRPr="00AA3830" w:rsidRDefault="005E3077" w:rsidP="005E3077">
      <w:pPr>
        <w:rPr>
          <w:rFonts w:asciiTheme="majorBidi" w:hAnsiTheme="majorBidi" w:cstheme="majorBidi"/>
        </w:rPr>
      </w:pPr>
      <w:r w:rsidRPr="00AA3830">
        <w:rPr>
          <w:rFonts w:asciiTheme="majorBidi" w:hAnsiTheme="majorBidi" w:cstheme="majorBidi"/>
          <w:u w:val="single"/>
        </w:rPr>
        <w:t>Submission considerations</w:t>
      </w:r>
      <w:r w:rsidRPr="00AA3830">
        <w:rPr>
          <w:rFonts w:asciiTheme="majorBidi" w:hAnsiTheme="majorBidi" w:cstheme="majorBidi"/>
        </w:rPr>
        <w:t xml:space="preserve">: This work </w:t>
      </w:r>
      <w:proofErr w:type="gramStart"/>
      <w:r w:rsidRPr="00AA3830">
        <w:rPr>
          <w:rFonts w:asciiTheme="majorBidi" w:hAnsiTheme="majorBidi" w:cstheme="majorBidi"/>
        </w:rPr>
        <w:t>has not been published</w:t>
      </w:r>
      <w:proofErr w:type="gramEnd"/>
      <w:r w:rsidRPr="00AA3830">
        <w:rPr>
          <w:rFonts w:asciiTheme="majorBidi" w:hAnsiTheme="majorBidi" w:cstheme="majorBidi"/>
        </w:rPr>
        <w:t xml:space="preserve"> before; is not under consideration elsewhere; and has been approved by all authors.</w:t>
      </w:r>
    </w:p>
    <w:p w14:paraId="358F5F51" w14:textId="77777777" w:rsidR="005E3077" w:rsidRDefault="005E3077" w:rsidP="005E3077">
      <w:pPr>
        <w:pStyle w:val="MDPI17abstract"/>
        <w:rPr>
          <w:rFonts w:asciiTheme="majorBidi" w:hAnsiTheme="majorBidi" w:cstheme="majorBidi"/>
          <w:b/>
          <w:sz w:val="28"/>
          <w:szCs w:val="28"/>
        </w:rPr>
      </w:pPr>
    </w:p>
    <w:p w14:paraId="58487BB2" w14:textId="77777777" w:rsidR="005E3077" w:rsidRDefault="005E3077" w:rsidP="005D4D4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FBE4144" w14:textId="77777777" w:rsidR="005E3077" w:rsidRDefault="005E3077" w:rsidP="005D4D4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F891EE8" w14:textId="194767E0" w:rsidR="00A43C87" w:rsidRDefault="00A43C87" w:rsidP="005D4D4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Table</w:t>
      </w:r>
      <w:r w:rsidR="006D7316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F0F68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6A0632" w:rsidRPr="00A229E2">
        <w:rPr>
          <w:rFonts w:asciiTheme="majorBidi" w:hAnsiTheme="majorBidi" w:cstheme="majorBidi"/>
          <w:sz w:val="24"/>
          <w:szCs w:val="24"/>
        </w:rPr>
        <w:t xml:space="preserve">Propensity Score-Matching (PSM) </w:t>
      </w:r>
      <w:r w:rsidR="006A0632">
        <w:rPr>
          <w:rFonts w:asciiTheme="majorBidi" w:hAnsiTheme="majorBidi" w:cstheme="majorBidi"/>
          <w:sz w:val="24"/>
          <w:szCs w:val="24"/>
        </w:rPr>
        <w:t>matching balance</w:t>
      </w:r>
    </w:p>
    <w:p w14:paraId="2BABAE30" w14:textId="65F71CC9" w:rsidR="00AF0F68" w:rsidRDefault="00AF0F68" w:rsidP="00AF0F68">
      <w:pPr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Table 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D4D46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A229E2">
        <w:rPr>
          <w:rFonts w:asciiTheme="majorBidi" w:hAnsiTheme="majorBidi" w:cstheme="majorBidi"/>
          <w:sz w:val="24"/>
          <w:szCs w:val="24"/>
        </w:rPr>
        <w:t xml:space="preserve">The severity of COVID-19 disease based on WHO definition and classification among ACEI/ARB vs non-ACEI/ARB </w:t>
      </w:r>
      <w:r>
        <w:rPr>
          <w:rFonts w:asciiTheme="majorBidi" w:hAnsiTheme="majorBidi" w:cstheme="majorBidi"/>
          <w:sz w:val="24"/>
          <w:szCs w:val="24"/>
        </w:rPr>
        <w:t>users</w:t>
      </w:r>
      <w:r w:rsidRPr="00A229E2">
        <w:rPr>
          <w:rFonts w:asciiTheme="majorBidi" w:hAnsiTheme="majorBidi" w:cstheme="majorBidi"/>
          <w:sz w:val="24"/>
          <w:szCs w:val="24"/>
        </w:rPr>
        <w:t xml:space="preserve"> based on WHO definition</w:t>
      </w:r>
      <w:r w:rsidR="006A0632">
        <w:rPr>
          <w:rFonts w:asciiTheme="majorBidi" w:hAnsiTheme="majorBidi" w:cstheme="majorBidi"/>
          <w:sz w:val="24"/>
          <w:szCs w:val="24"/>
        </w:rPr>
        <w:t>.</w:t>
      </w:r>
    </w:p>
    <w:p w14:paraId="54182575" w14:textId="76C152B0" w:rsidR="006A0632" w:rsidRDefault="006A0632" w:rsidP="00AF0F68">
      <w:pPr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S1.</w:t>
      </w:r>
      <w:r w:rsidRPr="005D4D46">
        <w:rPr>
          <w:rFonts w:asciiTheme="majorBidi" w:hAnsiTheme="majorBidi" w:cstheme="majorBidi"/>
          <w:sz w:val="24"/>
          <w:szCs w:val="24"/>
        </w:rPr>
        <w:t xml:space="preserve"> Propensity scores distribution (mirror diagram).  </w:t>
      </w:r>
    </w:p>
    <w:p w14:paraId="7470EFC7" w14:textId="438F8B92" w:rsidR="00AF0F68" w:rsidRDefault="006A0632" w:rsidP="005D4D46">
      <w:pPr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S2.</w:t>
      </w:r>
      <w:r>
        <w:rPr>
          <w:rFonts w:asciiTheme="majorBidi" w:hAnsiTheme="majorBidi" w:cstheme="majorBidi"/>
          <w:sz w:val="24"/>
          <w:szCs w:val="24"/>
        </w:rPr>
        <w:t xml:space="preserve"> Love plot for the p</w:t>
      </w:r>
      <w:r w:rsidRPr="00A229E2">
        <w:rPr>
          <w:rFonts w:asciiTheme="majorBidi" w:hAnsiTheme="majorBidi" w:cstheme="majorBidi"/>
          <w:sz w:val="24"/>
          <w:szCs w:val="24"/>
        </w:rPr>
        <w:t>ropensity score matching model-Covariates balance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7A74AD3" w14:textId="77777777" w:rsidR="006A0632" w:rsidRPr="00B90BFC" w:rsidRDefault="006A0632" w:rsidP="006A0632">
      <w:pPr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5D4D46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Love plot for IPSW</w:t>
      </w:r>
      <w:r w:rsidRPr="00A229E2">
        <w:rPr>
          <w:rFonts w:asciiTheme="majorBidi" w:hAnsiTheme="majorBidi" w:cstheme="majorBidi"/>
          <w:sz w:val="24"/>
          <w:szCs w:val="24"/>
        </w:rPr>
        <w:t>-Covariates balance</w:t>
      </w:r>
      <w:r>
        <w:rPr>
          <w:rFonts w:asciiTheme="majorBidi" w:hAnsiTheme="majorBidi" w:cstheme="majorBidi"/>
          <w:sz w:val="24"/>
          <w:szCs w:val="24"/>
        </w:rPr>
        <w:t xml:space="preserve"> (A - Diabetes, hypertension or renal disease, B-hypertension and diabetes, C- Diabetes alone, D- Hypertension alone) </w:t>
      </w:r>
    </w:p>
    <w:tbl>
      <w:tblPr>
        <w:tblStyle w:val="TableGrid"/>
        <w:tblW w:w="5629" w:type="pct"/>
        <w:jc w:val="center"/>
        <w:tblLook w:val="04A0" w:firstRow="1" w:lastRow="0" w:firstColumn="1" w:lastColumn="0" w:noHBand="0" w:noVBand="1"/>
      </w:tblPr>
      <w:tblGrid>
        <w:gridCol w:w="1661"/>
        <w:gridCol w:w="1372"/>
        <w:gridCol w:w="43"/>
        <w:gridCol w:w="1415"/>
        <w:gridCol w:w="461"/>
        <w:gridCol w:w="635"/>
        <w:gridCol w:w="1292"/>
        <w:gridCol w:w="68"/>
        <w:gridCol w:w="1224"/>
        <w:gridCol w:w="459"/>
        <w:gridCol w:w="1086"/>
      </w:tblGrid>
      <w:tr w:rsidR="00AF0F68" w:rsidRPr="003B4898" w14:paraId="55E39E09" w14:textId="77777777" w:rsidTr="005E3077">
        <w:trPr>
          <w:trHeight w:val="81"/>
          <w:jc w:val="center"/>
        </w:trPr>
        <w:tc>
          <w:tcPr>
            <w:tcW w:w="5000" w:type="pct"/>
            <w:gridSpan w:val="11"/>
          </w:tcPr>
          <w:p w14:paraId="5B39DD17" w14:textId="1E52E13B" w:rsidR="00AF0F68" w:rsidRPr="00204F03" w:rsidRDefault="00AF0F68" w:rsidP="007C1C9C">
            <w:pPr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S1</w:t>
            </w:r>
            <w:r w:rsidRPr="00204F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A229E2">
              <w:rPr>
                <w:rFonts w:asciiTheme="majorBidi" w:hAnsiTheme="majorBidi" w:cstheme="majorBidi"/>
                <w:sz w:val="24"/>
                <w:szCs w:val="24"/>
              </w:rPr>
              <w:t xml:space="preserve"> Propensity Score-Matching (PSM) </w:t>
            </w:r>
            <w:r w:rsidR="006A0632">
              <w:rPr>
                <w:rFonts w:asciiTheme="majorBidi" w:hAnsiTheme="majorBidi" w:cstheme="majorBidi"/>
                <w:sz w:val="24"/>
                <w:szCs w:val="24"/>
              </w:rPr>
              <w:t>matching balance</w:t>
            </w:r>
          </w:p>
        </w:tc>
      </w:tr>
      <w:tr w:rsidR="00AF0F68" w:rsidRPr="003B4898" w14:paraId="59DACA71" w14:textId="77777777" w:rsidTr="005E3077">
        <w:trPr>
          <w:trHeight w:val="716"/>
          <w:jc w:val="center"/>
        </w:trPr>
        <w:tc>
          <w:tcPr>
            <w:tcW w:w="855" w:type="pct"/>
          </w:tcPr>
          <w:p w14:paraId="1832A194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Confounders</w:t>
            </w:r>
          </w:p>
        </w:tc>
        <w:tc>
          <w:tcPr>
            <w:tcW w:w="728" w:type="pct"/>
            <w:gridSpan w:val="2"/>
          </w:tcPr>
          <w:p w14:paraId="696D6A3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ACEI/ARBs</w:t>
            </w:r>
          </w:p>
          <w:p w14:paraId="25912D81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(unmatched)</w:t>
            </w:r>
          </w:p>
          <w:p w14:paraId="4D8B800F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n=146</w:t>
            </w:r>
          </w:p>
        </w:tc>
        <w:tc>
          <w:tcPr>
            <w:tcW w:w="728" w:type="pct"/>
          </w:tcPr>
          <w:p w14:paraId="7BBCA340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Non-ACEI/ARB</w:t>
            </w:r>
          </w:p>
          <w:p w14:paraId="0ECFCC5C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(unmatched)</w:t>
            </w:r>
          </w:p>
          <w:p w14:paraId="54DF8D82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n=208</w:t>
            </w:r>
          </w:p>
        </w:tc>
        <w:tc>
          <w:tcPr>
            <w:tcW w:w="564" w:type="pct"/>
            <w:gridSpan w:val="2"/>
          </w:tcPr>
          <w:p w14:paraId="1F4494E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SMD* before matching</w:t>
            </w:r>
          </w:p>
        </w:tc>
        <w:tc>
          <w:tcPr>
            <w:tcW w:w="665" w:type="pct"/>
          </w:tcPr>
          <w:p w14:paraId="25108815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ACEI/ARB</w:t>
            </w:r>
          </w:p>
          <w:p w14:paraId="06414947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(matched)</w:t>
            </w:r>
          </w:p>
          <w:p w14:paraId="11A4CC6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n=145</w:t>
            </w:r>
          </w:p>
        </w:tc>
        <w:tc>
          <w:tcPr>
            <w:tcW w:w="665" w:type="pct"/>
            <w:gridSpan w:val="2"/>
          </w:tcPr>
          <w:p w14:paraId="7A41B027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Non-ACEI/ARB</w:t>
            </w:r>
          </w:p>
          <w:p w14:paraId="450FBF3B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(matched)</w:t>
            </w:r>
          </w:p>
          <w:p w14:paraId="0828060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n=63</w:t>
            </w:r>
          </w:p>
        </w:tc>
        <w:tc>
          <w:tcPr>
            <w:tcW w:w="795" w:type="pct"/>
            <w:gridSpan w:val="2"/>
          </w:tcPr>
          <w:p w14:paraId="027C6BAD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SMD*</w:t>
            </w:r>
          </w:p>
          <w:p w14:paraId="7A3B8E9B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04F03">
              <w:rPr>
                <w:rFonts w:asciiTheme="majorBidi" w:hAnsiTheme="majorBidi" w:cstheme="majorBidi"/>
                <w:b/>
                <w:bCs/>
              </w:rPr>
              <w:t>after matching</w:t>
            </w:r>
          </w:p>
        </w:tc>
      </w:tr>
      <w:tr w:rsidR="00AF0F68" w:rsidRPr="003B4898" w14:paraId="72DF2F64" w14:textId="77777777" w:rsidTr="005E3077">
        <w:trPr>
          <w:trHeight w:val="410"/>
          <w:jc w:val="center"/>
        </w:trPr>
        <w:tc>
          <w:tcPr>
            <w:tcW w:w="855" w:type="pct"/>
          </w:tcPr>
          <w:p w14:paraId="399544D1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Age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(years), mean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(±SD)</w:t>
            </w:r>
          </w:p>
        </w:tc>
        <w:tc>
          <w:tcPr>
            <w:tcW w:w="728" w:type="pct"/>
            <w:gridSpan w:val="2"/>
          </w:tcPr>
          <w:p w14:paraId="2E7DD1C1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56.36 (11.87)</w:t>
            </w:r>
          </w:p>
        </w:tc>
        <w:tc>
          <w:tcPr>
            <w:tcW w:w="728" w:type="pct"/>
          </w:tcPr>
          <w:p w14:paraId="2BE4AC0F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40.29 (11.57)</w:t>
            </w:r>
          </w:p>
        </w:tc>
        <w:tc>
          <w:tcPr>
            <w:tcW w:w="564" w:type="pct"/>
            <w:gridSpan w:val="2"/>
          </w:tcPr>
          <w:p w14:paraId="7EA99835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1.353</w:t>
            </w:r>
          </w:p>
        </w:tc>
        <w:tc>
          <w:tcPr>
            <w:tcW w:w="665" w:type="pct"/>
          </w:tcPr>
          <w:p w14:paraId="4B41248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56.46 (11.84)</w:t>
            </w:r>
          </w:p>
        </w:tc>
        <w:tc>
          <w:tcPr>
            <w:tcW w:w="665" w:type="pct"/>
            <w:gridSpan w:val="2"/>
          </w:tcPr>
          <w:p w14:paraId="1D2287C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49.21 (12.54)</w:t>
            </w:r>
          </w:p>
        </w:tc>
        <w:tc>
          <w:tcPr>
            <w:tcW w:w="795" w:type="pct"/>
            <w:gridSpan w:val="2"/>
          </w:tcPr>
          <w:p w14:paraId="50C00DD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-0.083</w:t>
            </w:r>
          </w:p>
        </w:tc>
      </w:tr>
      <w:tr w:rsidR="00AF0F68" w:rsidRPr="003B4898" w14:paraId="095FD59F" w14:textId="77777777" w:rsidTr="005E3077">
        <w:trPr>
          <w:trHeight w:val="614"/>
          <w:jc w:val="center"/>
        </w:trPr>
        <w:tc>
          <w:tcPr>
            <w:tcW w:w="855" w:type="pct"/>
          </w:tcPr>
          <w:p w14:paraId="772A0410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BMI (kg/m2), mean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(±SD)</w:t>
            </w:r>
          </w:p>
        </w:tc>
        <w:tc>
          <w:tcPr>
            <w:tcW w:w="728" w:type="pct"/>
            <w:gridSpan w:val="2"/>
          </w:tcPr>
          <w:p w14:paraId="21EADA04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28.81(6.32)</w:t>
            </w:r>
          </w:p>
        </w:tc>
        <w:tc>
          <w:tcPr>
            <w:tcW w:w="728" w:type="pct"/>
          </w:tcPr>
          <w:p w14:paraId="49BA9D3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27.39 (7.35)</w:t>
            </w:r>
          </w:p>
        </w:tc>
        <w:tc>
          <w:tcPr>
            <w:tcW w:w="564" w:type="pct"/>
            <w:gridSpan w:val="2"/>
          </w:tcPr>
          <w:p w14:paraId="172D8DE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0.224</w:t>
            </w:r>
          </w:p>
        </w:tc>
        <w:tc>
          <w:tcPr>
            <w:tcW w:w="665" w:type="pct"/>
          </w:tcPr>
          <w:p w14:paraId="49A90792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28.68 (6.13)</w:t>
            </w:r>
          </w:p>
        </w:tc>
        <w:tc>
          <w:tcPr>
            <w:tcW w:w="665" w:type="pct"/>
            <w:gridSpan w:val="2"/>
          </w:tcPr>
          <w:p w14:paraId="7494382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29.22 (6.58)</w:t>
            </w:r>
          </w:p>
        </w:tc>
        <w:tc>
          <w:tcPr>
            <w:tcW w:w="795" w:type="pct"/>
            <w:gridSpan w:val="2"/>
          </w:tcPr>
          <w:p w14:paraId="753B9213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-0.229</w:t>
            </w:r>
          </w:p>
        </w:tc>
      </w:tr>
      <w:tr w:rsidR="00AF0F68" w:rsidRPr="003B4898" w14:paraId="2805A14B" w14:textId="77777777" w:rsidTr="005E3077">
        <w:trPr>
          <w:trHeight w:val="410"/>
          <w:jc w:val="center"/>
        </w:trPr>
        <w:tc>
          <w:tcPr>
            <w:tcW w:w="855" w:type="pct"/>
          </w:tcPr>
          <w:p w14:paraId="3C92EBD6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Diabetes, 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728" w:type="pct"/>
            <w:gridSpan w:val="2"/>
          </w:tcPr>
          <w:p w14:paraId="6B6E379F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98 (67.1)</w:t>
            </w:r>
          </w:p>
        </w:tc>
        <w:tc>
          <w:tcPr>
            <w:tcW w:w="728" w:type="pct"/>
          </w:tcPr>
          <w:p w14:paraId="7E58C884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42 (20.2)</w:t>
            </w:r>
          </w:p>
        </w:tc>
        <w:tc>
          <w:tcPr>
            <w:tcW w:w="564" w:type="pct"/>
            <w:gridSpan w:val="2"/>
          </w:tcPr>
          <w:p w14:paraId="2F11769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0.995</w:t>
            </w:r>
          </w:p>
        </w:tc>
        <w:tc>
          <w:tcPr>
            <w:tcW w:w="665" w:type="pct"/>
          </w:tcPr>
          <w:p w14:paraId="4BFFB528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97 (66.9)</w:t>
            </w:r>
          </w:p>
        </w:tc>
        <w:tc>
          <w:tcPr>
            <w:tcW w:w="665" w:type="pct"/>
            <w:gridSpan w:val="2"/>
          </w:tcPr>
          <w:p w14:paraId="2BD596C0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29 (46.0)</w:t>
            </w:r>
          </w:p>
        </w:tc>
        <w:tc>
          <w:tcPr>
            <w:tcW w:w="795" w:type="pct"/>
            <w:gridSpan w:val="2"/>
          </w:tcPr>
          <w:p w14:paraId="3C0507B6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0.124</w:t>
            </w:r>
          </w:p>
        </w:tc>
      </w:tr>
      <w:tr w:rsidR="00AF0F68" w:rsidRPr="003B4898" w14:paraId="24112426" w14:textId="77777777" w:rsidTr="005E3077">
        <w:trPr>
          <w:trHeight w:val="410"/>
          <w:jc w:val="center"/>
        </w:trPr>
        <w:tc>
          <w:tcPr>
            <w:tcW w:w="855" w:type="pct"/>
          </w:tcPr>
          <w:p w14:paraId="7B097B5B" w14:textId="77777777" w:rsidR="00AF0F68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 xml:space="preserve">Hypertension, </w:t>
            </w:r>
          </w:p>
          <w:p w14:paraId="35CE4C58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728" w:type="pct"/>
            <w:gridSpan w:val="2"/>
          </w:tcPr>
          <w:p w14:paraId="4653903A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123 (84.2)</w:t>
            </w:r>
          </w:p>
        </w:tc>
        <w:tc>
          <w:tcPr>
            <w:tcW w:w="728" w:type="pct"/>
          </w:tcPr>
          <w:p w14:paraId="0ED0ED1F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22 (10.6)</w:t>
            </w:r>
          </w:p>
        </w:tc>
        <w:tc>
          <w:tcPr>
            <w:tcW w:w="564" w:type="pct"/>
            <w:gridSpan w:val="2"/>
          </w:tcPr>
          <w:p w14:paraId="00256EE5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2.015</w:t>
            </w:r>
          </w:p>
        </w:tc>
        <w:tc>
          <w:tcPr>
            <w:tcW w:w="665" w:type="pct"/>
          </w:tcPr>
          <w:p w14:paraId="371BF63F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122 (84.1)</w:t>
            </w:r>
          </w:p>
        </w:tc>
        <w:tc>
          <w:tcPr>
            <w:tcW w:w="665" w:type="pct"/>
            <w:gridSpan w:val="2"/>
          </w:tcPr>
          <w:p w14:paraId="46C2AB6D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22 (34.9)</w:t>
            </w:r>
          </w:p>
        </w:tc>
        <w:tc>
          <w:tcPr>
            <w:tcW w:w="795" w:type="pct"/>
            <w:gridSpan w:val="2"/>
          </w:tcPr>
          <w:p w14:paraId="353742F9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0.066</w:t>
            </w:r>
          </w:p>
        </w:tc>
      </w:tr>
      <w:tr w:rsidR="00AF0F68" w:rsidRPr="003B4898" w14:paraId="5778DB1D" w14:textId="77777777" w:rsidTr="005E3077">
        <w:trPr>
          <w:trHeight w:val="410"/>
          <w:jc w:val="center"/>
        </w:trPr>
        <w:tc>
          <w:tcPr>
            <w:tcW w:w="855" w:type="pct"/>
          </w:tcPr>
          <w:p w14:paraId="40A4898A" w14:textId="77777777" w:rsidR="00AF0F68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 xml:space="preserve">Renal disease, </w:t>
            </w:r>
          </w:p>
          <w:p w14:paraId="033D54C5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proofErr w:type="gramStart"/>
            <w:r w:rsidRPr="00204F03">
              <w:rPr>
                <w:rFonts w:asciiTheme="majorBidi" w:hAnsiTheme="majorBidi" w:cstheme="majorBidi"/>
              </w:rPr>
              <w:t>n</w:t>
            </w:r>
            <w:proofErr w:type="gramEnd"/>
            <w:r>
              <w:rPr>
                <w:rFonts w:asciiTheme="majorBidi" w:hAnsiTheme="majorBidi" w:cstheme="majorBidi"/>
              </w:rPr>
              <w:t xml:space="preserve"> </w:t>
            </w:r>
            <w:r w:rsidRPr="00204F03">
              <w:rPr>
                <w:rFonts w:asciiTheme="majorBidi" w:hAnsiTheme="majorBidi" w:cstheme="majorBidi"/>
              </w:rPr>
              <w:t>(%)</w:t>
            </w:r>
          </w:p>
        </w:tc>
        <w:tc>
          <w:tcPr>
            <w:tcW w:w="728" w:type="pct"/>
            <w:gridSpan w:val="2"/>
          </w:tcPr>
          <w:p w14:paraId="62E9B0AD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17 (11.6)</w:t>
            </w:r>
          </w:p>
        </w:tc>
        <w:tc>
          <w:tcPr>
            <w:tcW w:w="728" w:type="pct"/>
          </w:tcPr>
          <w:p w14:paraId="3A2BD602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9 (4.3)</w:t>
            </w:r>
          </w:p>
        </w:tc>
        <w:tc>
          <w:tcPr>
            <w:tcW w:w="564" w:type="pct"/>
            <w:gridSpan w:val="2"/>
          </w:tcPr>
          <w:p w14:paraId="3EBDF08E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0.737</w:t>
            </w:r>
          </w:p>
        </w:tc>
        <w:tc>
          <w:tcPr>
            <w:tcW w:w="665" w:type="pct"/>
          </w:tcPr>
          <w:p w14:paraId="17C24BA9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17 (11.7)</w:t>
            </w:r>
          </w:p>
        </w:tc>
        <w:tc>
          <w:tcPr>
            <w:tcW w:w="665" w:type="pct"/>
            <w:gridSpan w:val="2"/>
          </w:tcPr>
          <w:p w14:paraId="13DD3E3B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9 (14.3)</w:t>
            </w:r>
          </w:p>
        </w:tc>
        <w:tc>
          <w:tcPr>
            <w:tcW w:w="795" w:type="pct"/>
            <w:gridSpan w:val="2"/>
          </w:tcPr>
          <w:p w14:paraId="29A91AE0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0.092</w:t>
            </w:r>
          </w:p>
        </w:tc>
      </w:tr>
      <w:tr w:rsidR="00AF0F68" w:rsidRPr="003B4898" w14:paraId="52AA40AD" w14:textId="77777777" w:rsidTr="005E3077">
        <w:trPr>
          <w:trHeight w:val="819"/>
          <w:jc w:val="center"/>
        </w:trPr>
        <w:tc>
          <w:tcPr>
            <w:tcW w:w="855" w:type="pct"/>
          </w:tcPr>
          <w:p w14:paraId="527ADC46" w14:textId="77777777" w:rsidR="00AF0F68" w:rsidRPr="00204F03" w:rsidRDefault="00AF0F68" w:rsidP="007C1C9C">
            <w:pPr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Number of Comorbidities</w:t>
            </w:r>
            <w:r w:rsidRPr="00204F03">
              <w:rPr>
                <w:rFonts w:asciiTheme="majorBidi" w:hAnsiTheme="majorBidi" w:cstheme="majorBidi"/>
                <w:vertAlign w:val="superscript"/>
              </w:rPr>
              <w:t>¶</w:t>
            </w:r>
            <w:r w:rsidRPr="00204F03">
              <w:rPr>
                <w:rFonts w:asciiTheme="majorBidi" w:hAnsiTheme="majorBidi" w:cstheme="majorBidi"/>
              </w:rPr>
              <w:t>, median (IQR)</w:t>
            </w:r>
          </w:p>
        </w:tc>
        <w:tc>
          <w:tcPr>
            <w:tcW w:w="728" w:type="pct"/>
            <w:gridSpan w:val="2"/>
          </w:tcPr>
          <w:p w14:paraId="4E61431E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 (2-3)</w:t>
            </w:r>
          </w:p>
        </w:tc>
        <w:tc>
          <w:tcPr>
            <w:tcW w:w="728" w:type="pct"/>
          </w:tcPr>
          <w:p w14:paraId="0458C000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0 (0-1)</w:t>
            </w:r>
          </w:p>
        </w:tc>
        <w:tc>
          <w:tcPr>
            <w:tcW w:w="564" w:type="pct"/>
            <w:gridSpan w:val="2"/>
          </w:tcPr>
          <w:p w14:paraId="5BCA7B44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1.217</w:t>
            </w:r>
          </w:p>
        </w:tc>
        <w:tc>
          <w:tcPr>
            <w:tcW w:w="665" w:type="pct"/>
          </w:tcPr>
          <w:p w14:paraId="01E7D38C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2 (2-3)</w:t>
            </w:r>
          </w:p>
        </w:tc>
        <w:tc>
          <w:tcPr>
            <w:tcW w:w="665" w:type="pct"/>
            <w:gridSpan w:val="2"/>
          </w:tcPr>
          <w:p w14:paraId="35AB4E4B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1 (1-3)</w:t>
            </w:r>
          </w:p>
        </w:tc>
        <w:tc>
          <w:tcPr>
            <w:tcW w:w="795" w:type="pct"/>
            <w:gridSpan w:val="2"/>
          </w:tcPr>
          <w:p w14:paraId="07E76214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  <w:r w:rsidRPr="00204F03">
              <w:rPr>
                <w:rFonts w:asciiTheme="majorBidi" w:hAnsiTheme="majorBidi" w:cstheme="majorBidi"/>
              </w:rPr>
              <w:t>-0.061</w:t>
            </w:r>
          </w:p>
        </w:tc>
      </w:tr>
      <w:tr w:rsidR="00AF0F68" w:rsidRPr="003B4898" w14:paraId="7B780DEE" w14:textId="77777777" w:rsidTr="005E3077">
        <w:trPr>
          <w:trHeight w:val="819"/>
          <w:jc w:val="center"/>
        </w:trPr>
        <w:tc>
          <w:tcPr>
            <w:tcW w:w="5000" w:type="pct"/>
            <w:gridSpan w:val="11"/>
          </w:tcPr>
          <w:p w14:paraId="68801B84" w14:textId="77777777" w:rsidR="00AF0F68" w:rsidRPr="00204F03" w:rsidRDefault="00AF0F68" w:rsidP="007C1C9C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04F03">
              <w:rPr>
                <w:rFonts w:asciiTheme="majorBidi" w:hAnsiTheme="majorBidi" w:cstheme="majorBidi"/>
                <w:sz w:val="20"/>
                <w:szCs w:val="20"/>
              </w:rPr>
              <w:t xml:space="preserve">Propensity score matching with age, BMI, diabetes, hypertension, renal disease and number of comorbidities </w:t>
            </w:r>
          </w:p>
          <w:p w14:paraId="15AC7BA9" w14:textId="77777777" w:rsidR="00AF0F68" w:rsidRPr="00204F03" w:rsidRDefault="00AF0F68" w:rsidP="007C1C9C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04F03">
              <w:rPr>
                <w:rFonts w:asciiTheme="majorBidi" w:hAnsiTheme="majorBidi" w:cstheme="majorBidi"/>
                <w:sz w:val="20"/>
                <w:szCs w:val="20"/>
              </w:rPr>
              <w:t>¶Comorbidities include: diabetes, hypertension, cardiovascular disease (heart failure/coronary artery disease), stroke, renal disease, asthma and obesity</w:t>
            </w:r>
          </w:p>
          <w:p w14:paraId="1510BAAB" w14:textId="77777777" w:rsidR="00AF0F68" w:rsidRPr="00204F03" w:rsidRDefault="00AF0F68" w:rsidP="007C1C9C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04F03">
              <w:rPr>
                <w:rFonts w:asciiTheme="majorBidi" w:hAnsiTheme="majorBidi" w:cstheme="majorBidi"/>
                <w:sz w:val="20"/>
                <w:szCs w:val="20"/>
              </w:rPr>
              <w:t>*Standardized mean difference</w:t>
            </w:r>
          </w:p>
          <w:p w14:paraId="3DD5F568" w14:textId="77777777" w:rsidR="00AF0F68" w:rsidRPr="00204F03" w:rsidRDefault="00AF0F68" w:rsidP="007C1C9C">
            <w:pPr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204F03">
              <w:rPr>
                <w:rFonts w:asciiTheme="majorBidi" w:hAnsiTheme="majorBidi" w:cstheme="majorBidi"/>
                <w:sz w:val="20"/>
                <w:szCs w:val="20"/>
              </w:rPr>
              <w:t>IQR: Interquartile range. SD: Standard deviation. SMD: Standardized mean difference: Angiotensin-converting enzyme inhibitors (ACE). ARB: Angiotensin II receptor blockers. BMI: body mass index</w:t>
            </w:r>
          </w:p>
          <w:p w14:paraId="543474F7" w14:textId="77777777" w:rsidR="00AF0F68" w:rsidRPr="00204F03" w:rsidRDefault="00AF0F68" w:rsidP="007C1C9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F0F68" w:rsidRPr="00E21A8E" w14:paraId="3C0598F1" w14:textId="77777777" w:rsidTr="005E3077">
        <w:trPr>
          <w:gridAfter w:val="1"/>
          <w:wAfter w:w="559" w:type="pct"/>
          <w:jc w:val="center"/>
        </w:trPr>
        <w:tc>
          <w:tcPr>
            <w:tcW w:w="4441" w:type="pct"/>
            <w:gridSpan w:val="10"/>
          </w:tcPr>
          <w:p w14:paraId="08BC5495" w14:textId="648C3FE9" w:rsidR="00AF0F68" w:rsidRPr="005D4D46" w:rsidRDefault="00AF0F68" w:rsidP="00AF0F68">
            <w:pPr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 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5D4D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A229E2">
              <w:rPr>
                <w:rFonts w:asciiTheme="majorBidi" w:hAnsiTheme="majorBidi" w:cstheme="majorBidi"/>
                <w:sz w:val="24"/>
                <w:szCs w:val="24"/>
              </w:rPr>
              <w:t xml:space="preserve">The severity of COVID-19 disease based on WHO definition and classification among ACEI/ARB vs non-ACEI/ARB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users</w:t>
            </w:r>
            <w:r w:rsidRPr="00A229E2">
              <w:rPr>
                <w:rFonts w:asciiTheme="majorBidi" w:hAnsiTheme="majorBidi" w:cstheme="majorBidi"/>
                <w:sz w:val="24"/>
                <w:szCs w:val="24"/>
              </w:rPr>
              <w:t xml:space="preserve"> based on WHO definition</w:t>
            </w:r>
          </w:p>
        </w:tc>
      </w:tr>
      <w:tr w:rsidR="005D4D46" w:rsidRPr="00E21A8E" w14:paraId="10F964BD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06F91FEA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  <w:b/>
                <w:bCs/>
              </w:rPr>
              <w:t>Variable</w:t>
            </w:r>
          </w:p>
        </w:tc>
        <w:tc>
          <w:tcPr>
            <w:tcW w:w="987" w:type="pct"/>
            <w:gridSpan w:val="3"/>
          </w:tcPr>
          <w:p w14:paraId="1E4A0D2E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ACEI/ARB</w:t>
            </w:r>
          </w:p>
          <w:p w14:paraId="19E867E5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(matched)</w:t>
            </w:r>
          </w:p>
          <w:p w14:paraId="03E668ED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</w:rPr>
              <w:t>n=145</w:t>
            </w:r>
          </w:p>
        </w:tc>
        <w:tc>
          <w:tcPr>
            <w:tcW w:w="1027" w:type="pct"/>
            <w:gridSpan w:val="3"/>
          </w:tcPr>
          <w:p w14:paraId="3954106F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Non-ACEI/ARB</w:t>
            </w:r>
          </w:p>
          <w:p w14:paraId="69073EF9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(matched)</w:t>
            </w:r>
          </w:p>
          <w:p w14:paraId="5607CFB1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</w:rPr>
              <w:t>n=63</w:t>
            </w:r>
          </w:p>
        </w:tc>
        <w:tc>
          <w:tcPr>
            <w:tcW w:w="866" w:type="pct"/>
            <w:gridSpan w:val="2"/>
          </w:tcPr>
          <w:p w14:paraId="04B78F19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  <w:b/>
                <w:bCs/>
              </w:rPr>
              <w:t>P value*</w:t>
            </w:r>
          </w:p>
        </w:tc>
      </w:tr>
      <w:tr w:rsidR="005D4D46" w:rsidRPr="00E21A8E" w14:paraId="6418E196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4A9A520B" w14:textId="77777777" w:rsidR="005D4D46" w:rsidRDefault="005D4D46" w:rsidP="00C175DC">
            <w:pPr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 xml:space="preserve">WHO Severity Classification, </w:t>
            </w:r>
          </w:p>
          <w:p w14:paraId="1D4A505B" w14:textId="77777777" w:rsidR="005D4D46" w:rsidRPr="005D4D46" w:rsidRDefault="005D4D46" w:rsidP="00C175DC">
            <w:pPr>
              <w:rPr>
                <w:rFonts w:asciiTheme="majorBidi" w:hAnsiTheme="majorBidi" w:cstheme="majorBidi"/>
              </w:rPr>
            </w:pPr>
            <w:proofErr w:type="gramStart"/>
            <w:r w:rsidRPr="005D4D46">
              <w:rPr>
                <w:rFonts w:asciiTheme="majorBidi" w:hAnsiTheme="majorBidi" w:cstheme="majorBidi"/>
              </w:rPr>
              <w:t>n</w:t>
            </w:r>
            <w:proofErr w:type="gramEnd"/>
            <w:r w:rsidRPr="005D4D46">
              <w:rPr>
                <w:rFonts w:asciiTheme="majorBidi" w:hAnsiTheme="majorBidi" w:cstheme="majorBidi"/>
              </w:rPr>
              <w:t xml:space="preserve"> (%)</w:t>
            </w:r>
          </w:p>
        </w:tc>
        <w:tc>
          <w:tcPr>
            <w:tcW w:w="987" w:type="pct"/>
            <w:gridSpan w:val="3"/>
          </w:tcPr>
          <w:p w14:paraId="46F97D2A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7" w:type="pct"/>
            <w:gridSpan w:val="3"/>
          </w:tcPr>
          <w:p w14:paraId="6C438062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66" w:type="pct"/>
            <w:gridSpan w:val="2"/>
          </w:tcPr>
          <w:p w14:paraId="74A11E6B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  <w:b/>
                <w:bCs/>
              </w:rPr>
              <w:t>&lt;0.001</w:t>
            </w:r>
          </w:p>
        </w:tc>
      </w:tr>
      <w:tr w:rsidR="005D4D46" w:rsidRPr="00E21A8E" w14:paraId="48A709CE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299314EE" w14:textId="77777777" w:rsidR="005D4D46" w:rsidRPr="005D4D46" w:rsidRDefault="005D4D46" w:rsidP="00C175DC">
            <w:pPr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Mild-moderate</w:t>
            </w:r>
          </w:p>
        </w:tc>
        <w:tc>
          <w:tcPr>
            <w:tcW w:w="987" w:type="pct"/>
            <w:gridSpan w:val="3"/>
          </w:tcPr>
          <w:p w14:paraId="0A96B559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20 (13.8)</w:t>
            </w:r>
          </w:p>
        </w:tc>
        <w:tc>
          <w:tcPr>
            <w:tcW w:w="1027" w:type="pct"/>
            <w:gridSpan w:val="3"/>
          </w:tcPr>
          <w:p w14:paraId="52B7C45D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33 (52.4)</w:t>
            </w:r>
          </w:p>
        </w:tc>
        <w:tc>
          <w:tcPr>
            <w:tcW w:w="866" w:type="pct"/>
            <w:gridSpan w:val="2"/>
          </w:tcPr>
          <w:p w14:paraId="6EF503FE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4D46" w:rsidRPr="00E21A8E" w14:paraId="3876715F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4B2FF848" w14:textId="77777777" w:rsidR="005D4D46" w:rsidRPr="005D4D46" w:rsidRDefault="005D4D46" w:rsidP="00C175DC">
            <w:pPr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Severe</w:t>
            </w:r>
          </w:p>
        </w:tc>
        <w:tc>
          <w:tcPr>
            <w:tcW w:w="987" w:type="pct"/>
            <w:gridSpan w:val="3"/>
          </w:tcPr>
          <w:p w14:paraId="0A54B0D6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106 (73.1)</w:t>
            </w:r>
          </w:p>
        </w:tc>
        <w:tc>
          <w:tcPr>
            <w:tcW w:w="1027" w:type="pct"/>
            <w:gridSpan w:val="3"/>
          </w:tcPr>
          <w:p w14:paraId="6E10AA93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24 (38.1)</w:t>
            </w:r>
          </w:p>
        </w:tc>
        <w:tc>
          <w:tcPr>
            <w:tcW w:w="866" w:type="pct"/>
            <w:gridSpan w:val="2"/>
          </w:tcPr>
          <w:p w14:paraId="106CC962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4D46" w:rsidRPr="00E21A8E" w14:paraId="7A8967EA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32E808E7" w14:textId="77777777" w:rsidR="005D4D46" w:rsidRPr="005D4D46" w:rsidRDefault="005D4D46" w:rsidP="00C175DC">
            <w:pPr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Critical</w:t>
            </w:r>
          </w:p>
        </w:tc>
        <w:tc>
          <w:tcPr>
            <w:tcW w:w="987" w:type="pct"/>
            <w:gridSpan w:val="3"/>
          </w:tcPr>
          <w:p w14:paraId="0AAA5306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19 (13.1)</w:t>
            </w:r>
          </w:p>
        </w:tc>
        <w:tc>
          <w:tcPr>
            <w:tcW w:w="1027" w:type="pct"/>
            <w:gridSpan w:val="3"/>
          </w:tcPr>
          <w:p w14:paraId="433FBD22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6 (9.5)</w:t>
            </w:r>
          </w:p>
        </w:tc>
        <w:tc>
          <w:tcPr>
            <w:tcW w:w="866" w:type="pct"/>
            <w:gridSpan w:val="2"/>
          </w:tcPr>
          <w:p w14:paraId="7F47A4C7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D4D46" w:rsidRPr="00E21A8E" w14:paraId="7477DAC3" w14:textId="77777777" w:rsidTr="005E3077">
        <w:trPr>
          <w:gridAfter w:val="1"/>
          <w:wAfter w:w="559" w:type="pct"/>
          <w:jc w:val="center"/>
        </w:trPr>
        <w:tc>
          <w:tcPr>
            <w:tcW w:w="1561" w:type="pct"/>
            <w:gridSpan w:val="2"/>
          </w:tcPr>
          <w:p w14:paraId="04648581" w14:textId="77777777" w:rsidR="005D4D46" w:rsidRDefault="005D4D46" w:rsidP="00C175DC">
            <w:pPr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  <w:b/>
                <w:bCs/>
              </w:rPr>
              <w:t xml:space="preserve">Length of stay(days), </w:t>
            </w:r>
          </w:p>
          <w:p w14:paraId="1F626554" w14:textId="77777777" w:rsidR="005D4D46" w:rsidRPr="005D4D46" w:rsidRDefault="005D4D46" w:rsidP="00C175DC">
            <w:pPr>
              <w:rPr>
                <w:rFonts w:asciiTheme="majorBidi" w:hAnsiTheme="majorBidi" w:cstheme="majorBidi"/>
                <w:b/>
                <w:bCs/>
              </w:rPr>
            </w:pPr>
            <w:r w:rsidRPr="005D4D46">
              <w:rPr>
                <w:rFonts w:asciiTheme="majorBidi" w:hAnsiTheme="majorBidi" w:cstheme="majorBidi"/>
              </w:rPr>
              <w:t>median (IQR)</w:t>
            </w:r>
          </w:p>
        </w:tc>
        <w:tc>
          <w:tcPr>
            <w:tcW w:w="987" w:type="pct"/>
            <w:gridSpan w:val="3"/>
          </w:tcPr>
          <w:p w14:paraId="1CD61B96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11 (7.0-17.0)</w:t>
            </w:r>
          </w:p>
        </w:tc>
        <w:tc>
          <w:tcPr>
            <w:tcW w:w="1027" w:type="pct"/>
            <w:gridSpan w:val="3"/>
          </w:tcPr>
          <w:p w14:paraId="5CED1BB0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9 (6.5-15)</w:t>
            </w:r>
          </w:p>
        </w:tc>
        <w:tc>
          <w:tcPr>
            <w:tcW w:w="866" w:type="pct"/>
            <w:gridSpan w:val="2"/>
          </w:tcPr>
          <w:p w14:paraId="0F4C12BF" w14:textId="77777777" w:rsidR="005D4D46" w:rsidRPr="005D4D46" w:rsidRDefault="005D4D46" w:rsidP="005D4D46">
            <w:pPr>
              <w:jc w:val="center"/>
              <w:rPr>
                <w:rFonts w:asciiTheme="majorBidi" w:hAnsiTheme="majorBidi" w:cstheme="majorBidi"/>
              </w:rPr>
            </w:pPr>
            <w:r w:rsidRPr="005D4D46">
              <w:rPr>
                <w:rFonts w:asciiTheme="majorBidi" w:hAnsiTheme="majorBidi" w:cstheme="majorBidi"/>
              </w:rPr>
              <w:t>0.099</w:t>
            </w:r>
          </w:p>
        </w:tc>
      </w:tr>
    </w:tbl>
    <w:p w14:paraId="35105F94" w14:textId="77777777" w:rsidR="005D4D46" w:rsidRPr="005D4D46" w:rsidRDefault="005D4D46" w:rsidP="005D4D46">
      <w:pPr>
        <w:spacing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5D4D46">
        <w:rPr>
          <w:rFonts w:asciiTheme="majorBidi" w:hAnsiTheme="majorBidi" w:cstheme="majorBidi"/>
          <w:sz w:val="20"/>
          <w:szCs w:val="20"/>
        </w:rPr>
        <w:t xml:space="preserve">* For count data fisher exact test </w:t>
      </w:r>
      <w:proofErr w:type="gramStart"/>
      <w:r w:rsidRPr="005D4D46">
        <w:rPr>
          <w:rFonts w:asciiTheme="majorBidi" w:hAnsiTheme="majorBidi" w:cstheme="majorBidi"/>
          <w:sz w:val="20"/>
          <w:szCs w:val="20"/>
        </w:rPr>
        <w:t>was used</w:t>
      </w:r>
      <w:proofErr w:type="gramEnd"/>
      <w:r w:rsidRPr="005D4D46">
        <w:rPr>
          <w:rFonts w:asciiTheme="majorBidi" w:hAnsiTheme="majorBidi" w:cstheme="majorBidi"/>
          <w:sz w:val="20"/>
          <w:szCs w:val="20"/>
        </w:rPr>
        <w:t>. Non-parametric Mann Whitney test for length of stay.</w:t>
      </w:r>
    </w:p>
    <w:p w14:paraId="502F8A9B" w14:textId="77777777" w:rsidR="005D4D46" w:rsidRPr="005D4D46" w:rsidRDefault="005D4D46" w:rsidP="005D4D46">
      <w:pPr>
        <w:spacing w:line="240" w:lineRule="auto"/>
        <w:contextualSpacing/>
        <w:rPr>
          <w:rFonts w:asciiTheme="majorBidi" w:hAnsiTheme="majorBidi" w:cstheme="majorBidi"/>
          <w:sz w:val="20"/>
          <w:szCs w:val="20"/>
        </w:rPr>
      </w:pPr>
      <w:r w:rsidRPr="005D4D46">
        <w:rPr>
          <w:rFonts w:asciiTheme="majorBidi" w:hAnsiTheme="majorBidi" w:cstheme="majorBidi"/>
          <w:sz w:val="20"/>
          <w:szCs w:val="20"/>
        </w:rPr>
        <w:t>Angiotensin-converting enzyme inhibitors (ACE). ARB: Angiotensin II receptor blockers. WHO: World health organization</w:t>
      </w:r>
    </w:p>
    <w:p w14:paraId="4AE52DFB" w14:textId="77777777" w:rsidR="005D4D46" w:rsidRDefault="005D4D46" w:rsidP="005D4D46">
      <w:pPr>
        <w:rPr>
          <w:rFonts w:asciiTheme="majorBidi" w:hAnsiTheme="majorBidi" w:cstheme="majorBidi"/>
          <w:sz w:val="24"/>
          <w:szCs w:val="24"/>
        </w:rPr>
      </w:pPr>
    </w:p>
    <w:p w14:paraId="5521CF92" w14:textId="77777777" w:rsidR="003E6831" w:rsidRDefault="003E683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CB750B2" w14:textId="77777777" w:rsidR="00AF0F68" w:rsidRDefault="00AF0F68" w:rsidP="005D4D46">
      <w:pPr>
        <w:tabs>
          <w:tab w:val="left" w:pos="1559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D2508A2" w14:textId="3EBB9105" w:rsidR="005D4D46" w:rsidRP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4AA8F8" wp14:editId="384125EF">
            <wp:simplePos x="0" y="0"/>
            <wp:positionH relativeFrom="column">
              <wp:posOffset>-47625</wp:posOffset>
            </wp:positionH>
            <wp:positionV relativeFrom="paragraph">
              <wp:posOffset>286385</wp:posOffset>
            </wp:positionV>
            <wp:extent cx="5163185" cy="3425190"/>
            <wp:effectExtent l="19050" t="19050" r="18415" b="228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ching score distribution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3425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S1.</w:t>
      </w:r>
      <w:r w:rsidRPr="005D4D46">
        <w:rPr>
          <w:rFonts w:asciiTheme="majorBidi" w:hAnsiTheme="majorBidi" w:cstheme="majorBidi"/>
          <w:sz w:val="24"/>
          <w:szCs w:val="24"/>
        </w:rPr>
        <w:t xml:space="preserve"> Propensity scores distribution (mirror diagram).  </w:t>
      </w:r>
    </w:p>
    <w:p w14:paraId="60C8D43D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13831A81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279C8162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3A1C611F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6DC6B7E7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7B8A0A5B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79BC458F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46C56C92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1EE2ECFD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02AA787C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60DCE6F7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15957B3C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22A56DB0" w14:textId="77777777" w:rsidR="005D4D46" w:rsidRDefault="005D4D46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  <w:r w:rsidRPr="005D4D46">
        <w:rPr>
          <w:rFonts w:asciiTheme="majorBidi" w:hAnsiTheme="majorBidi" w:cstheme="majorBidi"/>
          <w:sz w:val="20"/>
          <w:szCs w:val="20"/>
        </w:rPr>
        <w:t>0=</w:t>
      </w:r>
      <w:r w:rsidRPr="005D4D46">
        <w:rPr>
          <w:rFonts w:asciiTheme="majorBidi" w:eastAsia="Times New Roman" w:hAnsiTheme="majorBidi" w:cstheme="majorBidi"/>
          <w:sz w:val="20"/>
          <w:szCs w:val="20"/>
          <w:shd w:val="clear" w:color="auto" w:fill="FFFFFF"/>
        </w:rPr>
        <w:t xml:space="preserve"> Non-angiotensin-converting–enzyme inhibitors (ACEI) or angiotensin-receptor blockers (ARB) users; </w:t>
      </w:r>
      <w:r w:rsidRPr="005D4D46">
        <w:rPr>
          <w:rFonts w:asciiTheme="majorBidi" w:hAnsiTheme="majorBidi" w:cstheme="majorBidi"/>
          <w:sz w:val="20"/>
          <w:szCs w:val="20"/>
        </w:rPr>
        <w:t>1=ACEI/</w:t>
      </w:r>
      <w:r w:rsidRPr="005D4D46" w:rsidDel="008920D4">
        <w:rPr>
          <w:rFonts w:asciiTheme="majorBidi" w:hAnsiTheme="majorBidi" w:cstheme="majorBidi"/>
          <w:sz w:val="20"/>
          <w:szCs w:val="20"/>
        </w:rPr>
        <w:t xml:space="preserve"> </w:t>
      </w:r>
      <w:r w:rsidRPr="005D4D46">
        <w:rPr>
          <w:rFonts w:asciiTheme="majorBidi" w:hAnsiTheme="majorBidi" w:cstheme="majorBidi"/>
          <w:sz w:val="20"/>
          <w:szCs w:val="20"/>
        </w:rPr>
        <w:t>ARB users</w:t>
      </w:r>
    </w:p>
    <w:p w14:paraId="3F6DB7F4" w14:textId="77777777" w:rsidR="003E6831" w:rsidRPr="005D4D46" w:rsidRDefault="003E6831" w:rsidP="005D4D46">
      <w:pPr>
        <w:tabs>
          <w:tab w:val="left" w:pos="1559"/>
        </w:tabs>
        <w:jc w:val="both"/>
        <w:rPr>
          <w:rFonts w:asciiTheme="majorBidi" w:hAnsiTheme="majorBidi" w:cstheme="majorBidi"/>
          <w:sz w:val="20"/>
          <w:szCs w:val="20"/>
        </w:rPr>
      </w:pPr>
    </w:p>
    <w:p w14:paraId="6F36DC43" w14:textId="77777777" w:rsidR="003E6831" w:rsidRDefault="003E6831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6ACE144" w14:textId="23C86927" w:rsidR="00B90BFC" w:rsidRDefault="005D4D46" w:rsidP="005D4D46">
      <w:pPr>
        <w:tabs>
          <w:tab w:val="left" w:pos="1745"/>
        </w:tabs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S2.</w:t>
      </w:r>
      <w:r>
        <w:rPr>
          <w:rFonts w:asciiTheme="majorBidi" w:hAnsiTheme="majorBidi" w:cstheme="majorBidi"/>
          <w:sz w:val="24"/>
          <w:szCs w:val="24"/>
        </w:rPr>
        <w:t xml:space="preserve"> Love plot for the p</w:t>
      </w:r>
      <w:r w:rsidRPr="00A229E2">
        <w:rPr>
          <w:rFonts w:asciiTheme="majorBidi" w:hAnsiTheme="majorBidi" w:cstheme="majorBidi"/>
          <w:sz w:val="24"/>
          <w:szCs w:val="24"/>
        </w:rPr>
        <w:t>ropensity score matching model-Covariates balance</w:t>
      </w:r>
      <w:r w:rsidRPr="007F63F3">
        <w:rPr>
          <w:rFonts w:asciiTheme="majorBidi" w:hAnsiTheme="majorBidi" w:cstheme="majorBidi"/>
          <w:b/>
          <w:noProof/>
          <w:sz w:val="24"/>
          <w:szCs w:val="24"/>
        </w:rPr>
        <w:t xml:space="preserve"> </w:t>
      </w:r>
      <w:r w:rsidRPr="007F63F3">
        <w:rPr>
          <w:rFonts w:asciiTheme="majorBidi" w:hAnsiTheme="majorBidi" w:cstheme="majorBidi"/>
          <w:b/>
          <w:noProof/>
          <w:sz w:val="24"/>
          <w:szCs w:val="24"/>
        </w:rPr>
        <w:drawing>
          <wp:inline distT="0" distB="0" distL="0" distR="0" wp14:anchorId="3659149F" wp14:editId="1278E697">
            <wp:extent cx="5486400" cy="3275182"/>
            <wp:effectExtent l="19050" t="19050" r="19050" b="2095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ove plot 7.20.20.pd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51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8105D5" w14:textId="77777777" w:rsidR="00B90BFC" w:rsidRP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3D32F86A" w14:textId="77777777" w:rsidR="00B90BFC" w:rsidRP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6C7E43CC" w14:textId="77777777" w:rsidR="00B90BFC" w:rsidRP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53C8441A" w14:textId="426C9928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5B3C6221" w14:textId="368D7A95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6CA483DD" w14:textId="7E63980A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4DCCA10E" w14:textId="3E4B85CE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72590301" w14:textId="5BD52F07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1C7A0E84" w14:textId="118B91CF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326559FD" w14:textId="753A03B1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4DAC93C3" w14:textId="70AD806B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4B248E3E" w14:textId="5471C6A6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2BDEBE40" w14:textId="1B355EF7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6988E8AB" w14:textId="4452D824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65DB8A0D" w14:textId="54B68797" w:rsidR="00B90BFC" w:rsidRPr="00B90BFC" w:rsidRDefault="00B90BFC" w:rsidP="00B90BFC">
      <w:pPr>
        <w:rPr>
          <w:rFonts w:asciiTheme="majorBidi" w:hAnsiTheme="majorBidi" w:cstheme="majorBidi"/>
          <w:sz w:val="24"/>
          <w:szCs w:val="24"/>
        </w:rPr>
      </w:pPr>
      <w:r w:rsidRPr="005D4D46">
        <w:rPr>
          <w:rFonts w:asciiTheme="majorBidi" w:hAnsiTheme="majorBidi" w:cstheme="majorBidi"/>
          <w:b/>
          <w:bCs/>
          <w:sz w:val="24"/>
          <w:szCs w:val="24"/>
        </w:rPr>
        <w:t>Figure S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5D4D46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Love plot for IPSW</w:t>
      </w:r>
      <w:r w:rsidRPr="00A229E2">
        <w:rPr>
          <w:rFonts w:asciiTheme="majorBidi" w:hAnsiTheme="majorBidi" w:cstheme="majorBidi"/>
          <w:sz w:val="24"/>
          <w:szCs w:val="24"/>
        </w:rPr>
        <w:t>-Covariates balance</w:t>
      </w:r>
      <w:r>
        <w:rPr>
          <w:rFonts w:asciiTheme="majorBidi" w:hAnsiTheme="majorBidi" w:cstheme="majorBidi"/>
          <w:sz w:val="24"/>
          <w:szCs w:val="24"/>
        </w:rPr>
        <w:t xml:space="preserve"> (A </w:t>
      </w:r>
      <w:r w:rsidR="006A0632">
        <w:rPr>
          <w:rFonts w:asciiTheme="majorBidi" w:hAnsiTheme="majorBidi" w:cstheme="majorBidi"/>
          <w:sz w:val="24"/>
          <w:szCs w:val="24"/>
        </w:rPr>
        <w:t xml:space="preserve">- Diabetes, hypertension or renal disease, B-hypertension and diabetes, C- Diabetes alone, D- Hypertension alone) </w:t>
      </w:r>
    </w:p>
    <w:p w14:paraId="4F063A81" w14:textId="52433025" w:rsidR="00B90BFC" w:rsidRPr="00B90BFC" w:rsidRDefault="00B90BFC" w:rsidP="00B90BF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769AEF94" wp14:editId="5A97B017">
            <wp:extent cx="5212080" cy="4480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ve plots IPSW.pdf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5" t="5380" r="4054" b="36040"/>
                    <a:stretch/>
                  </pic:blipFill>
                  <pic:spPr bwMode="auto">
                    <a:xfrm>
                      <a:off x="0" y="0"/>
                      <a:ext cx="5212080" cy="448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6CD6A" w14:textId="3CFF48B8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28959D3A" w14:textId="0EBD8082" w:rsidR="00B90BFC" w:rsidRDefault="00B90BFC" w:rsidP="00B90BFC">
      <w:pPr>
        <w:rPr>
          <w:rFonts w:asciiTheme="majorBidi" w:hAnsiTheme="majorBidi" w:cstheme="majorBidi"/>
          <w:sz w:val="24"/>
          <w:szCs w:val="24"/>
        </w:rPr>
      </w:pPr>
    </w:p>
    <w:p w14:paraId="0482EA5B" w14:textId="19660669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p w14:paraId="73291D4F" w14:textId="0B56442E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p w14:paraId="07826285" w14:textId="300A3892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p w14:paraId="132911FB" w14:textId="29A394F7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p w14:paraId="039685DA" w14:textId="40999F90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p w14:paraId="608B26F6" w14:textId="5562886D" w:rsidR="00B90BFC" w:rsidRDefault="00B90BFC" w:rsidP="00B90BFC">
      <w:pPr>
        <w:tabs>
          <w:tab w:val="left" w:pos="2934"/>
        </w:tabs>
        <w:rPr>
          <w:rFonts w:asciiTheme="majorBidi" w:hAnsiTheme="majorBidi" w:cstheme="majorBidi"/>
          <w:sz w:val="24"/>
          <w:szCs w:val="24"/>
        </w:rPr>
      </w:pPr>
    </w:p>
    <w:sectPr w:rsidR="00B90BFC" w:rsidSect="00326DDE">
      <w:footerReference w:type="default" r:id="rId18"/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7DC79" w14:textId="77777777" w:rsidR="009C3ECA" w:rsidRDefault="009C3ECA" w:rsidP="003E6831">
      <w:pPr>
        <w:spacing w:after="0" w:line="240" w:lineRule="auto"/>
      </w:pPr>
      <w:r>
        <w:separator/>
      </w:r>
    </w:p>
  </w:endnote>
  <w:endnote w:type="continuationSeparator" w:id="0">
    <w:p w14:paraId="15DB2212" w14:textId="77777777" w:rsidR="009C3ECA" w:rsidRDefault="009C3ECA" w:rsidP="003E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412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8CDCCD" w14:textId="77777777" w:rsidR="003E6831" w:rsidRDefault="003E683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D1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D1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FFAA4B" w14:textId="77777777" w:rsidR="003E6831" w:rsidRDefault="003E6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24C4C" w14:textId="77777777" w:rsidR="009C3ECA" w:rsidRDefault="009C3ECA" w:rsidP="003E6831">
      <w:pPr>
        <w:spacing w:after="0" w:line="240" w:lineRule="auto"/>
      </w:pPr>
      <w:r>
        <w:separator/>
      </w:r>
    </w:p>
  </w:footnote>
  <w:footnote w:type="continuationSeparator" w:id="0">
    <w:p w14:paraId="2B0B598B" w14:textId="77777777" w:rsidR="009C3ECA" w:rsidRDefault="009C3ECA" w:rsidP="003E6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6"/>
    <w:rsid w:val="0016740C"/>
    <w:rsid w:val="00171D6E"/>
    <w:rsid w:val="00191D18"/>
    <w:rsid w:val="00296664"/>
    <w:rsid w:val="00326DDE"/>
    <w:rsid w:val="003E6831"/>
    <w:rsid w:val="005D4D46"/>
    <w:rsid w:val="005E3077"/>
    <w:rsid w:val="00630616"/>
    <w:rsid w:val="006A0632"/>
    <w:rsid w:val="006A3B4F"/>
    <w:rsid w:val="006D7316"/>
    <w:rsid w:val="008073F2"/>
    <w:rsid w:val="008A4C85"/>
    <w:rsid w:val="009C3ECA"/>
    <w:rsid w:val="00A245AE"/>
    <w:rsid w:val="00A43C87"/>
    <w:rsid w:val="00AF0F68"/>
    <w:rsid w:val="00B90BFC"/>
    <w:rsid w:val="00CC04E3"/>
    <w:rsid w:val="00D82660"/>
    <w:rsid w:val="00E33AFF"/>
    <w:rsid w:val="00FA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231405"/>
  <w15:chartTrackingRefBased/>
  <w15:docId w15:val="{86519BCD-3C3F-45BF-8948-A175D309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D4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E68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31"/>
    <w:rPr>
      <w:rFonts w:eastAsiaTheme="minorEastAsia"/>
    </w:rPr>
  </w:style>
  <w:style w:type="paragraph" w:customStyle="1" w:styleId="MDPI11articletype">
    <w:name w:val="MDPI_1.1_article_type"/>
    <w:basedOn w:val="Normal"/>
    <w:next w:val="MDPI12title"/>
    <w:qFormat/>
    <w:rsid w:val="00D82660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D8266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D82660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D82660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character" w:styleId="Hyperlink">
    <w:name w:val="Hyperlink"/>
    <w:uiPriority w:val="99"/>
    <w:unhideWhenUsed/>
    <w:rsid w:val="00D82660"/>
    <w:rPr>
      <w:color w:val="0563C1"/>
      <w:u w:val="single"/>
    </w:rPr>
  </w:style>
  <w:style w:type="paragraph" w:customStyle="1" w:styleId="MDPI17abstract">
    <w:name w:val="MDPI_1.7_abstract"/>
    <w:basedOn w:val="Normal"/>
    <w:next w:val="Normal"/>
    <w:qFormat/>
    <w:rsid w:val="005E3077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dag@mcst.edu.sa" TargetMode="External"/><Relationship Id="rId13" Type="http://schemas.openxmlformats.org/officeDocument/2006/relationships/hyperlink" Target="mailto:abstracts@mcst.edu.sa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hospital1920@gmail.com" TargetMode="External"/><Relationship Id="rId12" Type="http://schemas.openxmlformats.org/officeDocument/2006/relationships/hyperlink" Target="mailto:research.dir@mcst.edu.sa" TargetMode="External"/><Relationship Id="rId17" Type="http://schemas.openxmlformats.org/officeDocument/2006/relationships/image" Target="media/image3.emf"/><Relationship Id="rId2" Type="http://schemas.openxmlformats.org/officeDocument/2006/relationships/settings" Target="setting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ahad@ksmc.med.sa" TargetMode="External"/><Relationship Id="rId11" Type="http://schemas.openxmlformats.org/officeDocument/2006/relationships/hyperlink" Target="mailto:emadfaiqa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jpeg"/><Relationship Id="rId10" Type="http://schemas.openxmlformats.org/officeDocument/2006/relationships/hyperlink" Target="mailto:Yali2016@hotmail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rhana.basheer13@gmail.com" TargetMode="External"/><Relationship Id="rId14" Type="http://schemas.openxmlformats.org/officeDocument/2006/relationships/hyperlink" Target="mailto:irb@mcst.edu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Basheeruddin Asdaq</dc:creator>
  <cp:keywords/>
  <dc:description/>
  <cp:lastModifiedBy>Basheeruddin Asdaq</cp:lastModifiedBy>
  <cp:revision>4</cp:revision>
  <cp:lastPrinted>2020-11-14T19:05:00Z</cp:lastPrinted>
  <dcterms:created xsi:type="dcterms:W3CDTF">2020-11-22T17:33:00Z</dcterms:created>
  <dcterms:modified xsi:type="dcterms:W3CDTF">2020-11-29T17:55:00Z</dcterms:modified>
</cp:coreProperties>
</file>