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21B6A" w14:textId="205719B3" w:rsidR="00736F95" w:rsidRDefault="00736F95" w:rsidP="00DE567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emerging role of drought as a regulator of dissolved organic carbon in the boreal landscapes </w:t>
      </w:r>
    </w:p>
    <w:p w14:paraId="4881B475" w14:textId="77777777" w:rsidR="0077081F" w:rsidRDefault="0077081F" w:rsidP="00DE567E">
      <w:pPr>
        <w:spacing w:line="276" w:lineRule="auto"/>
        <w:rPr>
          <w:rFonts w:ascii="Arial" w:hAnsi="Arial" w:cs="Arial"/>
          <w:sz w:val="28"/>
          <w:szCs w:val="28"/>
        </w:rPr>
      </w:pPr>
    </w:p>
    <w:p w14:paraId="4022ABCB" w14:textId="64033DC8" w:rsidR="00736F95" w:rsidRPr="00BE7377" w:rsidRDefault="00736F95" w:rsidP="00BE7377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zh-CN"/>
        </w:rPr>
        <w:t>*Tejshree Tiwari</w:t>
      </w: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vertAlign w:val="superscript"/>
          <w:lang w:eastAsia="zh-CN"/>
        </w:rPr>
        <w:t>1</w:t>
      </w: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zh-CN"/>
        </w:rPr>
        <w:t>, Ryan A. Sponseller</w:t>
      </w: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vertAlign w:val="superscript"/>
          <w:lang w:eastAsia="zh-CN"/>
        </w:rPr>
        <w:t>2</w:t>
      </w: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lang w:eastAsia="zh-CN"/>
        </w:rPr>
        <w:t>, and Hjalmar Laudon</w:t>
      </w:r>
      <w:r w:rsidRPr="00BE7377">
        <w:rPr>
          <w:rFonts w:ascii="Arial" w:eastAsiaTheme="minorEastAsia" w:hAnsi="Arial" w:cs="Arial"/>
          <w:b/>
          <w:color w:val="000000" w:themeColor="text1"/>
          <w:sz w:val="20"/>
          <w:szCs w:val="20"/>
          <w:vertAlign w:val="superscript"/>
          <w:lang w:eastAsia="zh-CN"/>
        </w:rPr>
        <w:t>1</w:t>
      </w:r>
      <w:r w:rsidRPr="00BE7377">
        <w:rPr>
          <w:rFonts w:ascii="Arial" w:hAnsi="Arial" w:cs="Arial"/>
          <w:b/>
          <w:sz w:val="20"/>
          <w:szCs w:val="20"/>
        </w:rPr>
        <w:t>.</w:t>
      </w:r>
    </w:p>
    <w:p w14:paraId="6B66187D" w14:textId="77777777" w:rsidR="0077081F" w:rsidRPr="00481D9B" w:rsidRDefault="0077081F" w:rsidP="00DE567E">
      <w:pPr>
        <w:spacing w:line="276" w:lineRule="auto"/>
        <w:rPr>
          <w:rFonts w:ascii="Arial" w:hAnsi="Arial" w:cs="Arial"/>
          <w:sz w:val="20"/>
          <w:szCs w:val="20"/>
        </w:rPr>
      </w:pPr>
    </w:p>
    <w:p w14:paraId="0D254F02" w14:textId="77777777" w:rsidR="00736F95" w:rsidRPr="00481D9B" w:rsidRDefault="00736F95" w:rsidP="00DE567E">
      <w:pPr>
        <w:spacing w:line="276" w:lineRule="auto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81D9B">
        <w:rPr>
          <w:rFonts w:ascii="Arial" w:eastAsiaTheme="minorEastAsia" w:hAnsi="Arial" w:cs="Arial"/>
          <w:color w:val="000000" w:themeColor="text1"/>
          <w:sz w:val="20"/>
          <w:szCs w:val="20"/>
          <w:vertAlign w:val="superscript"/>
        </w:rPr>
        <w:t>1</w:t>
      </w:r>
      <w:r w:rsidRPr="00481D9B">
        <w:rPr>
          <w:rFonts w:ascii="Arial" w:eastAsiaTheme="minorEastAsia" w:hAnsi="Arial" w:cs="Arial"/>
          <w:color w:val="000000" w:themeColor="text1"/>
          <w:sz w:val="20"/>
          <w:szCs w:val="20"/>
        </w:rPr>
        <w:t>Department of Forest Ecology and Management, Swedish University of Agricultural Sciences, SE-901 83 Umea, Sweden</w:t>
      </w:r>
    </w:p>
    <w:p w14:paraId="6B54C568" w14:textId="77777777" w:rsidR="00736F95" w:rsidRPr="00481D9B" w:rsidRDefault="00736F95" w:rsidP="00DE567E">
      <w:pPr>
        <w:spacing w:line="276" w:lineRule="auto"/>
        <w:rPr>
          <w:rFonts w:ascii="Arial" w:eastAsiaTheme="minorEastAsia" w:hAnsi="Arial" w:cs="Arial"/>
          <w:color w:val="000000" w:themeColor="text1"/>
          <w:sz w:val="20"/>
          <w:szCs w:val="20"/>
          <w:shd w:val="clear" w:color="auto" w:fill="FFFFFF"/>
        </w:rPr>
      </w:pPr>
      <w:r w:rsidRPr="00481D9B">
        <w:rPr>
          <w:rFonts w:ascii="Arial" w:eastAsiaTheme="minorEastAsia" w:hAnsi="Arial" w:cs="Arial"/>
          <w:color w:val="000000" w:themeColor="text1"/>
          <w:sz w:val="20"/>
          <w:szCs w:val="20"/>
          <w:vertAlign w:val="superscript"/>
        </w:rPr>
        <w:t>2</w:t>
      </w:r>
      <w:r w:rsidRPr="00481D9B">
        <w:rPr>
          <w:rFonts w:ascii="Arial" w:eastAsiaTheme="minorEastAsia" w:hAnsi="Arial" w:cs="Arial"/>
          <w:color w:val="000000" w:themeColor="text1"/>
          <w:sz w:val="20"/>
          <w:szCs w:val="20"/>
          <w:shd w:val="clear" w:color="auto" w:fill="FFFFFF"/>
        </w:rPr>
        <w:t>Department of Ecology and Environmental Sciences</w:t>
      </w:r>
      <w:r w:rsidRPr="00481D9B">
        <w:rPr>
          <w:rFonts w:ascii="Arial" w:eastAsiaTheme="minorEastAsia" w:hAnsi="Arial" w:cs="Arial"/>
          <w:color w:val="000000" w:themeColor="text1"/>
          <w:sz w:val="20"/>
          <w:szCs w:val="20"/>
        </w:rPr>
        <w:t xml:space="preserve">, Umea University, </w:t>
      </w:r>
      <w:r w:rsidRPr="00481D9B">
        <w:rPr>
          <w:rFonts w:ascii="Arial" w:eastAsiaTheme="minorEastAsia" w:hAnsi="Arial" w:cs="Arial"/>
          <w:color w:val="000000" w:themeColor="text1"/>
          <w:sz w:val="20"/>
          <w:szCs w:val="20"/>
          <w:shd w:val="clear" w:color="auto" w:fill="FFFFFF"/>
        </w:rPr>
        <w:t>901 87 Umea, Sweden.</w:t>
      </w:r>
    </w:p>
    <w:p w14:paraId="4EA34858" w14:textId="77777777" w:rsidR="00DE567E" w:rsidRDefault="00DE567E" w:rsidP="009B5B8C">
      <w:pPr>
        <w:spacing w:line="480" w:lineRule="auto"/>
        <w:rPr>
          <w:rFonts w:cs="Times New Roman"/>
          <w:b/>
          <w:sz w:val="36"/>
          <w:szCs w:val="24"/>
        </w:rPr>
      </w:pPr>
    </w:p>
    <w:p w14:paraId="6E0760B4" w14:textId="7D1CA2ED" w:rsidR="009B5B8C" w:rsidRPr="006109E9" w:rsidRDefault="00736F95" w:rsidP="00BE7377">
      <w:pPr>
        <w:spacing w:line="480" w:lineRule="auto"/>
        <w:jc w:val="center"/>
        <w:rPr>
          <w:rFonts w:cs="Times New Roman"/>
          <w:b/>
          <w:sz w:val="36"/>
          <w:szCs w:val="24"/>
        </w:rPr>
      </w:pPr>
      <w:r>
        <w:rPr>
          <w:rFonts w:cs="Times New Roman"/>
          <w:b/>
          <w:sz w:val="36"/>
          <w:szCs w:val="24"/>
        </w:rPr>
        <w:t>Supplementary F</w:t>
      </w:r>
      <w:r w:rsidR="009B5B8C" w:rsidRPr="006109E9">
        <w:rPr>
          <w:rFonts w:cs="Times New Roman"/>
          <w:b/>
          <w:sz w:val="36"/>
          <w:szCs w:val="24"/>
        </w:rPr>
        <w:t>igures</w:t>
      </w:r>
    </w:p>
    <w:p w14:paraId="6383388C" w14:textId="77777777" w:rsidR="000E2FC2" w:rsidRPr="00CE6EAA" w:rsidRDefault="000E2FC2" w:rsidP="000E2FC2">
      <w:pPr>
        <w:spacing w:before="100" w:beforeAutospacing="1" w:after="100" w:afterAutospacing="1"/>
        <w:jc w:val="center"/>
        <w:rPr>
          <w:rFonts w:ascii="Myriad Pro" w:hAnsi="Myriad Pro"/>
          <w:sz w:val="22"/>
        </w:rPr>
      </w:pPr>
      <w:bookmarkStart w:id="0" w:name="_GoBack"/>
      <w:bookmarkEnd w:id="0"/>
    </w:p>
    <w:p w14:paraId="3C1D31B8" w14:textId="77777777" w:rsidR="000E2FC2" w:rsidRDefault="000E2FC2" w:rsidP="000E2FC2">
      <w:pPr>
        <w:rPr>
          <w:rFonts w:ascii="Myriad Pro" w:hAnsi="Myriad Pro"/>
          <w:b/>
        </w:rPr>
      </w:pPr>
      <w:r w:rsidRPr="00CE6EAA">
        <w:rPr>
          <w:rFonts w:ascii="Myriad Pro" w:hAnsi="Myriad Pro"/>
          <w:b/>
        </w:rPr>
        <w:t>Contents of this file</w:t>
      </w:r>
      <w:r>
        <w:rPr>
          <w:rFonts w:ascii="Myriad Pro" w:hAnsi="Myriad Pro"/>
          <w:b/>
        </w:rPr>
        <w:t xml:space="preserve"> </w:t>
      </w:r>
    </w:p>
    <w:p w14:paraId="47B78317" w14:textId="77777777" w:rsidR="000E2FC2" w:rsidRPr="00CE6EAA" w:rsidRDefault="000E2FC2" w:rsidP="000E2FC2">
      <w:pPr>
        <w:ind w:left="720"/>
        <w:rPr>
          <w:rFonts w:ascii="Myriad Pro" w:hAnsi="Myriad Pro"/>
          <w:sz w:val="22"/>
        </w:rPr>
      </w:pPr>
      <w:r w:rsidRPr="00CE6EAA">
        <w:rPr>
          <w:rFonts w:ascii="Myriad Pro" w:hAnsi="Myriad Pro"/>
          <w:sz w:val="22"/>
        </w:rPr>
        <w:t xml:space="preserve">Figures S1 </w:t>
      </w:r>
    </w:p>
    <w:p w14:paraId="662CF0AE" w14:textId="77777777" w:rsidR="000E2FC2" w:rsidRPr="00CE6EAA" w:rsidRDefault="000E2FC2" w:rsidP="000E2FC2">
      <w:pPr>
        <w:ind w:left="720"/>
        <w:rPr>
          <w:rFonts w:ascii="Myriad Pro" w:hAnsi="Myriad Pro"/>
          <w:sz w:val="22"/>
        </w:rPr>
      </w:pPr>
      <w:r w:rsidRPr="00CE6EAA">
        <w:rPr>
          <w:rFonts w:ascii="Myriad Pro" w:hAnsi="Myriad Pro"/>
          <w:sz w:val="22"/>
        </w:rPr>
        <w:t xml:space="preserve">Tables S1 </w:t>
      </w:r>
    </w:p>
    <w:p w14:paraId="651A2F8E" w14:textId="77777777" w:rsidR="000E2FC2" w:rsidRPr="00E40896" w:rsidRDefault="000E2FC2" w:rsidP="000E2FC2">
      <w:pPr>
        <w:ind w:left="720"/>
        <w:rPr>
          <w:rFonts w:ascii="Myriad Pro" w:hAnsi="Myriad Pro"/>
        </w:rPr>
      </w:pPr>
    </w:p>
    <w:p w14:paraId="389F4D74" w14:textId="77777777" w:rsidR="000E2FC2" w:rsidRPr="00CE6EAA" w:rsidRDefault="000E2FC2" w:rsidP="000E2FC2">
      <w:pPr>
        <w:spacing w:before="100" w:beforeAutospacing="1" w:after="100" w:afterAutospacing="1"/>
        <w:rPr>
          <w:rFonts w:ascii="Myriad Pro" w:hAnsi="Myriad Pro"/>
          <w:b/>
          <w:szCs w:val="24"/>
        </w:rPr>
      </w:pPr>
      <w:r w:rsidRPr="00CE6EAA">
        <w:rPr>
          <w:rFonts w:ascii="Myriad Pro" w:hAnsi="Myriad Pro"/>
          <w:b/>
          <w:bCs/>
          <w:szCs w:val="24"/>
        </w:rPr>
        <w:t>Introduction</w:t>
      </w:r>
      <w:r w:rsidRPr="00CE6EAA">
        <w:rPr>
          <w:rFonts w:ascii="Myriad Pro" w:hAnsi="Myriad Pro"/>
          <w:b/>
          <w:szCs w:val="24"/>
        </w:rPr>
        <w:t xml:space="preserve"> </w:t>
      </w:r>
    </w:p>
    <w:p w14:paraId="526B2013" w14:textId="77777777" w:rsidR="000E2FC2" w:rsidRPr="00CE6EAA" w:rsidRDefault="000E2FC2" w:rsidP="000E2FC2">
      <w:pPr>
        <w:spacing w:before="100" w:beforeAutospacing="1" w:after="100" w:afterAutospacing="1"/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 xml:space="preserve">The Figure S1 presents relationship between stream water DOC concentrations and groundwater DOC concentrations. Description of each catchment landscape type and scales are found in Table S1. </w:t>
      </w:r>
    </w:p>
    <w:p w14:paraId="72BA56EF" w14:textId="77777777" w:rsidR="000E2FC2" w:rsidRPr="00E40896" w:rsidRDefault="000E2FC2" w:rsidP="000E2FC2">
      <w:pPr>
        <w:rPr>
          <w:rFonts w:ascii="Myriad Pro" w:hAnsi="Myriad Pro"/>
        </w:rPr>
      </w:pPr>
    </w:p>
    <w:p w14:paraId="71A60D73" w14:textId="77777777" w:rsidR="000E2FC2" w:rsidRPr="00E40896" w:rsidRDefault="000E2FC2" w:rsidP="000E2FC2">
      <w:pPr>
        <w:rPr>
          <w:rFonts w:ascii="Myriad Pro" w:hAnsi="Myriad Pro"/>
          <w:b/>
        </w:rPr>
      </w:pPr>
    </w:p>
    <w:p w14:paraId="2EFFC41C" w14:textId="77777777" w:rsidR="000E2FC2" w:rsidRPr="00CE6EAA" w:rsidRDefault="000E2FC2" w:rsidP="000E2FC2">
      <w:pPr>
        <w:pStyle w:val="SMcaption"/>
        <w:rPr>
          <w:rFonts w:ascii="Myriad Pro" w:hAnsi="Myriad Pro"/>
        </w:rPr>
      </w:pPr>
    </w:p>
    <w:p w14:paraId="25134422" w14:textId="77777777" w:rsidR="000E2FC2" w:rsidRPr="00251A8D" w:rsidRDefault="000E2FC2" w:rsidP="000E2FC2">
      <w:pPr>
        <w:keepNext/>
        <w:spacing w:line="480" w:lineRule="auto"/>
        <w:rPr>
          <w:szCs w:val="24"/>
        </w:rPr>
      </w:pPr>
      <w:r w:rsidRPr="00DE567E">
        <w:rPr>
          <w:noProof/>
          <w:szCs w:val="24"/>
        </w:rPr>
        <w:lastRenderedPageBreak/>
        <w:drawing>
          <wp:inline distT="0" distB="0" distL="0" distR="0" wp14:anchorId="1023CF36" wp14:editId="48D107AF">
            <wp:extent cx="5004079" cy="3532856"/>
            <wp:effectExtent l="0" t="0" r="6350" b="0"/>
            <wp:docPr id="3" name="Picture 3" descr="C:\Users\teti0001\Documents\Data Jan 2020\Trend effects\Data for r figures\GW_S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eti0001\Documents\Data Jan 2020\Trend effects\Data for r figures\GW_S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174" cy="354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99DA5" w14:textId="77777777" w:rsidR="000E2FC2" w:rsidRPr="00251A8D" w:rsidRDefault="000E2FC2" w:rsidP="000E2FC2">
      <w:pPr>
        <w:spacing w:line="480" w:lineRule="auto"/>
        <w:rPr>
          <w:b/>
          <w:szCs w:val="24"/>
        </w:rPr>
      </w:pPr>
      <w:r w:rsidRPr="00251A8D">
        <w:rPr>
          <w:szCs w:val="24"/>
        </w:rPr>
        <w:t>Fig</w:t>
      </w:r>
      <w:r>
        <w:rPr>
          <w:szCs w:val="24"/>
        </w:rPr>
        <w:t>ure</w:t>
      </w:r>
      <w:r w:rsidRPr="00251A8D">
        <w:rPr>
          <w:szCs w:val="24"/>
        </w:rPr>
        <w:t xml:space="preserve"> S </w:t>
      </w:r>
      <w:r w:rsidRPr="00251A8D">
        <w:rPr>
          <w:szCs w:val="24"/>
        </w:rPr>
        <w:fldChar w:fldCharType="begin"/>
      </w:r>
      <w:r w:rsidRPr="00251A8D">
        <w:rPr>
          <w:szCs w:val="24"/>
        </w:rPr>
        <w:instrText xml:space="preserve"> SEQ S \* ARABIC </w:instrText>
      </w:r>
      <w:r w:rsidRPr="00251A8D">
        <w:rPr>
          <w:szCs w:val="24"/>
        </w:rPr>
        <w:fldChar w:fldCharType="separate"/>
      </w:r>
      <w:r>
        <w:rPr>
          <w:noProof/>
          <w:szCs w:val="24"/>
        </w:rPr>
        <w:t>1</w:t>
      </w:r>
      <w:r w:rsidRPr="00251A8D">
        <w:rPr>
          <w:szCs w:val="24"/>
        </w:rPr>
        <w:fldChar w:fldCharType="end"/>
      </w:r>
      <w:r w:rsidRPr="00251A8D">
        <w:rPr>
          <w:szCs w:val="24"/>
        </w:rPr>
        <w:t xml:space="preserve">. Predicting the DOC concentrations in the streams </w:t>
      </w:r>
      <w:r>
        <w:rPr>
          <w:szCs w:val="24"/>
        </w:rPr>
        <w:t>in the forest (C2) and the mire</w:t>
      </w:r>
      <w:r w:rsidRPr="00251A8D">
        <w:rPr>
          <w:szCs w:val="24"/>
        </w:rPr>
        <w:t xml:space="preserve"> (C4) using riparian zone groundwater (GW) DOC concentrations (</w:t>
      </w:r>
      <w:r>
        <w:rPr>
          <w:szCs w:val="24"/>
        </w:rPr>
        <w:t>a</w:t>
      </w:r>
      <w:r w:rsidRPr="00251A8D">
        <w:rPr>
          <w:szCs w:val="24"/>
        </w:rPr>
        <w:t>) and mire groundwater DOC concentrations (</w:t>
      </w:r>
      <w:r>
        <w:rPr>
          <w:szCs w:val="24"/>
        </w:rPr>
        <w:t>b</w:t>
      </w:r>
      <w:r w:rsidRPr="00251A8D">
        <w:rPr>
          <w:szCs w:val="24"/>
        </w:rPr>
        <w:t>).</w:t>
      </w:r>
    </w:p>
    <w:p w14:paraId="2A91C638" w14:textId="77777777" w:rsidR="000E2FC2" w:rsidRDefault="000E2FC2" w:rsidP="000E2FC2">
      <w:pPr>
        <w:pStyle w:val="SMcaption"/>
        <w:rPr>
          <w:rFonts w:ascii="Myriad Pro" w:hAnsi="Myriad Pro"/>
          <w:sz w:val="22"/>
          <w:szCs w:val="22"/>
        </w:rPr>
      </w:pPr>
    </w:p>
    <w:p w14:paraId="356E0ED0" w14:textId="77777777" w:rsidR="000E2FC2" w:rsidRDefault="000E2FC2" w:rsidP="000E2FC2">
      <w:pPr>
        <w:rPr>
          <w:bCs/>
          <w:kern w:val="32"/>
          <w:szCs w:val="24"/>
        </w:rPr>
      </w:pPr>
      <w:r>
        <w:rPr>
          <w:b/>
        </w:rPr>
        <w:br w:type="page"/>
      </w:r>
    </w:p>
    <w:p w14:paraId="5A3B0B71" w14:textId="77777777" w:rsidR="000E2FC2" w:rsidRPr="00251A8D" w:rsidRDefault="000E2FC2" w:rsidP="000E2FC2">
      <w:pPr>
        <w:pStyle w:val="SMHeading"/>
        <w:spacing w:before="0" w:after="160" w:line="480" w:lineRule="auto"/>
        <w:rPr>
          <w:b w:val="0"/>
        </w:rPr>
      </w:pPr>
      <w:r w:rsidRPr="00251A8D">
        <w:rPr>
          <w:b w:val="0"/>
        </w:rPr>
        <w:lastRenderedPageBreak/>
        <w:t>Table S1. Areal coverage and landscape description of the 13 catchments used in this study.</w:t>
      </w:r>
    </w:p>
    <w:tbl>
      <w:tblPr>
        <w:tblW w:w="5316" w:type="dxa"/>
        <w:tblLook w:val="04A0" w:firstRow="1" w:lastRow="0" w:firstColumn="1" w:lastColumn="0" w:noHBand="0" w:noVBand="1"/>
      </w:tblPr>
      <w:tblGrid>
        <w:gridCol w:w="1350"/>
        <w:gridCol w:w="1328"/>
        <w:gridCol w:w="756"/>
        <w:gridCol w:w="960"/>
        <w:gridCol w:w="1154"/>
      </w:tblGrid>
      <w:tr w:rsidR="000E2FC2" w:rsidRPr="00251A8D" w14:paraId="19402905" w14:textId="77777777" w:rsidTr="00991443">
        <w:trPr>
          <w:trHeight w:val="300"/>
        </w:trPr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2CBA3" w14:textId="77777777" w:rsidR="000E2FC2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14:paraId="05BB010A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Catchments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23816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Area (km</w:t>
            </w:r>
            <w:r w:rsidRPr="00251A8D">
              <w:rPr>
                <w:color w:val="000000"/>
                <w:szCs w:val="24"/>
                <w:vertAlign w:val="superscript"/>
              </w:rPr>
              <w:t>2</w:t>
            </w:r>
            <w:r w:rsidRPr="00251A8D">
              <w:rPr>
                <w:color w:val="000000"/>
                <w:szCs w:val="24"/>
              </w:rPr>
              <w:t>)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8ED31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Peat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04C70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Forest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214425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310DA0B7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55A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6B72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0.48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C49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95F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97.95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71F04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1F31E94B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522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EC3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0.12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28B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E488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99.92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1F14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0B71AD56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9412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6EBA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0.18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968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51.06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CBC2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55.88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8779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4A687D32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73E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BBC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0.65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825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47.76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33C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53.98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82FA4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27793C0E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01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969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1.1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DCF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28.66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0630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71.36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62F1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73FBEBAF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AF7D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366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0.47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387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19.41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947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81.95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53B2C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551AFA7C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D9D93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3C4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2.88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C4F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15.16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265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84.36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420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54C1976C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5A5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6A2A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3.36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B8E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28.84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5CF9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73.84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AA67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7D9E9D2E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E2CD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A0C5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5.44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9EA7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19.16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3487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82.57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DD9F0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71495CB3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FB7A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444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7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F9C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65D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88.19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F686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2FC9CCE0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021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AA1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14.1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F97C1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6.64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BC13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90.13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5137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3AEAB401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569D7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4D5A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20.13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2D11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14.50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C7EF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81.57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1DEBB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2FC2" w:rsidRPr="00251A8D" w14:paraId="664C17E1" w14:textId="77777777" w:rsidTr="00991443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85ECE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9F9E0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67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3D593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9.40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54204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51A8D">
              <w:rPr>
                <w:color w:val="000000"/>
                <w:szCs w:val="24"/>
              </w:rPr>
              <w:t>87.20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C27695" w14:textId="77777777" w:rsidR="000E2FC2" w:rsidRPr="00251A8D" w:rsidRDefault="000E2FC2" w:rsidP="000E2FC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14:paraId="103D0635" w14:textId="77777777" w:rsidR="000E2FC2" w:rsidRDefault="000E2FC2" w:rsidP="000E2FC2">
      <w:pPr>
        <w:spacing w:line="480" w:lineRule="auto"/>
        <w:rPr>
          <w:szCs w:val="24"/>
        </w:rPr>
      </w:pPr>
    </w:p>
    <w:p w14:paraId="048DB45D" w14:textId="77777777" w:rsidR="008C464E" w:rsidRDefault="008C464E"/>
    <w:sectPr w:rsidR="008C464E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32B7F" w14:textId="77777777" w:rsidR="003D555F" w:rsidRDefault="003D555F">
      <w:pPr>
        <w:spacing w:after="0" w:line="240" w:lineRule="auto"/>
      </w:pPr>
      <w:r>
        <w:separator/>
      </w:r>
    </w:p>
  </w:endnote>
  <w:endnote w:type="continuationSeparator" w:id="0">
    <w:p w14:paraId="753D8952" w14:textId="77777777" w:rsidR="003D555F" w:rsidRDefault="003D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52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BB910" w14:textId="6E4C56F9" w:rsidR="004F717B" w:rsidRDefault="00736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3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D74FA3" w14:textId="77777777" w:rsidR="004F717B" w:rsidRDefault="003D5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9199" w14:textId="77777777" w:rsidR="003D555F" w:rsidRDefault="003D555F">
      <w:pPr>
        <w:spacing w:after="0" w:line="240" w:lineRule="auto"/>
      </w:pPr>
      <w:r>
        <w:separator/>
      </w:r>
    </w:p>
  </w:footnote>
  <w:footnote w:type="continuationSeparator" w:id="0">
    <w:p w14:paraId="6288600C" w14:textId="77777777" w:rsidR="003D555F" w:rsidRDefault="003D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B80E0" w14:textId="77777777" w:rsidR="004F717B" w:rsidRDefault="003D555F">
    <w:pPr>
      <w:pStyle w:val="Header"/>
      <w:jc w:val="center"/>
    </w:pPr>
  </w:p>
  <w:p w14:paraId="37ABCF1E" w14:textId="77777777" w:rsidR="004F717B" w:rsidRDefault="003D5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NDczsTCysDQxMjRR0lEKTi0uzszPAykwqQUAU3ubcCwAAAA="/>
  </w:docVars>
  <w:rsids>
    <w:rsidRoot w:val="009B5B8C"/>
    <w:rsid w:val="00027FB3"/>
    <w:rsid w:val="000E2B4D"/>
    <w:rsid w:val="000E2FC2"/>
    <w:rsid w:val="003400F8"/>
    <w:rsid w:val="003D555F"/>
    <w:rsid w:val="00427B44"/>
    <w:rsid w:val="00657FE7"/>
    <w:rsid w:val="00717E8D"/>
    <w:rsid w:val="00736F95"/>
    <w:rsid w:val="00746B84"/>
    <w:rsid w:val="0077081F"/>
    <w:rsid w:val="0077223F"/>
    <w:rsid w:val="008C464E"/>
    <w:rsid w:val="0096378E"/>
    <w:rsid w:val="009A0D87"/>
    <w:rsid w:val="009B5B8C"/>
    <w:rsid w:val="00B24CB6"/>
    <w:rsid w:val="00BE7377"/>
    <w:rsid w:val="00DE567E"/>
    <w:rsid w:val="00E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8EEA"/>
  <w15:chartTrackingRefBased/>
  <w15:docId w15:val="{0ED4FC13-1126-42FF-8BE2-B4879395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B8C"/>
    <w:pPr>
      <w:spacing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23F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23F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9B5B8C"/>
    <w:pPr>
      <w:ind w:left="720"/>
      <w:contextualSpacing/>
    </w:pPr>
  </w:style>
  <w:style w:type="paragraph" w:customStyle="1" w:styleId="SMHeading">
    <w:name w:val="SM Heading"/>
    <w:basedOn w:val="Heading1"/>
    <w:qFormat/>
    <w:rsid w:val="009B5B8C"/>
    <w:pPr>
      <w:keepLines w:val="0"/>
      <w:spacing w:after="60" w:line="240" w:lineRule="auto"/>
    </w:pPr>
    <w:rPr>
      <w:rFonts w:eastAsia="Times New Roman" w:cs="Times New Roman"/>
      <w:b/>
      <w:bCs/>
      <w:color w:val="auto"/>
      <w:kern w:val="3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5B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B8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5B8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8C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3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7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78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78E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8E"/>
    <w:rPr>
      <w:rFonts w:ascii="Segoe UI" w:hAnsi="Segoe UI" w:cs="Segoe UI"/>
      <w:sz w:val="18"/>
      <w:szCs w:val="18"/>
    </w:rPr>
  </w:style>
  <w:style w:type="paragraph" w:customStyle="1" w:styleId="SMText">
    <w:name w:val="SM Text"/>
    <w:basedOn w:val="Normal"/>
    <w:qFormat/>
    <w:rsid w:val="000E2FC2"/>
    <w:pPr>
      <w:spacing w:after="0" w:line="240" w:lineRule="auto"/>
      <w:ind w:firstLine="480"/>
    </w:pPr>
    <w:rPr>
      <w:rFonts w:eastAsia="Times New Roman" w:cs="Times New Roman"/>
      <w:szCs w:val="20"/>
    </w:rPr>
  </w:style>
  <w:style w:type="paragraph" w:customStyle="1" w:styleId="SMcaption">
    <w:name w:val="SM caption"/>
    <w:basedOn w:val="SMText"/>
    <w:qFormat/>
    <w:rsid w:val="000E2FC2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SLU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Tejshree Tiwari</dc:creator>
  <cp:keywords/>
  <dc:description/>
  <cp:lastModifiedBy>Tejshree Tiwari</cp:lastModifiedBy>
  <cp:revision>8</cp:revision>
  <dcterms:created xsi:type="dcterms:W3CDTF">2021-11-10T17:21:00Z</dcterms:created>
  <dcterms:modified xsi:type="dcterms:W3CDTF">2021-12-03T11:50:00Z</dcterms:modified>
</cp:coreProperties>
</file>