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99C1E">
      <w:pPr>
        <w:pStyle w:val="31"/>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rPr>
        <w:t>Supplementary Materials</w:t>
      </w:r>
    </w:p>
    <w:p w14:paraId="6B9189D3">
      <w:pPr>
        <w:rPr>
          <w:rFonts w:hint="default"/>
        </w:rPr>
      </w:pPr>
    </w:p>
    <w:p w14:paraId="74ED724B">
      <w:pPr>
        <w:keepNext/>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Table S1. Spearman correlation matrix of the main study variables.</w:t>
      </w:r>
    </w:p>
    <w:tbl>
      <w:tblPr>
        <w:tblStyle w:val="32"/>
        <w:tblW w:w="4998" w:type="pct"/>
        <w:tblInd w:w="0" w:type="dxa"/>
        <w:shd w:val="clear" w:color="auto" w:fill="auto"/>
        <w:tblLayout w:type="autofit"/>
        <w:tblCellMar>
          <w:top w:w="0" w:type="dxa"/>
          <w:left w:w="108" w:type="dxa"/>
          <w:bottom w:w="0" w:type="dxa"/>
          <w:right w:w="108" w:type="dxa"/>
        </w:tblCellMar>
      </w:tblPr>
      <w:tblGrid>
        <w:gridCol w:w="1404"/>
        <w:gridCol w:w="1159"/>
        <w:gridCol w:w="1160"/>
        <w:gridCol w:w="1160"/>
        <w:gridCol w:w="1160"/>
        <w:gridCol w:w="1160"/>
        <w:gridCol w:w="1160"/>
        <w:gridCol w:w="1133"/>
      </w:tblGrid>
      <w:tr w14:paraId="4B836D3C">
        <w:tblPrEx>
          <w:shd w:val="clear" w:color="auto" w:fill="auto"/>
          <w:tblCellMar>
            <w:top w:w="0" w:type="dxa"/>
            <w:left w:w="108" w:type="dxa"/>
            <w:bottom w:w="0" w:type="dxa"/>
            <w:right w:w="108" w:type="dxa"/>
          </w:tblCellMar>
        </w:tblPrEx>
        <w:trPr>
          <w:cantSplit/>
          <w:trHeight w:val="283" w:hRule="atLeast"/>
          <w:tblHeader/>
        </w:trPr>
        <w:tc>
          <w:tcPr>
            <w:tcW w:w="739" w:type="pct"/>
            <w:tcBorders>
              <w:top w:val="single" w:color="000000" w:sz="12" w:space="0"/>
              <w:left w:val="nil"/>
              <w:bottom w:val="single" w:color="000000" w:sz="4" w:space="0"/>
              <w:right w:val="nil"/>
              <w:tl2br w:val="nil"/>
            </w:tcBorders>
            <w:shd w:val="clear" w:color="auto" w:fill="auto"/>
            <w:tcMar>
              <w:top w:w="65" w:type="dxa"/>
              <w:left w:w="70" w:type="dxa"/>
              <w:bottom w:w="65" w:type="dxa"/>
              <w:right w:w="70" w:type="dxa"/>
            </w:tcMar>
            <w:vAlign w:val="center"/>
          </w:tcPr>
          <w:p w14:paraId="74575A04">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Variable</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1C8C645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MNA-SF</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501B898">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SARC-F</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2DBF6C6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FRAIL</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403D5F2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aCCI</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2FDF57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Age</w:t>
            </w:r>
          </w:p>
        </w:tc>
        <w:tc>
          <w:tcPr>
            <w:tcW w:w="6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2D667107">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BMI</w:t>
            </w:r>
          </w:p>
        </w:tc>
        <w:tc>
          <w:tcPr>
            <w:tcW w:w="596"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233E38D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Hb</w:t>
            </w:r>
          </w:p>
        </w:tc>
      </w:tr>
      <w:tr w14:paraId="00F9D258">
        <w:tblPrEx>
          <w:tblCellMar>
            <w:top w:w="0" w:type="dxa"/>
            <w:left w:w="108" w:type="dxa"/>
            <w:bottom w:w="0" w:type="dxa"/>
            <w:right w:w="108" w:type="dxa"/>
          </w:tblCellMar>
        </w:tblPrEx>
        <w:trPr>
          <w:cantSplit/>
          <w:trHeight w:val="283" w:hRule="atLeast"/>
        </w:trPr>
        <w:tc>
          <w:tcPr>
            <w:tcW w:w="739"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6CBF8AE4">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MNA-SF</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4EBE87E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34EE3B4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-0.592</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0AE54FB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-0.470</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5DABBD4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-0.250</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4B74498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-0.294</w:t>
            </w:r>
          </w:p>
        </w:tc>
        <w:tc>
          <w:tcPr>
            <w:tcW w:w="6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2C11129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0.475</w:t>
            </w:r>
          </w:p>
        </w:tc>
        <w:tc>
          <w:tcPr>
            <w:tcW w:w="596"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59C91D9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0.120</w:t>
            </w:r>
          </w:p>
        </w:tc>
      </w:tr>
      <w:tr w14:paraId="16166A74">
        <w:tblPrEx>
          <w:tblCellMar>
            <w:top w:w="0" w:type="dxa"/>
            <w:left w:w="108" w:type="dxa"/>
            <w:bottom w:w="0" w:type="dxa"/>
            <w:right w:w="108" w:type="dxa"/>
          </w:tblCellMar>
        </w:tblPrEx>
        <w:trPr>
          <w:cantSplit/>
          <w:trHeight w:val="283" w:hRule="atLeast"/>
        </w:trPr>
        <w:tc>
          <w:tcPr>
            <w:tcW w:w="739" w:type="pct"/>
            <w:tcBorders>
              <w:top w:val="nil"/>
              <w:left w:val="nil"/>
              <w:bottom w:val="nil"/>
              <w:right w:val="nil"/>
            </w:tcBorders>
            <w:shd w:val="clear" w:color="auto" w:fill="auto"/>
            <w:tcMar>
              <w:top w:w="65" w:type="dxa"/>
              <w:left w:w="70" w:type="dxa"/>
              <w:bottom w:w="65" w:type="dxa"/>
              <w:right w:w="70" w:type="dxa"/>
            </w:tcMar>
            <w:vAlign w:val="center"/>
          </w:tcPr>
          <w:p w14:paraId="50537D84">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SARC-F</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B20438E">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-0.592</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4EE9D2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CD9A4B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0.589</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75136AC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A73BD2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0.482</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1204114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-0.179</w:t>
            </w:r>
          </w:p>
        </w:tc>
        <w:tc>
          <w:tcPr>
            <w:tcW w:w="596" w:type="pct"/>
            <w:tcBorders>
              <w:top w:val="nil"/>
              <w:left w:val="nil"/>
              <w:bottom w:val="nil"/>
              <w:right w:val="nil"/>
            </w:tcBorders>
            <w:shd w:val="clear" w:color="auto" w:fill="auto"/>
            <w:tcMar>
              <w:top w:w="65" w:type="dxa"/>
              <w:left w:w="70" w:type="dxa"/>
              <w:bottom w:w="65" w:type="dxa"/>
              <w:right w:w="70" w:type="dxa"/>
            </w:tcMar>
            <w:vAlign w:val="center"/>
          </w:tcPr>
          <w:p w14:paraId="3FEEC97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-0.074</w:t>
            </w:r>
          </w:p>
        </w:tc>
      </w:tr>
      <w:tr w14:paraId="56EFB775">
        <w:tblPrEx>
          <w:tblCellMar>
            <w:top w:w="0" w:type="dxa"/>
            <w:left w:w="108" w:type="dxa"/>
            <w:bottom w:w="0" w:type="dxa"/>
            <w:right w:w="108" w:type="dxa"/>
          </w:tblCellMar>
        </w:tblPrEx>
        <w:trPr>
          <w:cantSplit/>
          <w:trHeight w:val="283" w:hRule="atLeast"/>
        </w:trPr>
        <w:tc>
          <w:tcPr>
            <w:tcW w:w="739" w:type="pct"/>
            <w:tcBorders>
              <w:top w:val="nil"/>
              <w:left w:val="nil"/>
              <w:bottom w:val="nil"/>
              <w:right w:val="nil"/>
            </w:tcBorders>
            <w:shd w:val="clear" w:color="auto" w:fill="auto"/>
            <w:tcMar>
              <w:top w:w="65" w:type="dxa"/>
              <w:left w:w="70" w:type="dxa"/>
              <w:bottom w:w="65" w:type="dxa"/>
              <w:right w:w="70" w:type="dxa"/>
            </w:tcMar>
            <w:vAlign w:val="center"/>
          </w:tcPr>
          <w:p w14:paraId="59964398">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FRAIL</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6F062F2E">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-0.470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1E66D35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0.589</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9F75542">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3019F1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0.485</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1FBE1A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0.462</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4C3CA1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-0.017</w:t>
            </w:r>
          </w:p>
        </w:tc>
        <w:tc>
          <w:tcPr>
            <w:tcW w:w="596" w:type="pct"/>
            <w:tcBorders>
              <w:top w:val="nil"/>
              <w:left w:val="nil"/>
              <w:bottom w:val="nil"/>
              <w:right w:val="nil"/>
            </w:tcBorders>
            <w:shd w:val="clear" w:color="auto" w:fill="auto"/>
            <w:tcMar>
              <w:top w:w="65" w:type="dxa"/>
              <w:left w:w="70" w:type="dxa"/>
              <w:bottom w:w="65" w:type="dxa"/>
              <w:right w:w="70" w:type="dxa"/>
            </w:tcMar>
            <w:vAlign w:val="center"/>
          </w:tcPr>
          <w:p w14:paraId="1357167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-0.215</w:t>
            </w:r>
          </w:p>
        </w:tc>
      </w:tr>
      <w:tr w14:paraId="6691BC44">
        <w:tblPrEx>
          <w:tblCellMar>
            <w:top w:w="0" w:type="dxa"/>
            <w:left w:w="108" w:type="dxa"/>
            <w:bottom w:w="0" w:type="dxa"/>
            <w:right w:w="108" w:type="dxa"/>
          </w:tblCellMar>
        </w:tblPrEx>
        <w:trPr>
          <w:cantSplit/>
          <w:trHeight w:val="283" w:hRule="atLeast"/>
        </w:trPr>
        <w:tc>
          <w:tcPr>
            <w:tcW w:w="739" w:type="pct"/>
            <w:tcBorders>
              <w:top w:val="nil"/>
              <w:left w:val="nil"/>
              <w:bottom w:val="nil"/>
              <w:right w:val="nil"/>
            </w:tcBorders>
            <w:shd w:val="clear" w:color="auto" w:fill="auto"/>
            <w:tcMar>
              <w:top w:w="65" w:type="dxa"/>
              <w:left w:w="70" w:type="dxa"/>
              <w:bottom w:w="65" w:type="dxa"/>
              <w:right w:w="70" w:type="dxa"/>
            </w:tcMar>
            <w:vAlign w:val="center"/>
          </w:tcPr>
          <w:p w14:paraId="3E5BA3F8">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aCCI</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6619933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-0.250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369109D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0.500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FEEF61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0.485</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6485E3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79DEC49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0.844</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4EBA6738">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-0.039</w:t>
            </w:r>
          </w:p>
        </w:tc>
        <w:tc>
          <w:tcPr>
            <w:tcW w:w="596" w:type="pct"/>
            <w:tcBorders>
              <w:top w:val="nil"/>
              <w:left w:val="nil"/>
              <w:bottom w:val="nil"/>
              <w:right w:val="nil"/>
            </w:tcBorders>
            <w:shd w:val="clear" w:color="auto" w:fill="auto"/>
            <w:tcMar>
              <w:top w:w="65" w:type="dxa"/>
              <w:left w:w="70" w:type="dxa"/>
              <w:bottom w:w="65" w:type="dxa"/>
              <w:right w:w="70" w:type="dxa"/>
            </w:tcMar>
            <w:vAlign w:val="center"/>
          </w:tcPr>
          <w:p w14:paraId="0FCEDA4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-0.153</w:t>
            </w:r>
          </w:p>
        </w:tc>
      </w:tr>
      <w:tr w14:paraId="65D94ADE">
        <w:tblPrEx>
          <w:tblCellMar>
            <w:top w:w="0" w:type="dxa"/>
            <w:left w:w="108" w:type="dxa"/>
            <w:bottom w:w="0" w:type="dxa"/>
            <w:right w:w="108" w:type="dxa"/>
          </w:tblCellMar>
        </w:tblPrEx>
        <w:trPr>
          <w:cantSplit/>
          <w:trHeight w:val="283" w:hRule="atLeast"/>
        </w:trPr>
        <w:tc>
          <w:tcPr>
            <w:tcW w:w="739" w:type="pct"/>
            <w:tcBorders>
              <w:top w:val="nil"/>
              <w:left w:val="nil"/>
              <w:bottom w:val="nil"/>
              <w:right w:val="nil"/>
            </w:tcBorders>
            <w:shd w:val="clear" w:color="auto" w:fill="auto"/>
            <w:tcMar>
              <w:top w:w="65" w:type="dxa"/>
              <w:left w:w="70" w:type="dxa"/>
              <w:bottom w:w="65" w:type="dxa"/>
              <w:right w:w="70" w:type="dxa"/>
            </w:tcMar>
            <w:vAlign w:val="center"/>
          </w:tcPr>
          <w:p w14:paraId="7434FCB5">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Age</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6DDD354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-0.294</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1B24589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0.482</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BF33E6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0.462</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0EDA15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0.844</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27A70C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784D5C2">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-0.143</w:t>
            </w:r>
          </w:p>
        </w:tc>
        <w:tc>
          <w:tcPr>
            <w:tcW w:w="596" w:type="pct"/>
            <w:tcBorders>
              <w:top w:val="nil"/>
              <w:left w:val="nil"/>
              <w:bottom w:val="nil"/>
              <w:right w:val="nil"/>
            </w:tcBorders>
            <w:shd w:val="clear" w:color="auto" w:fill="auto"/>
            <w:tcMar>
              <w:top w:w="65" w:type="dxa"/>
              <w:left w:w="70" w:type="dxa"/>
              <w:bottom w:w="65" w:type="dxa"/>
              <w:right w:w="70" w:type="dxa"/>
            </w:tcMar>
            <w:vAlign w:val="center"/>
          </w:tcPr>
          <w:p w14:paraId="74B7004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-0.125</w:t>
            </w:r>
          </w:p>
        </w:tc>
      </w:tr>
      <w:tr w14:paraId="72FCE1D5">
        <w:tblPrEx>
          <w:tblCellMar>
            <w:top w:w="0" w:type="dxa"/>
            <w:left w:w="108" w:type="dxa"/>
            <w:bottom w:w="0" w:type="dxa"/>
            <w:right w:w="108" w:type="dxa"/>
          </w:tblCellMar>
        </w:tblPrEx>
        <w:trPr>
          <w:cantSplit/>
          <w:trHeight w:val="283" w:hRule="atLeast"/>
        </w:trPr>
        <w:tc>
          <w:tcPr>
            <w:tcW w:w="739" w:type="pct"/>
            <w:tcBorders>
              <w:top w:val="nil"/>
              <w:left w:val="nil"/>
              <w:bottom w:val="nil"/>
              <w:right w:val="nil"/>
            </w:tcBorders>
            <w:shd w:val="clear" w:color="auto" w:fill="auto"/>
            <w:tcMar>
              <w:top w:w="65" w:type="dxa"/>
              <w:left w:w="70" w:type="dxa"/>
              <w:bottom w:w="65" w:type="dxa"/>
              <w:right w:w="70" w:type="dxa"/>
            </w:tcMar>
            <w:vAlign w:val="center"/>
          </w:tcPr>
          <w:p w14:paraId="18E69008">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BMI</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EB4EA8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0.475</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B47DDE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-0.179</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54883F7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-0.017</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62692AC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-0.039</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00A7A73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-0.143</w:t>
            </w:r>
          </w:p>
        </w:tc>
        <w:tc>
          <w:tcPr>
            <w:tcW w:w="610" w:type="pct"/>
            <w:tcBorders>
              <w:top w:val="nil"/>
              <w:left w:val="nil"/>
              <w:bottom w:val="nil"/>
              <w:right w:val="nil"/>
            </w:tcBorders>
            <w:shd w:val="clear" w:color="auto" w:fill="auto"/>
            <w:tcMar>
              <w:top w:w="65" w:type="dxa"/>
              <w:left w:w="70" w:type="dxa"/>
              <w:bottom w:w="65" w:type="dxa"/>
              <w:right w:w="70" w:type="dxa"/>
            </w:tcMar>
            <w:vAlign w:val="center"/>
          </w:tcPr>
          <w:p w14:paraId="2243250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c>
          <w:tcPr>
            <w:tcW w:w="596" w:type="pct"/>
            <w:tcBorders>
              <w:top w:val="nil"/>
              <w:left w:val="nil"/>
              <w:bottom w:val="nil"/>
              <w:right w:val="nil"/>
            </w:tcBorders>
            <w:shd w:val="clear" w:color="auto" w:fill="auto"/>
            <w:tcMar>
              <w:top w:w="65" w:type="dxa"/>
              <w:left w:w="70" w:type="dxa"/>
              <w:bottom w:w="65" w:type="dxa"/>
              <w:right w:w="70" w:type="dxa"/>
            </w:tcMar>
            <w:vAlign w:val="center"/>
          </w:tcPr>
          <w:p w14:paraId="5B5614B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0.104</w:t>
            </w:r>
          </w:p>
        </w:tc>
      </w:tr>
      <w:tr w14:paraId="3D400B66">
        <w:tblPrEx>
          <w:tblCellMar>
            <w:top w:w="0" w:type="dxa"/>
            <w:left w:w="108" w:type="dxa"/>
            <w:bottom w:w="0" w:type="dxa"/>
            <w:right w:w="108" w:type="dxa"/>
          </w:tblCellMar>
        </w:tblPrEx>
        <w:trPr>
          <w:cantSplit/>
          <w:trHeight w:val="283" w:hRule="atLeast"/>
        </w:trPr>
        <w:tc>
          <w:tcPr>
            <w:tcW w:w="739"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0AD4952D">
            <w:pPr>
              <w:keepNext/>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Hb</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32EE857">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0.120</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0010264A">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-0.074</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7D2C3A1B">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-0.215</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E049446">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-0.153</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709F2583">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-0.125</w:t>
            </w:r>
          </w:p>
        </w:tc>
        <w:tc>
          <w:tcPr>
            <w:tcW w:w="6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73780B3F">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0.104</w:t>
            </w:r>
          </w:p>
        </w:tc>
        <w:tc>
          <w:tcPr>
            <w:tcW w:w="596"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4D715F44">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1.000</w:t>
            </w:r>
          </w:p>
        </w:tc>
      </w:tr>
    </w:tbl>
    <w:p w14:paraId="63DD21AE">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t>N = 321. All scales were analyzed as continuous total scores. aCCI, age-adjusted Charlson Comorbidity Index; BMI, body mass index; Hb, hemoglobin; MNA-SF, Mini Nutritional Assessment–Short Form; SARC-F, sarcopenia screening questionnaire; FRAIL, frailty scale.</w:t>
      </w:r>
    </w:p>
    <w:p w14:paraId="29E4ADE7">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p>
    <w:p w14:paraId="6B7DB73C">
      <w:pPr>
        <w:rPr>
          <w:rFonts w:hint="default" w:ascii="Times New Roman" w:hAnsi="Times New Roman" w:cs="Times New Roman"/>
          <w:b/>
          <w:sz w:val="24"/>
          <w:szCs w:val="24"/>
        </w:rPr>
      </w:pPr>
      <w:r>
        <w:rPr>
          <w:rFonts w:hint="default" w:ascii="Times New Roman" w:hAnsi="Times New Roman" w:cs="Times New Roman"/>
          <w:b/>
          <w:sz w:val="24"/>
          <w:szCs w:val="24"/>
        </w:rPr>
        <w:br w:type="page"/>
      </w:r>
    </w:p>
    <w:p w14:paraId="06381E39">
      <w:pPr>
        <w:keepNext/>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Table S2. Mediation estimates under different covariate adjustment models.</w:t>
      </w:r>
    </w:p>
    <w:tbl>
      <w:tblPr>
        <w:tblStyle w:val="32"/>
        <w:tblW w:w="4997" w:type="pct"/>
        <w:tblInd w:w="0" w:type="dxa"/>
        <w:shd w:val="clear" w:color="auto" w:fill="auto"/>
        <w:tblLayout w:type="autofit"/>
        <w:tblCellMar>
          <w:top w:w="0" w:type="dxa"/>
          <w:left w:w="108" w:type="dxa"/>
          <w:bottom w:w="0" w:type="dxa"/>
          <w:right w:w="108" w:type="dxa"/>
        </w:tblCellMar>
      </w:tblPr>
      <w:tblGrid>
        <w:gridCol w:w="2597"/>
        <w:gridCol w:w="842"/>
        <w:gridCol w:w="842"/>
        <w:gridCol w:w="908"/>
        <w:gridCol w:w="908"/>
        <w:gridCol w:w="908"/>
        <w:gridCol w:w="2489"/>
      </w:tblGrid>
      <w:tr w14:paraId="74F70DCC">
        <w:tblPrEx>
          <w:shd w:val="clear" w:color="auto" w:fill="auto"/>
          <w:tblCellMar>
            <w:top w:w="0" w:type="dxa"/>
            <w:left w:w="108" w:type="dxa"/>
            <w:bottom w:w="0" w:type="dxa"/>
            <w:right w:w="108" w:type="dxa"/>
          </w:tblCellMar>
        </w:tblPrEx>
        <w:trPr>
          <w:cantSplit/>
          <w:trHeight w:val="340" w:hRule="atLeast"/>
          <w:tblHeader/>
        </w:trPr>
        <w:tc>
          <w:tcPr>
            <w:tcW w:w="1367" w:type="pct"/>
            <w:tcBorders>
              <w:top w:val="single" w:color="000000" w:sz="12" w:space="0"/>
              <w:left w:val="nil"/>
              <w:bottom w:val="single" w:color="000000" w:sz="4" w:space="0"/>
              <w:right w:val="nil"/>
              <w:tl2br w:val="nil"/>
            </w:tcBorders>
            <w:shd w:val="clear" w:color="auto" w:fill="auto"/>
            <w:tcMar>
              <w:top w:w="65" w:type="dxa"/>
              <w:left w:w="70" w:type="dxa"/>
              <w:bottom w:w="65" w:type="dxa"/>
              <w:right w:w="70" w:type="dxa"/>
            </w:tcMar>
            <w:vAlign w:val="center"/>
          </w:tcPr>
          <w:p w14:paraId="2E37CC41">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Model</w:t>
            </w:r>
          </w:p>
        </w:tc>
        <w:tc>
          <w:tcPr>
            <w:tcW w:w="443"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1218BB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Path a</w:t>
            </w:r>
          </w:p>
        </w:tc>
        <w:tc>
          <w:tcPr>
            <w:tcW w:w="443"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395DEA8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Path b</w:t>
            </w:r>
          </w:p>
        </w:tc>
        <w:tc>
          <w:tcPr>
            <w:tcW w:w="478"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2CD0DF7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Direct</w:t>
            </w:r>
            <w:r>
              <w:rPr>
                <w:rFonts w:hint="default" w:ascii="Times New Roman" w:hAnsi="Times New Roman" w:cs="Times New Roman"/>
                <w:b/>
                <w:bCs/>
                <w:color w:val="000000"/>
                <w:sz w:val="18"/>
                <w:szCs w:val="18"/>
              </w:rPr>
              <w:br w:type="textWrapping"/>
            </w:r>
            <w:r>
              <w:rPr>
                <w:rFonts w:hint="default" w:ascii="Times New Roman" w:hAnsi="Times New Roman" w:cs="Times New Roman"/>
                <w:b/>
                <w:bCs/>
                <w:color w:val="000000"/>
                <w:sz w:val="18"/>
                <w:szCs w:val="18"/>
              </w:rPr>
              <w:t>effect</w:t>
            </w:r>
          </w:p>
        </w:tc>
        <w:tc>
          <w:tcPr>
            <w:tcW w:w="478"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45C696C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Total</w:t>
            </w:r>
            <w:r>
              <w:rPr>
                <w:rFonts w:hint="default" w:ascii="Times New Roman" w:hAnsi="Times New Roman" w:cs="Times New Roman"/>
                <w:b/>
                <w:bCs/>
                <w:color w:val="000000"/>
                <w:sz w:val="18"/>
                <w:szCs w:val="18"/>
              </w:rPr>
              <w:br w:type="textWrapping"/>
            </w:r>
            <w:r>
              <w:rPr>
                <w:rFonts w:hint="default" w:ascii="Times New Roman" w:hAnsi="Times New Roman" w:cs="Times New Roman"/>
                <w:b/>
                <w:bCs/>
                <w:color w:val="000000"/>
                <w:sz w:val="18"/>
                <w:szCs w:val="18"/>
              </w:rPr>
              <w:t>effect</w:t>
            </w:r>
          </w:p>
        </w:tc>
        <w:tc>
          <w:tcPr>
            <w:tcW w:w="478"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6BD6A2C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Indirect</w:t>
            </w:r>
            <w:r>
              <w:rPr>
                <w:rFonts w:hint="default" w:ascii="Times New Roman" w:hAnsi="Times New Roman" w:cs="Times New Roman"/>
                <w:b/>
                <w:bCs/>
                <w:color w:val="000000"/>
                <w:sz w:val="18"/>
                <w:szCs w:val="18"/>
              </w:rPr>
              <w:br w:type="textWrapping"/>
            </w:r>
            <w:r>
              <w:rPr>
                <w:rFonts w:hint="default" w:ascii="Times New Roman" w:hAnsi="Times New Roman" w:cs="Times New Roman"/>
                <w:b/>
                <w:bCs/>
                <w:color w:val="000000"/>
                <w:sz w:val="18"/>
                <w:szCs w:val="18"/>
              </w:rPr>
              <w:t>effect</w:t>
            </w:r>
          </w:p>
        </w:tc>
        <w:tc>
          <w:tcPr>
            <w:tcW w:w="131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2E3931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bCs/>
                <w:sz w:val="18"/>
                <w:szCs w:val="18"/>
              </w:rPr>
            </w:pPr>
            <w:r>
              <w:rPr>
                <w:rFonts w:hint="default" w:ascii="Times New Roman" w:hAnsi="Times New Roman" w:cs="Times New Roman"/>
                <w:b/>
                <w:bCs/>
                <w:color w:val="000000"/>
                <w:sz w:val="18"/>
                <w:szCs w:val="18"/>
              </w:rPr>
              <w:t>Bootstrap</w:t>
            </w:r>
            <w:r>
              <w:rPr>
                <w:rFonts w:hint="default" w:ascii="Times New Roman" w:hAnsi="Times New Roman" w:cs="Times New Roman"/>
                <w:b/>
                <w:bCs/>
                <w:color w:val="000000"/>
                <w:sz w:val="18"/>
                <w:szCs w:val="18"/>
              </w:rPr>
              <w:br w:type="textWrapping"/>
            </w:r>
            <w:r>
              <w:rPr>
                <w:rFonts w:hint="default" w:ascii="Times New Roman" w:hAnsi="Times New Roman" w:cs="Times New Roman"/>
                <w:b/>
                <w:bCs/>
                <w:color w:val="000000"/>
                <w:sz w:val="18"/>
                <w:szCs w:val="18"/>
              </w:rPr>
              <w:t>95% CI</w:t>
            </w:r>
          </w:p>
        </w:tc>
      </w:tr>
      <w:tr w14:paraId="7A1FB9C1">
        <w:tblPrEx>
          <w:shd w:val="clear" w:color="auto" w:fill="auto"/>
          <w:tblCellMar>
            <w:top w:w="0" w:type="dxa"/>
            <w:left w:w="108" w:type="dxa"/>
            <w:bottom w:w="0" w:type="dxa"/>
            <w:right w:w="108" w:type="dxa"/>
          </w:tblCellMar>
        </w:tblPrEx>
        <w:trPr>
          <w:cantSplit/>
          <w:trHeight w:val="340" w:hRule="atLeast"/>
        </w:trPr>
        <w:tc>
          <w:tcPr>
            <w:tcW w:w="1367"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3EEBA381">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Unadjusted</w:t>
            </w:r>
          </w:p>
        </w:tc>
        <w:tc>
          <w:tcPr>
            <w:tcW w:w="443"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7D320FF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-0.787</w:t>
            </w:r>
          </w:p>
        </w:tc>
        <w:tc>
          <w:tcPr>
            <w:tcW w:w="443"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6EA3C3D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0.336</w:t>
            </w:r>
          </w:p>
        </w:tc>
        <w:tc>
          <w:tcPr>
            <w:tcW w:w="47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0FAB73E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-0.095</w:t>
            </w:r>
          </w:p>
        </w:tc>
        <w:tc>
          <w:tcPr>
            <w:tcW w:w="47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062FB7E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-0.359</w:t>
            </w:r>
          </w:p>
        </w:tc>
        <w:tc>
          <w:tcPr>
            <w:tcW w:w="47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7391727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-0.264</w:t>
            </w:r>
          </w:p>
        </w:tc>
        <w:tc>
          <w:tcPr>
            <w:tcW w:w="131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2AC3EBC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-0.348 to -0.196</w:t>
            </w:r>
          </w:p>
        </w:tc>
      </w:tr>
      <w:tr w14:paraId="4544E863">
        <w:tblPrEx>
          <w:shd w:val="clear" w:color="auto" w:fill="auto"/>
          <w:tblCellMar>
            <w:top w:w="0" w:type="dxa"/>
            <w:left w:w="108" w:type="dxa"/>
            <w:bottom w:w="0" w:type="dxa"/>
            <w:right w:w="108" w:type="dxa"/>
          </w:tblCellMar>
        </w:tblPrEx>
        <w:trPr>
          <w:cantSplit/>
          <w:trHeight w:val="340" w:hRule="atLeast"/>
        </w:trPr>
        <w:tc>
          <w:tcPr>
            <w:tcW w:w="1367" w:type="pct"/>
            <w:tcBorders>
              <w:top w:val="nil"/>
              <w:left w:val="nil"/>
              <w:bottom w:val="nil"/>
              <w:right w:val="nil"/>
            </w:tcBorders>
            <w:shd w:val="clear" w:color="auto" w:fill="auto"/>
            <w:tcMar>
              <w:top w:w="65" w:type="dxa"/>
              <w:left w:w="70" w:type="dxa"/>
              <w:bottom w:w="65" w:type="dxa"/>
              <w:right w:w="70" w:type="dxa"/>
            </w:tcMar>
            <w:vAlign w:val="center"/>
          </w:tcPr>
          <w:p w14:paraId="5AFFC589">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Age and sex</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011FDC52">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-0.691</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36B087B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0.274</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507FFDF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-0.096</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46323A4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-0.286</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0D395C8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-0.190</w:t>
            </w:r>
          </w:p>
        </w:tc>
        <w:tc>
          <w:tcPr>
            <w:tcW w:w="1310" w:type="pct"/>
            <w:tcBorders>
              <w:top w:val="nil"/>
              <w:left w:val="nil"/>
              <w:bottom w:val="nil"/>
              <w:right w:val="nil"/>
            </w:tcBorders>
            <w:shd w:val="clear" w:color="auto" w:fill="auto"/>
            <w:tcMar>
              <w:top w:w="65" w:type="dxa"/>
              <w:left w:w="70" w:type="dxa"/>
              <w:bottom w:w="65" w:type="dxa"/>
              <w:right w:w="70" w:type="dxa"/>
            </w:tcMar>
            <w:vAlign w:val="center"/>
          </w:tcPr>
          <w:p w14:paraId="35EAD48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-0.263 to -0.131</w:t>
            </w:r>
          </w:p>
        </w:tc>
      </w:tr>
      <w:tr w14:paraId="7FF11F47">
        <w:tblPrEx>
          <w:shd w:val="clear" w:color="auto" w:fill="auto"/>
          <w:tblCellMar>
            <w:top w:w="0" w:type="dxa"/>
            <w:left w:w="108" w:type="dxa"/>
            <w:bottom w:w="0" w:type="dxa"/>
            <w:right w:w="108" w:type="dxa"/>
          </w:tblCellMar>
        </w:tblPrEx>
        <w:trPr>
          <w:cantSplit/>
          <w:trHeight w:val="340" w:hRule="atLeast"/>
        </w:trPr>
        <w:tc>
          <w:tcPr>
            <w:tcW w:w="1367" w:type="pct"/>
            <w:tcBorders>
              <w:top w:val="nil"/>
              <w:left w:val="nil"/>
              <w:bottom w:val="nil"/>
              <w:right w:val="nil"/>
            </w:tcBorders>
            <w:shd w:val="clear" w:color="auto" w:fill="auto"/>
            <w:tcMar>
              <w:top w:w="65" w:type="dxa"/>
              <w:left w:w="70" w:type="dxa"/>
              <w:bottom w:w="65" w:type="dxa"/>
              <w:right w:w="70" w:type="dxa"/>
            </w:tcMar>
            <w:vAlign w:val="center"/>
          </w:tcPr>
          <w:p w14:paraId="71C16317">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Primary clinical model</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264D11EC">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-0.653</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1A0C56F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0.250</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3BD57D6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-0.105</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55D291F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-0.268</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0C05AEB7">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-0.163</w:t>
            </w:r>
          </w:p>
        </w:tc>
        <w:tc>
          <w:tcPr>
            <w:tcW w:w="1310" w:type="pct"/>
            <w:tcBorders>
              <w:top w:val="nil"/>
              <w:left w:val="nil"/>
              <w:bottom w:val="nil"/>
              <w:right w:val="nil"/>
            </w:tcBorders>
            <w:shd w:val="clear" w:color="auto" w:fill="auto"/>
            <w:tcMar>
              <w:top w:w="65" w:type="dxa"/>
              <w:left w:w="70" w:type="dxa"/>
              <w:bottom w:w="65" w:type="dxa"/>
              <w:right w:w="70" w:type="dxa"/>
            </w:tcMar>
            <w:vAlign w:val="center"/>
          </w:tcPr>
          <w:p w14:paraId="5F342C8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-0.231 to -0.110</w:t>
            </w:r>
          </w:p>
        </w:tc>
      </w:tr>
      <w:tr w14:paraId="23676A8F">
        <w:tblPrEx>
          <w:shd w:val="clear" w:color="auto" w:fill="auto"/>
          <w:tblCellMar>
            <w:top w:w="0" w:type="dxa"/>
            <w:left w:w="108" w:type="dxa"/>
            <w:bottom w:w="0" w:type="dxa"/>
            <w:right w:w="108" w:type="dxa"/>
          </w:tblCellMar>
        </w:tblPrEx>
        <w:trPr>
          <w:cantSplit/>
          <w:trHeight w:val="340" w:hRule="atLeast"/>
        </w:trPr>
        <w:tc>
          <w:tcPr>
            <w:tcW w:w="1367" w:type="pct"/>
            <w:tcBorders>
              <w:top w:val="nil"/>
              <w:left w:val="nil"/>
              <w:bottom w:val="nil"/>
              <w:right w:val="nil"/>
            </w:tcBorders>
            <w:shd w:val="clear" w:color="auto" w:fill="auto"/>
            <w:tcMar>
              <w:top w:w="65" w:type="dxa"/>
              <w:left w:w="70" w:type="dxa"/>
              <w:bottom w:w="65" w:type="dxa"/>
              <w:right w:w="70" w:type="dxa"/>
            </w:tcMar>
            <w:vAlign w:val="center"/>
          </w:tcPr>
          <w:p w14:paraId="78DCB621">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Primary model + BMI</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5CDEC6F7">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-0.685</w:t>
            </w:r>
          </w:p>
        </w:tc>
        <w:tc>
          <w:tcPr>
            <w:tcW w:w="443" w:type="pct"/>
            <w:tcBorders>
              <w:top w:val="nil"/>
              <w:left w:val="nil"/>
              <w:bottom w:val="nil"/>
              <w:right w:val="nil"/>
            </w:tcBorders>
            <w:shd w:val="clear" w:color="auto" w:fill="auto"/>
            <w:tcMar>
              <w:top w:w="65" w:type="dxa"/>
              <w:left w:w="70" w:type="dxa"/>
              <w:bottom w:w="65" w:type="dxa"/>
              <w:right w:w="70" w:type="dxa"/>
            </w:tcMar>
            <w:vAlign w:val="center"/>
          </w:tcPr>
          <w:p w14:paraId="62B07C7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0.238</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54B62877">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-0.145</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3782917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-0.308</w:t>
            </w:r>
          </w:p>
        </w:tc>
        <w:tc>
          <w:tcPr>
            <w:tcW w:w="478" w:type="pct"/>
            <w:tcBorders>
              <w:top w:val="nil"/>
              <w:left w:val="nil"/>
              <w:bottom w:val="nil"/>
              <w:right w:val="nil"/>
            </w:tcBorders>
            <w:shd w:val="clear" w:color="auto" w:fill="auto"/>
            <w:tcMar>
              <w:top w:w="65" w:type="dxa"/>
              <w:left w:w="70" w:type="dxa"/>
              <w:bottom w:w="65" w:type="dxa"/>
              <w:right w:w="70" w:type="dxa"/>
            </w:tcMar>
            <w:vAlign w:val="center"/>
          </w:tcPr>
          <w:p w14:paraId="45C7AE4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-0.163</w:t>
            </w:r>
          </w:p>
        </w:tc>
        <w:tc>
          <w:tcPr>
            <w:tcW w:w="1310" w:type="pct"/>
            <w:tcBorders>
              <w:top w:val="nil"/>
              <w:left w:val="nil"/>
              <w:bottom w:val="nil"/>
              <w:right w:val="nil"/>
            </w:tcBorders>
            <w:shd w:val="clear" w:color="auto" w:fill="auto"/>
            <w:tcMar>
              <w:top w:w="65" w:type="dxa"/>
              <w:left w:w="70" w:type="dxa"/>
              <w:bottom w:w="65" w:type="dxa"/>
              <w:right w:w="70" w:type="dxa"/>
            </w:tcMar>
            <w:vAlign w:val="center"/>
          </w:tcPr>
          <w:p w14:paraId="0F6290C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-0.233 to -0.108</w:t>
            </w:r>
          </w:p>
        </w:tc>
      </w:tr>
      <w:tr w14:paraId="634674B2">
        <w:tblPrEx>
          <w:shd w:val="clear" w:color="auto" w:fill="auto"/>
          <w:tblCellMar>
            <w:top w:w="0" w:type="dxa"/>
            <w:left w:w="108" w:type="dxa"/>
            <w:bottom w:w="0" w:type="dxa"/>
            <w:right w:w="108" w:type="dxa"/>
          </w:tblCellMar>
        </w:tblPrEx>
        <w:trPr>
          <w:cantSplit/>
          <w:trHeight w:val="340" w:hRule="atLeast"/>
        </w:trPr>
        <w:tc>
          <w:tcPr>
            <w:tcW w:w="1367"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6F8700A2">
            <w:pPr>
              <w:keepNext/>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Expanded categorical covariate model</w:t>
            </w:r>
          </w:p>
        </w:tc>
        <w:tc>
          <w:tcPr>
            <w:tcW w:w="443"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4996BBA">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-0.648</w:t>
            </w:r>
          </w:p>
        </w:tc>
        <w:tc>
          <w:tcPr>
            <w:tcW w:w="443"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148408E2">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0.231</w:t>
            </w:r>
          </w:p>
        </w:tc>
        <w:tc>
          <w:tcPr>
            <w:tcW w:w="47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574F4F1">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-0.135</w:t>
            </w:r>
          </w:p>
        </w:tc>
        <w:tc>
          <w:tcPr>
            <w:tcW w:w="47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81321E5">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-0.285</w:t>
            </w:r>
          </w:p>
        </w:tc>
        <w:tc>
          <w:tcPr>
            <w:tcW w:w="47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1B8666F5">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-0.150</w:t>
            </w:r>
          </w:p>
        </w:tc>
        <w:tc>
          <w:tcPr>
            <w:tcW w:w="131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09E2A8C0">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-0.221 to -0.095</w:t>
            </w:r>
          </w:p>
        </w:tc>
      </w:tr>
    </w:tbl>
    <w:p w14:paraId="04AB2286">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t>Confidence intervals were estimated using 5000 bootstrap resamples. The primary clinical model was adjusted for sex, aCCI, hemoglobin, and dialysis duration. The expanded model additionally included BMI, smoking, educational attainment, employment status, marital status, place of residence, and living arrangements. Coding and reference categories are described in the main Methods. Paths a and b represent the MNA-SF–SARC-F and SARC-F–FRAIL associations, respectively.</w:t>
      </w:r>
    </w:p>
    <w:p w14:paraId="006EE752">
      <w:pPr>
        <w:keepNext/>
        <w:keepLines w:val="0"/>
        <w:pageBreakBefore/>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Table S3. Robustness analyses of the moderated mediation model.</w:t>
      </w:r>
    </w:p>
    <w:tbl>
      <w:tblPr>
        <w:tblStyle w:val="32"/>
        <w:tblW w:w="4998" w:type="pct"/>
        <w:tblInd w:w="0" w:type="dxa"/>
        <w:shd w:val="clear" w:color="auto" w:fill="auto"/>
        <w:tblLayout w:type="autofit"/>
        <w:tblCellMar>
          <w:top w:w="0" w:type="dxa"/>
          <w:left w:w="108" w:type="dxa"/>
          <w:bottom w:w="0" w:type="dxa"/>
          <w:right w:w="108" w:type="dxa"/>
        </w:tblCellMar>
      </w:tblPr>
      <w:tblGrid>
        <w:gridCol w:w="2713"/>
        <w:gridCol w:w="977"/>
        <w:gridCol w:w="813"/>
        <w:gridCol w:w="977"/>
        <w:gridCol w:w="1764"/>
        <w:gridCol w:w="2252"/>
      </w:tblGrid>
      <w:tr w14:paraId="2B4D262F">
        <w:tblPrEx>
          <w:shd w:val="clear" w:color="auto" w:fill="auto"/>
        </w:tblPrEx>
        <w:trPr>
          <w:cantSplit/>
          <w:trHeight w:val="340" w:hRule="atLeast"/>
          <w:tblHeader/>
        </w:trPr>
        <w:tc>
          <w:tcPr>
            <w:tcW w:w="1428" w:type="pct"/>
            <w:tcBorders>
              <w:top w:val="single" w:color="000000" w:sz="12" w:space="0"/>
              <w:left w:val="nil"/>
              <w:bottom w:val="single" w:color="000000" w:sz="4" w:space="0"/>
              <w:right w:val="nil"/>
              <w:tl2br w:val="nil"/>
            </w:tcBorders>
            <w:shd w:val="clear" w:color="auto" w:fill="auto"/>
            <w:tcMar>
              <w:top w:w="65" w:type="dxa"/>
              <w:left w:w="70" w:type="dxa"/>
              <w:bottom w:w="65" w:type="dxa"/>
              <w:right w:w="70" w:type="dxa"/>
            </w:tcMar>
            <w:vAlign w:val="center"/>
          </w:tcPr>
          <w:p w14:paraId="786B2778">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Analysis</w:t>
            </w:r>
          </w:p>
        </w:tc>
        <w:tc>
          <w:tcPr>
            <w:tcW w:w="514"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810BD5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Interaction</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B</w:t>
            </w:r>
          </w:p>
        </w:tc>
        <w:tc>
          <w:tcPr>
            <w:tcW w:w="428"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3607915B">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 value</w:t>
            </w:r>
          </w:p>
        </w:tc>
        <w:tc>
          <w:tcPr>
            <w:tcW w:w="514"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69BD5E0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Path b</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B</w:t>
            </w:r>
          </w:p>
        </w:tc>
        <w:tc>
          <w:tcPr>
            <w:tcW w:w="928"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4FAA658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Index of moderated mediation</w:t>
            </w:r>
          </w:p>
        </w:tc>
        <w:tc>
          <w:tcPr>
            <w:tcW w:w="1185"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4FA2E88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Bootstrap</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95% CI</w:t>
            </w:r>
          </w:p>
        </w:tc>
      </w:tr>
      <w:tr w14:paraId="525F41A0">
        <w:tblPrEx>
          <w:tblCellMar>
            <w:top w:w="0" w:type="dxa"/>
            <w:left w:w="108" w:type="dxa"/>
            <w:bottom w:w="0" w:type="dxa"/>
            <w:right w:w="108" w:type="dxa"/>
          </w:tblCellMar>
        </w:tblPrEx>
        <w:trPr>
          <w:cantSplit/>
          <w:trHeight w:val="340" w:hRule="atLeast"/>
        </w:trPr>
        <w:tc>
          <w:tcPr>
            <w:tcW w:w="142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0900EF1A">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Primary model</w:t>
            </w:r>
          </w:p>
        </w:tc>
        <w:tc>
          <w:tcPr>
            <w:tcW w:w="514"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336B8775">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-0.093</w:t>
            </w:r>
          </w:p>
        </w:tc>
        <w:tc>
          <w:tcPr>
            <w:tcW w:w="42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27E293B1">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c>
          <w:tcPr>
            <w:tcW w:w="514"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160CFC0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0.250</w:t>
            </w:r>
          </w:p>
        </w:tc>
        <w:tc>
          <w:tcPr>
            <w:tcW w:w="92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158BF2E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-0.023</w:t>
            </w:r>
          </w:p>
        </w:tc>
        <w:tc>
          <w:tcPr>
            <w:tcW w:w="1185"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1C40383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-0.036 to -0.013</w:t>
            </w:r>
          </w:p>
        </w:tc>
      </w:tr>
      <w:tr w14:paraId="72E84E79">
        <w:tblPrEx>
          <w:tblCellMar>
            <w:top w:w="0" w:type="dxa"/>
            <w:left w:w="108" w:type="dxa"/>
            <w:bottom w:w="0" w:type="dxa"/>
            <w:right w:w="108" w:type="dxa"/>
          </w:tblCellMar>
        </w:tblPrEx>
        <w:trPr>
          <w:cantSplit/>
          <w:trHeight w:val="340" w:hRule="atLeast"/>
        </w:trPr>
        <w:tc>
          <w:tcPr>
            <w:tcW w:w="1428" w:type="pct"/>
            <w:tcBorders>
              <w:top w:val="nil"/>
              <w:left w:val="nil"/>
              <w:bottom w:val="nil"/>
              <w:right w:val="nil"/>
            </w:tcBorders>
            <w:shd w:val="clear" w:color="auto" w:fill="auto"/>
            <w:tcMar>
              <w:top w:w="65" w:type="dxa"/>
              <w:left w:w="70" w:type="dxa"/>
              <w:bottom w:w="65" w:type="dxa"/>
              <w:right w:w="70" w:type="dxa"/>
            </w:tcMar>
            <w:vAlign w:val="center"/>
          </w:tcPr>
          <w:p w14:paraId="2E87D398">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Additional BMI adjustment</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7FB1F64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-0.094</w:t>
            </w:r>
          </w:p>
        </w:tc>
        <w:tc>
          <w:tcPr>
            <w:tcW w:w="428" w:type="pct"/>
            <w:tcBorders>
              <w:top w:val="nil"/>
              <w:left w:val="nil"/>
              <w:bottom w:val="nil"/>
              <w:right w:val="nil"/>
            </w:tcBorders>
            <w:shd w:val="clear" w:color="auto" w:fill="auto"/>
            <w:tcMar>
              <w:top w:w="65" w:type="dxa"/>
              <w:left w:w="70" w:type="dxa"/>
              <w:bottom w:w="65" w:type="dxa"/>
              <w:right w:w="70" w:type="dxa"/>
            </w:tcMar>
            <w:vAlign w:val="center"/>
          </w:tcPr>
          <w:p w14:paraId="00A7412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32DD98CA">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0.238</w:t>
            </w:r>
          </w:p>
        </w:tc>
        <w:tc>
          <w:tcPr>
            <w:tcW w:w="928" w:type="pct"/>
            <w:tcBorders>
              <w:top w:val="nil"/>
              <w:left w:val="nil"/>
              <w:bottom w:val="nil"/>
              <w:right w:val="nil"/>
            </w:tcBorders>
            <w:shd w:val="clear" w:color="auto" w:fill="auto"/>
            <w:tcMar>
              <w:top w:w="65" w:type="dxa"/>
              <w:left w:w="70" w:type="dxa"/>
              <w:bottom w:w="65" w:type="dxa"/>
              <w:right w:w="70" w:type="dxa"/>
            </w:tcMar>
            <w:vAlign w:val="center"/>
          </w:tcPr>
          <w:p w14:paraId="65F5EAA6">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-0.022</w:t>
            </w:r>
          </w:p>
        </w:tc>
        <w:tc>
          <w:tcPr>
            <w:tcW w:w="1185" w:type="pct"/>
            <w:tcBorders>
              <w:top w:val="nil"/>
              <w:left w:val="nil"/>
              <w:bottom w:val="nil"/>
              <w:right w:val="nil"/>
            </w:tcBorders>
            <w:shd w:val="clear" w:color="auto" w:fill="auto"/>
            <w:tcMar>
              <w:top w:w="65" w:type="dxa"/>
              <w:left w:w="70" w:type="dxa"/>
              <w:bottom w:w="65" w:type="dxa"/>
              <w:right w:w="70" w:type="dxa"/>
            </w:tcMar>
            <w:vAlign w:val="center"/>
          </w:tcPr>
          <w:p w14:paraId="7594CC2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-0.035 to -0.013</w:t>
            </w:r>
          </w:p>
        </w:tc>
      </w:tr>
      <w:tr w14:paraId="3AA0B510">
        <w:tblPrEx>
          <w:tblCellMar>
            <w:top w:w="0" w:type="dxa"/>
            <w:left w:w="108" w:type="dxa"/>
            <w:bottom w:w="0" w:type="dxa"/>
            <w:right w:w="108" w:type="dxa"/>
          </w:tblCellMar>
        </w:tblPrEx>
        <w:trPr>
          <w:cantSplit/>
          <w:trHeight w:val="340" w:hRule="atLeast"/>
        </w:trPr>
        <w:tc>
          <w:tcPr>
            <w:tcW w:w="1428" w:type="pct"/>
            <w:tcBorders>
              <w:top w:val="nil"/>
              <w:left w:val="nil"/>
              <w:bottom w:val="nil"/>
              <w:right w:val="nil"/>
            </w:tcBorders>
            <w:shd w:val="clear" w:color="auto" w:fill="auto"/>
            <w:tcMar>
              <w:top w:w="65" w:type="dxa"/>
              <w:left w:w="70" w:type="dxa"/>
              <w:bottom w:w="65" w:type="dxa"/>
              <w:right w:w="70" w:type="dxa"/>
            </w:tcMar>
            <w:vAlign w:val="center"/>
          </w:tcPr>
          <w:p w14:paraId="1280AFB3">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Expanded categorical covariate model</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3D2F5B2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-0.084</w:t>
            </w:r>
          </w:p>
        </w:tc>
        <w:tc>
          <w:tcPr>
            <w:tcW w:w="428" w:type="pct"/>
            <w:tcBorders>
              <w:top w:val="nil"/>
              <w:left w:val="nil"/>
              <w:bottom w:val="nil"/>
              <w:right w:val="nil"/>
            </w:tcBorders>
            <w:shd w:val="clear" w:color="auto" w:fill="auto"/>
            <w:tcMar>
              <w:top w:w="65" w:type="dxa"/>
              <w:left w:w="70" w:type="dxa"/>
              <w:bottom w:w="65" w:type="dxa"/>
              <w:right w:w="70" w:type="dxa"/>
            </w:tcMar>
            <w:vAlign w:val="center"/>
          </w:tcPr>
          <w:p w14:paraId="06772E4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09E56DCD">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0.231</w:t>
            </w:r>
          </w:p>
        </w:tc>
        <w:tc>
          <w:tcPr>
            <w:tcW w:w="928" w:type="pct"/>
            <w:tcBorders>
              <w:top w:val="nil"/>
              <w:left w:val="nil"/>
              <w:bottom w:val="nil"/>
              <w:right w:val="nil"/>
            </w:tcBorders>
            <w:shd w:val="clear" w:color="auto" w:fill="auto"/>
            <w:tcMar>
              <w:top w:w="65" w:type="dxa"/>
              <w:left w:w="70" w:type="dxa"/>
              <w:bottom w:w="65" w:type="dxa"/>
              <w:right w:w="70" w:type="dxa"/>
            </w:tcMar>
            <w:vAlign w:val="center"/>
          </w:tcPr>
          <w:p w14:paraId="57CC78FF">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-0.020</w:t>
            </w:r>
          </w:p>
        </w:tc>
        <w:tc>
          <w:tcPr>
            <w:tcW w:w="1185" w:type="pct"/>
            <w:tcBorders>
              <w:top w:val="nil"/>
              <w:left w:val="nil"/>
              <w:bottom w:val="nil"/>
              <w:right w:val="nil"/>
            </w:tcBorders>
            <w:shd w:val="clear" w:color="auto" w:fill="auto"/>
            <w:tcMar>
              <w:top w:w="65" w:type="dxa"/>
              <w:left w:w="70" w:type="dxa"/>
              <w:bottom w:w="65" w:type="dxa"/>
              <w:right w:w="70" w:type="dxa"/>
            </w:tcMar>
            <w:vAlign w:val="center"/>
          </w:tcPr>
          <w:p w14:paraId="7B698A43">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-0.032 to -0.010</w:t>
            </w:r>
          </w:p>
        </w:tc>
      </w:tr>
      <w:tr w14:paraId="37D90BDB">
        <w:tblPrEx>
          <w:shd w:val="clear" w:color="auto" w:fill="auto"/>
          <w:tblCellMar>
            <w:top w:w="0" w:type="dxa"/>
            <w:left w:w="108" w:type="dxa"/>
            <w:bottom w:w="0" w:type="dxa"/>
            <w:right w:w="108" w:type="dxa"/>
          </w:tblCellMar>
        </w:tblPrEx>
        <w:trPr>
          <w:cantSplit/>
          <w:trHeight w:val="340" w:hRule="atLeast"/>
        </w:trPr>
        <w:tc>
          <w:tcPr>
            <w:tcW w:w="1428" w:type="pct"/>
            <w:tcBorders>
              <w:top w:val="nil"/>
              <w:left w:val="nil"/>
              <w:bottom w:val="nil"/>
              <w:right w:val="nil"/>
            </w:tcBorders>
            <w:shd w:val="clear" w:color="auto" w:fill="auto"/>
            <w:tcMar>
              <w:top w:w="65" w:type="dxa"/>
              <w:left w:w="70" w:type="dxa"/>
              <w:bottom w:w="65" w:type="dxa"/>
              <w:right w:w="70" w:type="dxa"/>
            </w:tcMar>
            <w:vAlign w:val="center"/>
          </w:tcPr>
          <w:p w14:paraId="050DEC69">
            <w:pPr>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HC3 robust standard errors</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38D5B3C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-0.093</w:t>
            </w:r>
          </w:p>
        </w:tc>
        <w:tc>
          <w:tcPr>
            <w:tcW w:w="428" w:type="pct"/>
            <w:tcBorders>
              <w:top w:val="nil"/>
              <w:left w:val="nil"/>
              <w:bottom w:val="nil"/>
              <w:right w:val="nil"/>
            </w:tcBorders>
            <w:shd w:val="clear" w:color="auto" w:fill="auto"/>
            <w:tcMar>
              <w:top w:w="65" w:type="dxa"/>
              <w:left w:w="70" w:type="dxa"/>
              <w:bottom w:w="65" w:type="dxa"/>
              <w:right w:w="70" w:type="dxa"/>
            </w:tcMar>
            <w:vAlign w:val="center"/>
          </w:tcPr>
          <w:p w14:paraId="38AB9320">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c>
          <w:tcPr>
            <w:tcW w:w="514" w:type="pct"/>
            <w:tcBorders>
              <w:top w:val="nil"/>
              <w:left w:val="nil"/>
              <w:bottom w:val="nil"/>
              <w:right w:val="nil"/>
            </w:tcBorders>
            <w:shd w:val="clear" w:color="auto" w:fill="auto"/>
            <w:tcMar>
              <w:top w:w="65" w:type="dxa"/>
              <w:left w:w="70" w:type="dxa"/>
              <w:bottom w:w="65" w:type="dxa"/>
              <w:right w:w="70" w:type="dxa"/>
            </w:tcMar>
            <w:vAlign w:val="center"/>
          </w:tcPr>
          <w:p w14:paraId="325058B4">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c>
          <w:tcPr>
            <w:tcW w:w="928" w:type="pct"/>
            <w:tcBorders>
              <w:top w:val="nil"/>
              <w:left w:val="nil"/>
              <w:bottom w:val="nil"/>
              <w:right w:val="nil"/>
            </w:tcBorders>
            <w:shd w:val="clear" w:color="auto" w:fill="auto"/>
            <w:tcMar>
              <w:top w:w="65" w:type="dxa"/>
              <w:left w:w="70" w:type="dxa"/>
              <w:bottom w:w="65" w:type="dxa"/>
              <w:right w:w="70" w:type="dxa"/>
            </w:tcMar>
            <w:vAlign w:val="center"/>
          </w:tcPr>
          <w:p w14:paraId="7D63835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c>
          <w:tcPr>
            <w:tcW w:w="1185" w:type="pct"/>
            <w:tcBorders>
              <w:top w:val="nil"/>
              <w:left w:val="nil"/>
              <w:bottom w:val="nil"/>
              <w:right w:val="nil"/>
            </w:tcBorders>
            <w:shd w:val="clear" w:color="auto" w:fill="auto"/>
            <w:tcMar>
              <w:top w:w="65" w:type="dxa"/>
              <w:left w:w="70" w:type="dxa"/>
              <w:bottom w:w="65" w:type="dxa"/>
              <w:right w:w="70" w:type="dxa"/>
            </w:tcMar>
            <w:vAlign w:val="center"/>
          </w:tcPr>
          <w:p w14:paraId="51021189">
            <w:pPr>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r>
      <w:tr w14:paraId="79F729CC">
        <w:tblPrEx>
          <w:tblCellMar>
            <w:top w:w="0" w:type="dxa"/>
            <w:left w:w="108" w:type="dxa"/>
            <w:bottom w:w="0" w:type="dxa"/>
            <w:right w:w="108" w:type="dxa"/>
          </w:tblCellMar>
        </w:tblPrEx>
        <w:trPr>
          <w:cantSplit/>
          <w:trHeight w:val="340" w:hRule="atLeast"/>
        </w:trPr>
        <w:tc>
          <w:tcPr>
            <w:tcW w:w="142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64E67D4F">
            <w:pPr>
              <w:keepNext/>
              <w:keepLines w:val="0"/>
              <w:pageBreakBefore w:val="0"/>
              <w:widowControl/>
              <w:kinsoku/>
              <w:wordWrap/>
              <w:overflowPunct/>
              <w:topLinePunct w:val="0"/>
              <w:autoSpaceDE/>
              <w:autoSpaceDN/>
              <w:bidi w:val="0"/>
              <w:adjustRightInd/>
              <w:snapToGrid/>
              <w:spacing w:after="0" w:line="240" w:lineRule="atLeast"/>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Quadratic terms (HC3)</w:t>
            </w:r>
          </w:p>
        </w:tc>
        <w:tc>
          <w:tcPr>
            <w:tcW w:w="514"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09EBCE4B">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-0.109</w:t>
            </w:r>
          </w:p>
        </w:tc>
        <w:tc>
          <w:tcPr>
            <w:tcW w:w="42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228ED67">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c>
          <w:tcPr>
            <w:tcW w:w="514"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6BF00966">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c>
          <w:tcPr>
            <w:tcW w:w="92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6C86D227">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c>
          <w:tcPr>
            <w:tcW w:w="1185"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36182C0">
            <w:pPr>
              <w:keepNext/>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w:t>
            </w:r>
          </w:p>
        </w:tc>
      </w:tr>
    </w:tbl>
    <w:p w14:paraId="1AF07BC7">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t>N = 321. The interaction term is MNA-SF × aCCI, and path b represents the SARC-F–FRAIL association. The primary model was adjusted for sex, hemoglobin, and dialysis duration; the outcome model also included the aCCI main effect. The HC3 and quadratic-term analyses report the first-stage interaction; the other analyses also report the index of moderated mediation. Confidence intervals were estimated using 5000 bootstrap resamples. HC3, heteroscedasticity-robust standard errors; B, unstandardized regression coefficient; CI, confidence interval.</w:t>
      </w:r>
    </w:p>
    <w:p w14:paraId="05E0594B">
      <w:pPr>
        <w:rPr>
          <w:rFonts w:hint="default" w:ascii="Times New Roman" w:hAnsi="Times New Roman" w:cs="Times New Roman"/>
          <w:sz w:val="18"/>
          <w:szCs w:val="18"/>
        </w:rPr>
      </w:pPr>
      <w:r>
        <w:rPr>
          <w:rFonts w:hint="default" w:ascii="Times New Roman" w:hAnsi="Times New Roman" w:cs="Times New Roman"/>
          <w:sz w:val="18"/>
          <w:szCs w:val="18"/>
        </w:rPr>
        <w:br w:type="page"/>
      </w:r>
    </w:p>
    <w:p w14:paraId="7209893A">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p>
    <w:p w14:paraId="25A05B2B">
      <w:pPr>
        <w:keepNext/>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Table S4. Sensitivity analyses using alternative FRAIL outcome specifications.</w:t>
      </w:r>
    </w:p>
    <w:tbl>
      <w:tblPr>
        <w:tblStyle w:val="32"/>
        <w:tblW w:w="4998" w:type="pct"/>
        <w:tblInd w:w="0" w:type="dxa"/>
        <w:shd w:val="clear" w:color="auto" w:fill="auto"/>
        <w:tblLayout w:type="autofit"/>
        <w:tblCellMar>
          <w:top w:w="0" w:type="dxa"/>
          <w:left w:w="108" w:type="dxa"/>
          <w:bottom w:w="0" w:type="dxa"/>
          <w:right w:w="108" w:type="dxa"/>
        </w:tblCellMar>
      </w:tblPr>
      <w:tblGrid>
        <w:gridCol w:w="1763"/>
        <w:gridCol w:w="2103"/>
        <w:gridCol w:w="1520"/>
        <w:gridCol w:w="2850"/>
        <w:gridCol w:w="1260"/>
      </w:tblGrid>
      <w:tr w14:paraId="0B7DDC0D">
        <w:tblPrEx>
          <w:shd w:val="clear" w:color="auto" w:fill="auto"/>
          <w:tblCellMar>
            <w:top w:w="0" w:type="dxa"/>
            <w:left w:w="108" w:type="dxa"/>
            <w:bottom w:w="0" w:type="dxa"/>
            <w:right w:w="108" w:type="dxa"/>
          </w:tblCellMar>
        </w:tblPrEx>
        <w:trPr>
          <w:cantSplit/>
          <w:trHeight w:val="397" w:hRule="atLeast"/>
          <w:tblHeader/>
        </w:trPr>
        <w:tc>
          <w:tcPr>
            <w:tcW w:w="928" w:type="pct"/>
            <w:tcBorders>
              <w:top w:val="single" w:color="000000" w:sz="12" w:space="0"/>
              <w:left w:val="nil"/>
              <w:bottom w:val="single" w:color="000000" w:sz="4" w:space="0"/>
              <w:right w:val="nil"/>
              <w:tl2br w:val="nil"/>
            </w:tcBorders>
            <w:shd w:val="clear" w:color="auto" w:fill="auto"/>
            <w:tcMar>
              <w:top w:w="65" w:type="dxa"/>
              <w:left w:w="70" w:type="dxa"/>
              <w:bottom w:w="65" w:type="dxa"/>
              <w:right w:w="70" w:type="dxa"/>
            </w:tcMar>
            <w:vAlign w:val="center"/>
          </w:tcPr>
          <w:p w14:paraId="72ACC422">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bookmarkStart w:id="0" w:name="_GoBack"/>
            <w:r>
              <w:rPr>
                <w:rFonts w:hint="default" w:ascii="Times New Roman" w:hAnsi="Times New Roman" w:cs="Times New Roman"/>
                <w:b w:val="0"/>
                <w:color w:val="000000"/>
                <w:sz w:val="18"/>
                <w:szCs w:val="18"/>
              </w:rPr>
              <w:t>Model</w:t>
            </w:r>
          </w:p>
        </w:tc>
        <w:tc>
          <w:tcPr>
            <w:tcW w:w="1107"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2576BF6">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Variable</w:t>
            </w:r>
          </w:p>
        </w:tc>
        <w:tc>
          <w:tcPr>
            <w:tcW w:w="80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09320F72">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Effect estimate</w:t>
            </w:r>
          </w:p>
        </w:tc>
        <w:tc>
          <w:tcPr>
            <w:tcW w:w="150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B154580">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95% CI</w:t>
            </w:r>
          </w:p>
        </w:tc>
        <w:tc>
          <w:tcPr>
            <w:tcW w:w="663"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19C68F45">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 value</w:t>
            </w:r>
          </w:p>
        </w:tc>
      </w:tr>
      <w:tr w14:paraId="17BDB1D4">
        <w:tblPrEx>
          <w:shd w:val="clear" w:color="auto" w:fill="auto"/>
          <w:tblCellMar>
            <w:top w:w="0" w:type="dxa"/>
            <w:left w:w="108" w:type="dxa"/>
            <w:bottom w:w="0" w:type="dxa"/>
            <w:right w:w="108" w:type="dxa"/>
          </w:tblCellMar>
        </w:tblPrEx>
        <w:trPr>
          <w:cantSplit/>
          <w:trHeight w:val="397" w:hRule="atLeast"/>
        </w:trPr>
        <w:tc>
          <w:tcPr>
            <w:tcW w:w="928"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73DD9307">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Ordinal logistic</w:t>
            </w:r>
          </w:p>
        </w:tc>
        <w:tc>
          <w:tcPr>
            <w:tcW w:w="1107"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12975336">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MNA-SF (per SD)</w:t>
            </w:r>
          </w:p>
        </w:tc>
        <w:tc>
          <w:tcPr>
            <w:tcW w:w="80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3DDACE1B">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 = -0.405</w:t>
            </w:r>
          </w:p>
        </w:tc>
        <w:tc>
          <w:tcPr>
            <w:tcW w:w="150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6998A4ED">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-0.681 to -0.130</w:t>
            </w:r>
          </w:p>
        </w:tc>
        <w:tc>
          <w:tcPr>
            <w:tcW w:w="663"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2E5AC654">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0.004</w:t>
            </w:r>
          </w:p>
        </w:tc>
      </w:tr>
      <w:tr w14:paraId="50D69F67">
        <w:tblPrEx>
          <w:tblCellMar>
            <w:top w:w="0" w:type="dxa"/>
            <w:left w:w="108" w:type="dxa"/>
            <w:bottom w:w="0" w:type="dxa"/>
            <w:right w:w="108" w:type="dxa"/>
          </w:tblCellMar>
        </w:tblPrEx>
        <w:trPr>
          <w:cantSplit/>
          <w:trHeight w:val="397" w:hRule="atLeast"/>
        </w:trPr>
        <w:tc>
          <w:tcPr>
            <w:tcW w:w="928" w:type="pct"/>
            <w:tcBorders>
              <w:top w:val="nil"/>
              <w:left w:val="nil"/>
              <w:bottom w:val="nil"/>
              <w:right w:val="nil"/>
            </w:tcBorders>
            <w:shd w:val="clear" w:color="auto" w:fill="auto"/>
            <w:tcMar>
              <w:top w:w="65" w:type="dxa"/>
              <w:left w:w="70" w:type="dxa"/>
              <w:bottom w:w="65" w:type="dxa"/>
              <w:right w:w="70" w:type="dxa"/>
            </w:tcMar>
            <w:vAlign w:val="center"/>
          </w:tcPr>
          <w:p w14:paraId="685C7183">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Ordinal logistic</w:t>
            </w:r>
          </w:p>
        </w:tc>
        <w:tc>
          <w:tcPr>
            <w:tcW w:w="1107" w:type="pct"/>
            <w:tcBorders>
              <w:top w:val="nil"/>
              <w:left w:val="nil"/>
              <w:bottom w:val="nil"/>
              <w:right w:val="nil"/>
            </w:tcBorders>
            <w:shd w:val="clear" w:color="auto" w:fill="auto"/>
            <w:tcMar>
              <w:top w:w="65" w:type="dxa"/>
              <w:left w:w="70" w:type="dxa"/>
              <w:bottom w:w="65" w:type="dxa"/>
              <w:right w:w="70" w:type="dxa"/>
            </w:tcMar>
            <w:vAlign w:val="center"/>
          </w:tcPr>
          <w:p w14:paraId="01343D5F">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SARC-F (per SD)</w:t>
            </w:r>
          </w:p>
        </w:tc>
        <w:tc>
          <w:tcPr>
            <w:tcW w:w="800" w:type="pct"/>
            <w:tcBorders>
              <w:top w:val="nil"/>
              <w:left w:val="nil"/>
              <w:bottom w:val="nil"/>
              <w:right w:val="nil"/>
            </w:tcBorders>
            <w:shd w:val="clear" w:color="auto" w:fill="auto"/>
            <w:tcMar>
              <w:top w:w="65" w:type="dxa"/>
              <w:left w:w="70" w:type="dxa"/>
              <w:bottom w:w="65" w:type="dxa"/>
              <w:right w:w="70" w:type="dxa"/>
            </w:tcMar>
            <w:vAlign w:val="center"/>
          </w:tcPr>
          <w:p w14:paraId="18DFDADF">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 = 1.008</w:t>
            </w:r>
          </w:p>
        </w:tc>
        <w:tc>
          <w:tcPr>
            <w:tcW w:w="1500" w:type="pct"/>
            <w:tcBorders>
              <w:top w:val="nil"/>
              <w:left w:val="nil"/>
              <w:bottom w:val="nil"/>
              <w:right w:val="nil"/>
            </w:tcBorders>
            <w:shd w:val="clear" w:color="auto" w:fill="auto"/>
            <w:tcMar>
              <w:top w:w="65" w:type="dxa"/>
              <w:left w:w="70" w:type="dxa"/>
              <w:bottom w:w="65" w:type="dxa"/>
              <w:right w:w="70" w:type="dxa"/>
            </w:tcMar>
            <w:vAlign w:val="center"/>
          </w:tcPr>
          <w:p w14:paraId="26D99D35">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0.682 to 1.333</w:t>
            </w:r>
          </w:p>
        </w:tc>
        <w:tc>
          <w:tcPr>
            <w:tcW w:w="663" w:type="pct"/>
            <w:tcBorders>
              <w:top w:val="nil"/>
              <w:left w:val="nil"/>
              <w:bottom w:val="nil"/>
              <w:right w:val="nil"/>
            </w:tcBorders>
            <w:shd w:val="clear" w:color="auto" w:fill="auto"/>
            <w:tcMar>
              <w:top w:w="65" w:type="dxa"/>
              <w:left w:w="70" w:type="dxa"/>
              <w:bottom w:w="65" w:type="dxa"/>
              <w:right w:w="70" w:type="dxa"/>
            </w:tcMar>
            <w:vAlign w:val="center"/>
          </w:tcPr>
          <w:p w14:paraId="36432708">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r>
      <w:tr w14:paraId="1D0FAE87">
        <w:tblPrEx>
          <w:tblCellMar>
            <w:top w:w="0" w:type="dxa"/>
            <w:left w:w="108" w:type="dxa"/>
            <w:bottom w:w="0" w:type="dxa"/>
            <w:right w:w="108" w:type="dxa"/>
          </w:tblCellMar>
        </w:tblPrEx>
        <w:trPr>
          <w:cantSplit/>
          <w:trHeight w:val="397" w:hRule="atLeast"/>
        </w:trPr>
        <w:tc>
          <w:tcPr>
            <w:tcW w:w="928" w:type="pct"/>
            <w:tcBorders>
              <w:top w:val="nil"/>
              <w:left w:val="nil"/>
              <w:bottom w:val="nil"/>
              <w:right w:val="nil"/>
            </w:tcBorders>
            <w:shd w:val="clear" w:color="auto" w:fill="auto"/>
            <w:tcMar>
              <w:top w:w="65" w:type="dxa"/>
              <w:left w:w="70" w:type="dxa"/>
              <w:bottom w:w="65" w:type="dxa"/>
              <w:right w:w="70" w:type="dxa"/>
            </w:tcMar>
            <w:vAlign w:val="center"/>
          </w:tcPr>
          <w:p w14:paraId="11C6B470">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Binary logistic</w:t>
            </w:r>
          </w:p>
        </w:tc>
        <w:tc>
          <w:tcPr>
            <w:tcW w:w="1107" w:type="pct"/>
            <w:tcBorders>
              <w:top w:val="nil"/>
              <w:left w:val="nil"/>
              <w:bottom w:val="nil"/>
              <w:right w:val="nil"/>
            </w:tcBorders>
            <w:shd w:val="clear" w:color="auto" w:fill="auto"/>
            <w:tcMar>
              <w:top w:w="65" w:type="dxa"/>
              <w:left w:w="70" w:type="dxa"/>
              <w:bottom w:w="65" w:type="dxa"/>
              <w:right w:w="70" w:type="dxa"/>
            </w:tcMar>
            <w:vAlign w:val="center"/>
          </w:tcPr>
          <w:p w14:paraId="3BC0F2EC">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MNA-SF (per point)</w:t>
            </w:r>
          </w:p>
        </w:tc>
        <w:tc>
          <w:tcPr>
            <w:tcW w:w="800" w:type="pct"/>
            <w:tcBorders>
              <w:top w:val="nil"/>
              <w:left w:val="nil"/>
              <w:bottom w:val="nil"/>
              <w:right w:val="nil"/>
            </w:tcBorders>
            <w:shd w:val="clear" w:color="auto" w:fill="auto"/>
            <w:tcMar>
              <w:top w:w="65" w:type="dxa"/>
              <w:left w:w="70" w:type="dxa"/>
              <w:bottom w:w="65" w:type="dxa"/>
              <w:right w:w="70" w:type="dxa"/>
            </w:tcMar>
            <w:vAlign w:val="center"/>
          </w:tcPr>
          <w:p w14:paraId="56EC1504">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OR = 0.812</w:t>
            </w:r>
          </w:p>
        </w:tc>
        <w:tc>
          <w:tcPr>
            <w:tcW w:w="1500" w:type="pct"/>
            <w:tcBorders>
              <w:top w:val="nil"/>
              <w:left w:val="nil"/>
              <w:bottom w:val="nil"/>
              <w:right w:val="nil"/>
            </w:tcBorders>
            <w:shd w:val="clear" w:color="auto" w:fill="auto"/>
            <w:tcMar>
              <w:top w:w="65" w:type="dxa"/>
              <w:left w:w="70" w:type="dxa"/>
              <w:bottom w:w="65" w:type="dxa"/>
              <w:right w:w="70" w:type="dxa"/>
            </w:tcMar>
            <w:vAlign w:val="center"/>
          </w:tcPr>
          <w:p w14:paraId="175FB3E8">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0.679 to 0.971</w:t>
            </w:r>
          </w:p>
        </w:tc>
        <w:tc>
          <w:tcPr>
            <w:tcW w:w="663" w:type="pct"/>
            <w:tcBorders>
              <w:top w:val="nil"/>
              <w:left w:val="nil"/>
              <w:bottom w:val="nil"/>
              <w:right w:val="nil"/>
            </w:tcBorders>
            <w:shd w:val="clear" w:color="auto" w:fill="auto"/>
            <w:tcMar>
              <w:top w:w="65" w:type="dxa"/>
              <w:left w:w="70" w:type="dxa"/>
              <w:bottom w:w="65" w:type="dxa"/>
              <w:right w:w="70" w:type="dxa"/>
            </w:tcMar>
            <w:vAlign w:val="center"/>
          </w:tcPr>
          <w:p w14:paraId="427E8CCE">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0.022</w:t>
            </w:r>
          </w:p>
        </w:tc>
      </w:tr>
      <w:tr w14:paraId="0DF4B144">
        <w:tblPrEx>
          <w:tblCellMar>
            <w:top w:w="0" w:type="dxa"/>
            <w:left w:w="108" w:type="dxa"/>
            <w:bottom w:w="0" w:type="dxa"/>
            <w:right w:w="108" w:type="dxa"/>
          </w:tblCellMar>
        </w:tblPrEx>
        <w:trPr>
          <w:cantSplit/>
          <w:trHeight w:val="397" w:hRule="atLeast"/>
        </w:trPr>
        <w:tc>
          <w:tcPr>
            <w:tcW w:w="928"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7236D5FE">
            <w:pPr>
              <w:keepNext/>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Binary logistic</w:t>
            </w:r>
          </w:p>
        </w:tc>
        <w:tc>
          <w:tcPr>
            <w:tcW w:w="1107"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7786CB99">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SARC-F (per point)</w:t>
            </w:r>
          </w:p>
        </w:tc>
        <w:tc>
          <w:tcPr>
            <w:tcW w:w="80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49DEE516">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OR = 1.647</w:t>
            </w:r>
          </w:p>
        </w:tc>
        <w:tc>
          <w:tcPr>
            <w:tcW w:w="150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329C225">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1.344 to 2.018</w:t>
            </w:r>
          </w:p>
        </w:tc>
        <w:tc>
          <w:tcPr>
            <w:tcW w:w="663"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869ABA6">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&lt;0.001</w:t>
            </w:r>
          </w:p>
        </w:tc>
      </w:tr>
      <w:bookmarkEnd w:id="0"/>
    </w:tbl>
    <w:p w14:paraId="2DB53DA2">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t>All models were adjusted for sex, aCCI, hemoglobin, and dialysis duration. Ordinal logistic regression modeled FRAIL scores of 0–5, and binary logistic regression modeled frailty defined as FRAIL ≥3. B, regression coefficient; OR, odds ratio; SD, standard deviation; CI, confidence interval.</w:t>
      </w:r>
    </w:p>
    <w:p w14:paraId="50565374">
      <w:pPr>
        <w:rPr>
          <w:rFonts w:hint="default" w:ascii="Times New Roman" w:hAnsi="Times New Roman" w:cs="Times New Roman"/>
          <w:b/>
          <w:sz w:val="24"/>
          <w:szCs w:val="24"/>
        </w:rPr>
      </w:pPr>
      <w:r>
        <w:rPr>
          <w:rFonts w:hint="default" w:ascii="Times New Roman" w:hAnsi="Times New Roman" w:cs="Times New Roman"/>
          <w:b/>
          <w:sz w:val="24"/>
          <w:szCs w:val="24"/>
        </w:rPr>
        <w:br w:type="page"/>
      </w:r>
    </w:p>
    <w:p w14:paraId="2B004F67">
      <w:pPr>
        <w:keepNext/>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Table S5. Reverse mediation and alternative moderation analyses.</w:t>
      </w:r>
    </w:p>
    <w:tbl>
      <w:tblPr>
        <w:tblStyle w:val="32"/>
        <w:tblW w:w="4998" w:type="pct"/>
        <w:tblInd w:w="0" w:type="dxa"/>
        <w:shd w:val="clear" w:color="auto" w:fill="auto"/>
        <w:tblLayout w:type="autofit"/>
        <w:tblCellMar>
          <w:top w:w="0" w:type="dxa"/>
          <w:left w:w="108" w:type="dxa"/>
          <w:bottom w:w="0" w:type="dxa"/>
          <w:right w:w="108" w:type="dxa"/>
        </w:tblCellMar>
      </w:tblPr>
      <w:tblGrid>
        <w:gridCol w:w="4858"/>
        <w:gridCol w:w="1410"/>
        <w:gridCol w:w="950"/>
        <w:gridCol w:w="2278"/>
      </w:tblGrid>
      <w:tr w14:paraId="6171159E">
        <w:tblPrEx>
          <w:shd w:val="clear" w:color="auto" w:fill="auto"/>
          <w:tblCellMar>
            <w:top w:w="0" w:type="dxa"/>
            <w:left w:w="108" w:type="dxa"/>
            <w:bottom w:w="0" w:type="dxa"/>
            <w:right w:w="108" w:type="dxa"/>
          </w:tblCellMar>
        </w:tblPrEx>
        <w:trPr>
          <w:cantSplit/>
          <w:tblHeader/>
        </w:trPr>
        <w:tc>
          <w:tcPr>
            <w:tcW w:w="2557" w:type="pct"/>
            <w:tcBorders>
              <w:top w:val="single" w:color="000000" w:sz="12" w:space="0"/>
              <w:left w:val="nil"/>
              <w:bottom w:val="single" w:color="000000" w:sz="4" w:space="0"/>
              <w:right w:val="nil"/>
              <w:tl2br w:val="nil"/>
            </w:tcBorders>
            <w:shd w:val="clear" w:color="auto" w:fill="auto"/>
            <w:tcMar>
              <w:top w:w="65" w:type="dxa"/>
              <w:left w:w="70" w:type="dxa"/>
              <w:bottom w:w="65" w:type="dxa"/>
              <w:right w:w="70" w:type="dxa"/>
            </w:tcMar>
            <w:vAlign w:val="center"/>
          </w:tcPr>
          <w:p w14:paraId="097D7E78">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Analysis</w:t>
            </w:r>
          </w:p>
        </w:tc>
        <w:tc>
          <w:tcPr>
            <w:tcW w:w="742"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03409B1B">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Parameter</w:t>
            </w:r>
          </w:p>
        </w:tc>
        <w:tc>
          <w:tcPr>
            <w:tcW w:w="500"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56238341">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Estimate</w:t>
            </w:r>
          </w:p>
        </w:tc>
        <w:tc>
          <w:tcPr>
            <w:tcW w:w="1199" w:type="pct"/>
            <w:tcBorders>
              <w:top w:val="single" w:color="000000" w:sz="12" w:space="0"/>
              <w:left w:val="nil"/>
              <w:bottom w:val="single" w:color="000000" w:sz="4" w:space="0"/>
              <w:right w:val="nil"/>
            </w:tcBorders>
            <w:shd w:val="clear" w:color="auto" w:fill="auto"/>
            <w:tcMar>
              <w:top w:w="65" w:type="dxa"/>
              <w:left w:w="70" w:type="dxa"/>
              <w:bottom w:w="65" w:type="dxa"/>
              <w:right w:w="70" w:type="dxa"/>
            </w:tcMar>
            <w:vAlign w:val="center"/>
          </w:tcPr>
          <w:p w14:paraId="1642F7BC">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95% CI or P value</w:t>
            </w:r>
          </w:p>
        </w:tc>
      </w:tr>
      <w:tr w14:paraId="38994F2F">
        <w:tblPrEx>
          <w:shd w:val="clear" w:color="auto" w:fill="auto"/>
          <w:tblCellMar>
            <w:top w:w="0" w:type="dxa"/>
            <w:left w:w="108" w:type="dxa"/>
            <w:bottom w:w="0" w:type="dxa"/>
            <w:right w:w="108" w:type="dxa"/>
          </w:tblCellMar>
        </w:tblPrEx>
        <w:trPr>
          <w:cantSplit/>
        </w:trPr>
        <w:tc>
          <w:tcPr>
            <w:tcW w:w="2557"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10A444B5">
            <w:pPr>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Reverse mediation:</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SARC-F → MNA-SF → FRAIL</w:t>
            </w:r>
          </w:p>
        </w:tc>
        <w:tc>
          <w:tcPr>
            <w:tcW w:w="742"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66FE745F">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Indirect</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effect</w:t>
            </w:r>
          </w:p>
        </w:tc>
        <w:tc>
          <w:tcPr>
            <w:tcW w:w="500"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5E1B2F63">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0.081</w:t>
            </w:r>
          </w:p>
        </w:tc>
        <w:tc>
          <w:tcPr>
            <w:tcW w:w="1199" w:type="pct"/>
            <w:tcBorders>
              <w:top w:val="single" w:color="000000" w:sz="4" w:space="0"/>
              <w:left w:val="nil"/>
              <w:bottom w:val="nil"/>
              <w:right w:val="nil"/>
            </w:tcBorders>
            <w:shd w:val="clear" w:color="auto" w:fill="auto"/>
            <w:tcMar>
              <w:top w:w="65" w:type="dxa"/>
              <w:left w:w="70" w:type="dxa"/>
              <w:bottom w:w="65" w:type="dxa"/>
              <w:right w:w="70" w:type="dxa"/>
            </w:tcMar>
            <w:vAlign w:val="center"/>
          </w:tcPr>
          <w:p w14:paraId="4E9C16EE">
            <w:pPr>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0.015 to 0.106</w:t>
            </w:r>
          </w:p>
        </w:tc>
      </w:tr>
      <w:tr w14:paraId="7D97A00C">
        <w:tblPrEx>
          <w:shd w:val="clear" w:color="auto" w:fill="auto"/>
          <w:tblCellMar>
            <w:top w:w="0" w:type="dxa"/>
            <w:left w:w="108" w:type="dxa"/>
            <w:bottom w:w="0" w:type="dxa"/>
            <w:right w:w="108" w:type="dxa"/>
          </w:tblCellMar>
        </w:tblPrEx>
        <w:trPr>
          <w:cantSplit/>
        </w:trPr>
        <w:tc>
          <w:tcPr>
            <w:tcW w:w="2557"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045C84DB">
            <w:pPr>
              <w:keepNext/>
              <w:keepLines w:val="0"/>
              <w:widowControl/>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Second-stage moderation:</w:t>
            </w:r>
            <w:r>
              <w:rPr>
                <w:rFonts w:hint="default" w:ascii="Times New Roman" w:hAnsi="Times New Roman" w:cs="Times New Roman"/>
                <w:b w:val="0"/>
                <w:color w:val="000000"/>
                <w:sz w:val="18"/>
                <w:szCs w:val="18"/>
              </w:rPr>
              <w:br w:type="textWrapping"/>
            </w:r>
            <w:r>
              <w:rPr>
                <w:rFonts w:hint="default" w:ascii="Times New Roman" w:hAnsi="Times New Roman" w:cs="Times New Roman"/>
                <w:b w:val="0"/>
                <w:color w:val="000000"/>
                <w:sz w:val="18"/>
                <w:szCs w:val="18"/>
              </w:rPr>
              <w:t>SARC-F × aCCI → FRAIL</w:t>
            </w:r>
          </w:p>
        </w:tc>
        <w:tc>
          <w:tcPr>
            <w:tcW w:w="742"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2C45175">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Interaction</w:t>
            </w:r>
          </w:p>
        </w:tc>
        <w:tc>
          <w:tcPr>
            <w:tcW w:w="500"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3F86E361">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-0.003</w:t>
            </w:r>
          </w:p>
        </w:tc>
        <w:tc>
          <w:tcPr>
            <w:tcW w:w="1199" w:type="pct"/>
            <w:tcBorders>
              <w:top w:val="nil"/>
              <w:left w:val="nil"/>
              <w:bottom w:val="single" w:color="000000" w:sz="12" w:space="0"/>
              <w:right w:val="nil"/>
            </w:tcBorders>
            <w:shd w:val="clear" w:color="auto" w:fill="auto"/>
            <w:tcMar>
              <w:top w:w="65" w:type="dxa"/>
              <w:left w:w="70" w:type="dxa"/>
              <w:bottom w:w="65" w:type="dxa"/>
              <w:right w:w="70" w:type="dxa"/>
            </w:tcMar>
            <w:vAlign w:val="center"/>
          </w:tcPr>
          <w:p w14:paraId="54D11E93">
            <w:pPr>
              <w:keepNext/>
              <w:keepLines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color w:val="000000"/>
                <w:sz w:val="18"/>
                <w:szCs w:val="18"/>
              </w:rPr>
              <w:t>P = 0.775</w:t>
            </w:r>
          </w:p>
        </w:tc>
      </w:tr>
    </w:tbl>
    <w:p w14:paraId="0923A826">
      <w:pPr>
        <w:keepLines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t>The reverse mediation model was adjusted for sex, aCCI, hemoglobin, and dialysis duration; the indirect-effect confidence interval was estimated using 5000 bootstrap resamples. The second-stage moderation model examined the SARC-F × aCCI interaction in relation to FRAIL, adjusting for MNA-SF, sex, aCCI, hemoglobin, and dialysis duration. CI, confidence interval.</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B7547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259" w:lineRule="auto"/>
    </w:pPr>
    <w:rPr>
      <w:rFonts w:ascii="Arial" w:hAnsi="Arial" w:eastAsiaTheme="minorEastAsia" w:cstheme="minorBidi"/>
      <w:color w:val="000000"/>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after="160" w:line="240" w:lineRule="auto"/>
      <w:contextualSpacing/>
    </w:pPr>
    <w:rPr>
      <w:rFonts w:asciiTheme="majorHAnsi" w:hAnsiTheme="majorHAnsi" w:eastAsiaTheme="majorEastAsia" w:cstheme="majorBidi"/>
      <w:color w:val="000000"/>
      <w:spacing w:val="5"/>
      <w:kern w:val="28"/>
      <w:sz w:val="30"/>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275</Words>
  <Characters>1654</Characters>
  <Lines>0</Lines>
  <Paragraphs>0</Paragraphs>
  <TotalTime>6</TotalTime>
  <ScaleCrop>false</ScaleCrop>
  <LinksUpToDate>false</LinksUpToDate>
  <CharactersWithSpaces>1812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长大</dc:creator>
  <cp:lastModifiedBy>长大</cp:lastModifiedBy>
  <dcterms:modified xsi:type="dcterms:W3CDTF">2026-10-12T15:03:13Z</dcterms:modified>
  <dc:title>MHD study supplementary tables in English</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eyJoZGlkIjoiY2I2ZDc4MmM4MDIyNzMyZGIyMTlkNmQwZTkwYjVkMDciLCJ1c2VySWQiOiIyNTAyODI3NzEifQ==</vt:lpwstr>
  </property>
  <property fmtid="{D5CDD505-2E9C-101B-9397-08002B2CF9AE}" pid="3" name="KSOProductBuildVer">
    <vt:lpwstr>2052-12.1.0.29161</vt:lpwstr>
  </property>
  <property fmtid="{D5CDD505-2E9C-101B-9397-08002B2CF9AE}" pid="4" name="ICV">
    <vt:lpwstr>C92E758BA9454D39993A5F175EE23C5B_12</vt:lpwstr>
  </property>
</Properties>
</file>