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9A9ADC" w14:textId="77777777" w:rsidR="002A4E80" w:rsidRPr="00A909C2" w:rsidRDefault="002A4E80" w:rsidP="002A4E80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4.5</w:t>
      </w:r>
    </w:p>
    <w:p w14:paraId="1833DB37" w14:textId="77777777" w:rsidR="002A4E80" w:rsidRPr="00A909C2" w:rsidRDefault="002A4E80" w:rsidP="002A4E80">
      <w:pPr>
        <w:rPr>
          <w:rFonts w:ascii="Arial" w:hAnsi="Arial" w:cs="Arial"/>
          <w:b/>
          <w:bCs/>
          <w:color w:val="000000" w:themeColor="text1"/>
        </w:rPr>
      </w:pPr>
    </w:p>
    <w:p w14:paraId="186D9909" w14:textId="77777777" w:rsidR="002A4E80" w:rsidRPr="00A909C2" w:rsidRDefault="002A4E80" w:rsidP="002A4E80">
      <w:pPr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Extent of Intersectional Barriers Experienced by Women Innovators</w:t>
      </w:r>
    </w:p>
    <w:p w14:paraId="3F94AFC2" w14:textId="77777777" w:rsidR="002A4E80" w:rsidRPr="00A909C2" w:rsidRDefault="002A4E80" w:rsidP="002A4E80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W w:w="5000" w:type="pct"/>
        <w:tblInd w:w="-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8"/>
        <w:gridCol w:w="754"/>
        <w:gridCol w:w="990"/>
        <w:gridCol w:w="990"/>
        <w:gridCol w:w="1488"/>
      </w:tblGrid>
      <w:tr w:rsidR="002A4E80" w:rsidRPr="00A909C2" w14:paraId="376BCAAC" w14:textId="77777777" w:rsidTr="00D85AC6">
        <w:tc>
          <w:tcPr>
            <w:tcW w:w="2744" w:type="pct"/>
            <w:hideMark/>
          </w:tcPr>
          <w:p w14:paraId="462775E0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Barrier domain</w:t>
            </w:r>
          </w:p>
        </w:tc>
        <w:tc>
          <w:tcPr>
            <w:tcW w:w="403" w:type="pct"/>
            <w:hideMark/>
          </w:tcPr>
          <w:p w14:paraId="72E1E864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</w:rPr>
                  <m:t>n</m:t>
                </m:r>
              </m:oMath>
            </m:oMathPara>
          </w:p>
        </w:tc>
        <w:tc>
          <w:tcPr>
            <w:tcW w:w="529" w:type="pct"/>
            <w:hideMark/>
          </w:tcPr>
          <w:p w14:paraId="5F9D323F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</w:t>
            </w:r>
          </w:p>
        </w:tc>
        <w:tc>
          <w:tcPr>
            <w:tcW w:w="529" w:type="pct"/>
            <w:hideMark/>
          </w:tcPr>
          <w:p w14:paraId="2C9D86B6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SD</w:t>
            </w:r>
          </w:p>
        </w:tc>
        <w:tc>
          <w:tcPr>
            <w:tcW w:w="795" w:type="pct"/>
          </w:tcPr>
          <w:p w14:paraId="3245B635" w14:textId="77777777" w:rsidR="002A4E80" w:rsidRPr="00A909C2" w:rsidRDefault="002A4E80" w:rsidP="00D85AC6">
            <w:pPr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Extent</w:t>
            </w:r>
          </w:p>
        </w:tc>
      </w:tr>
      <w:tr w:rsidR="002A4E80" w:rsidRPr="00A909C2" w14:paraId="4CC2052D" w14:textId="77777777" w:rsidTr="00D85AC6">
        <w:tc>
          <w:tcPr>
            <w:tcW w:w="2744" w:type="pct"/>
            <w:hideMark/>
          </w:tcPr>
          <w:p w14:paraId="3D4B03E6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Technology and machinery barriers</w:t>
            </w:r>
          </w:p>
        </w:tc>
        <w:tc>
          <w:tcPr>
            <w:tcW w:w="403" w:type="pct"/>
            <w:hideMark/>
          </w:tcPr>
          <w:p w14:paraId="01E1591D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217</w:t>
            </w:r>
          </w:p>
        </w:tc>
        <w:tc>
          <w:tcPr>
            <w:tcW w:w="529" w:type="pct"/>
            <w:hideMark/>
          </w:tcPr>
          <w:p w14:paraId="3D2456BF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3.250</w:t>
            </w:r>
          </w:p>
        </w:tc>
        <w:tc>
          <w:tcPr>
            <w:tcW w:w="529" w:type="pct"/>
            <w:hideMark/>
          </w:tcPr>
          <w:p w14:paraId="3620B37C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0.453</w:t>
            </w:r>
          </w:p>
        </w:tc>
        <w:tc>
          <w:tcPr>
            <w:tcW w:w="795" w:type="pct"/>
          </w:tcPr>
          <w:p w14:paraId="1F925B37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2A4E80" w:rsidRPr="00A909C2" w14:paraId="0E086D68" w14:textId="77777777" w:rsidTr="00D85AC6">
        <w:tc>
          <w:tcPr>
            <w:tcW w:w="2744" w:type="pct"/>
            <w:hideMark/>
          </w:tcPr>
          <w:p w14:paraId="4A4D7207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Time poverty and unpaid care work</w:t>
            </w:r>
          </w:p>
        </w:tc>
        <w:tc>
          <w:tcPr>
            <w:tcW w:w="403" w:type="pct"/>
            <w:hideMark/>
          </w:tcPr>
          <w:p w14:paraId="181C58DA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216</w:t>
            </w:r>
          </w:p>
        </w:tc>
        <w:tc>
          <w:tcPr>
            <w:tcW w:w="529" w:type="pct"/>
            <w:hideMark/>
          </w:tcPr>
          <w:p w14:paraId="128962AA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3.217</w:t>
            </w:r>
          </w:p>
        </w:tc>
        <w:tc>
          <w:tcPr>
            <w:tcW w:w="529" w:type="pct"/>
            <w:hideMark/>
          </w:tcPr>
          <w:p w14:paraId="3B9AC177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0.714</w:t>
            </w:r>
          </w:p>
        </w:tc>
        <w:tc>
          <w:tcPr>
            <w:tcW w:w="795" w:type="pct"/>
          </w:tcPr>
          <w:p w14:paraId="3AFCC46D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2A4E80" w:rsidRPr="00A909C2" w14:paraId="366792BA" w14:textId="77777777" w:rsidTr="00D85AC6">
        <w:tc>
          <w:tcPr>
            <w:tcW w:w="2744" w:type="pct"/>
            <w:hideMark/>
          </w:tcPr>
          <w:p w14:paraId="7459E028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Financial and land-access barriers</w:t>
            </w:r>
          </w:p>
        </w:tc>
        <w:tc>
          <w:tcPr>
            <w:tcW w:w="403" w:type="pct"/>
            <w:hideMark/>
          </w:tcPr>
          <w:p w14:paraId="36F95345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218</w:t>
            </w:r>
          </w:p>
        </w:tc>
        <w:tc>
          <w:tcPr>
            <w:tcW w:w="529" w:type="pct"/>
            <w:hideMark/>
          </w:tcPr>
          <w:p w14:paraId="15FC57C2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3.201</w:t>
            </w:r>
          </w:p>
        </w:tc>
        <w:tc>
          <w:tcPr>
            <w:tcW w:w="529" w:type="pct"/>
            <w:hideMark/>
          </w:tcPr>
          <w:p w14:paraId="0CBF7137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0.766</w:t>
            </w:r>
          </w:p>
        </w:tc>
        <w:tc>
          <w:tcPr>
            <w:tcW w:w="795" w:type="pct"/>
          </w:tcPr>
          <w:p w14:paraId="27670640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2A4E80" w:rsidRPr="00A909C2" w14:paraId="53C76801" w14:textId="77777777" w:rsidTr="00D85AC6">
        <w:tc>
          <w:tcPr>
            <w:tcW w:w="2744" w:type="pct"/>
            <w:hideMark/>
          </w:tcPr>
          <w:p w14:paraId="3E74BC5E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and institutional barriers</w:t>
            </w:r>
          </w:p>
        </w:tc>
        <w:tc>
          <w:tcPr>
            <w:tcW w:w="403" w:type="pct"/>
            <w:hideMark/>
          </w:tcPr>
          <w:p w14:paraId="1F6B30FA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217</w:t>
            </w:r>
          </w:p>
        </w:tc>
        <w:tc>
          <w:tcPr>
            <w:tcW w:w="529" w:type="pct"/>
            <w:hideMark/>
          </w:tcPr>
          <w:p w14:paraId="6E429D97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3.008</w:t>
            </w:r>
          </w:p>
        </w:tc>
        <w:tc>
          <w:tcPr>
            <w:tcW w:w="529" w:type="pct"/>
            <w:hideMark/>
          </w:tcPr>
          <w:p w14:paraId="0CA4A198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0.527</w:t>
            </w:r>
          </w:p>
        </w:tc>
        <w:tc>
          <w:tcPr>
            <w:tcW w:w="795" w:type="pct"/>
          </w:tcPr>
          <w:p w14:paraId="22D801BD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2A4E80" w:rsidRPr="00A909C2" w14:paraId="6E953A76" w14:textId="77777777" w:rsidTr="00D85AC6">
        <w:tc>
          <w:tcPr>
            <w:tcW w:w="2744" w:type="pct"/>
            <w:hideMark/>
          </w:tcPr>
          <w:p w14:paraId="23EDDEFC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Regional and sociocultural barriers</w:t>
            </w:r>
          </w:p>
        </w:tc>
        <w:tc>
          <w:tcPr>
            <w:tcW w:w="403" w:type="pct"/>
            <w:hideMark/>
          </w:tcPr>
          <w:p w14:paraId="77901D3F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216</w:t>
            </w:r>
          </w:p>
        </w:tc>
        <w:tc>
          <w:tcPr>
            <w:tcW w:w="529" w:type="pct"/>
            <w:hideMark/>
          </w:tcPr>
          <w:p w14:paraId="6EBEE076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2.901</w:t>
            </w:r>
          </w:p>
        </w:tc>
        <w:tc>
          <w:tcPr>
            <w:tcW w:w="529" w:type="pct"/>
            <w:hideMark/>
          </w:tcPr>
          <w:p w14:paraId="2BB60255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0.607</w:t>
            </w:r>
          </w:p>
        </w:tc>
        <w:tc>
          <w:tcPr>
            <w:tcW w:w="795" w:type="pct"/>
          </w:tcPr>
          <w:p w14:paraId="00844D47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2A4E80" w:rsidRPr="00A909C2" w14:paraId="0A4F89C6" w14:textId="77777777" w:rsidTr="00D85AC6">
        <w:tc>
          <w:tcPr>
            <w:tcW w:w="2744" w:type="pct"/>
            <w:hideMark/>
          </w:tcPr>
          <w:p w14:paraId="6DF0BE5F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Gender stereotypes and cultural norms</w:t>
            </w:r>
          </w:p>
        </w:tc>
        <w:tc>
          <w:tcPr>
            <w:tcW w:w="403" w:type="pct"/>
            <w:hideMark/>
          </w:tcPr>
          <w:p w14:paraId="47C43155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218</w:t>
            </w:r>
          </w:p>
        </w:tc>
        <w:tc>
          <w:tcPr>
            <w:tcW w:w="529" w:type="pct"/>
            <w:hideMark/>
          </w:tcPr>
          <w:p w14:paraId="4CA5563B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2.785</w:t>
            </w:r>
          </w:p>
        </w:tc>
        <w:tc>
          <w:tcPr>
            <w:tcW w:w="529" w:type="pct"/>
            <w:hideMark/>
          </w:tcPr>
          <w:p w14:paraId="7DE9F2CA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0.599</w:t>
            </w:r>
          </w:p>
        </w:tc>
        <w:tc>
          <w:tcPr>
            <w:tcW w:w="795" w:type="pct"/>
          </w:tcPr>
          <w:p w14:paraId="13143C07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2A4E80" w:rsidRPr="00A909C2" w14:paraId="1D891FF9" w14:textId="77777777" w:rsidTr="00D85AC6">
        <w:tc>
          <w:tcPr>
            <w:tcW w:w="2744" w:type="pct"/>
            <w:hideMark/>
          </w:tcPr>
          <w:p w14:paraId="2865315F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Intersectional identity barriers</w:t>
            </w:r>
          </w:p>
        </w:tc>
        <w:tc>
          <w:tcPr>
            <w:tcW w:w="403" w:type="pct"/>
            <w:hideMark/>
          </w:tcPr>
          <w:p w14:paraId="4D23C514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214</w:t>
            </w:r>
          </w:p>
        </w:tc>
        <w:tc>
          <w:tcPr>
            <w:tcW w:w="529" w:type="pct"/>
            <w:hideMark/>
          </w:tcPr>
          <w:p w14:paraId="704C799D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2.722</w:t>
            </w:r>
          </w:p>
        </w:tc>
        <w:tc>
          <w:tcPr>
            <w:tcW w:w="529" w:type="pct"/>
            <w:hideMark/>
          </w:tcPr>
          <w:p w14:paraId="40E264B6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0.498</w:t>
            </w:r>
          </w:p>
        </w:tc>
        <w:tc>
          <w:tcPr>
            <w:tcW w:w="795" w:type="pct"/>
          </w:tcPr>
          <w:p w14:paraId="483E6A84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Moderate</w:t>
            </w:r>
          </w:p>
        </w:tc>
      </w:tr>
      <w:tr w:rsidR="002A4E80" w:rsidRPr="00A909C2" w14:paraId="40E79915" w14:textId="77777777" w:rsidTr="00D85AC6">
        <w:tc>
          <w:tcPr>
            <w:tcW w:w="2744" w:type="pct"/>
            <w:hideMark/>
          </w:tcPr>
          <w:p w14:paraId="309C5B04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 overall support environment</w:t>
            </w:r>
          </w:p>
        </w:tc>
        <w:tc>
          <w:tcPr>
            <w:tcW w:w="403" w:type="pct"/>
            <w:hideMark/>
          </w:tcPr>
          <w:p w14:paraId="795C6DD5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211</w:t>
            </w:r>
          </w:p>
        </w:tc>
        <w:tc>
          <w:tcPr>
            <w:tcW w:w="529" w:type="pct"/>
            <w:hideMark/>
          </w:tcPr>
          <w:p w14:paraId="69EE8C39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2.430</w:t>
            </w:r>
          </w:p>
        </w:tc>
        <w:tc>
          <w:tcPr>
            <w:tcW w:w="529" w:type="pct"/>
            <w:hideMark/>
          </w:tcPr>
          <w:p w14:paraId="7F864CAE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0.518</w:t>
            </w:r>
          </w:p>
        </w:tc>
        <w:tc>
          <w:tcPr>
            <w:tcW w:w="795" w:type="pct"/>
          </w:tcPr>
          <w:p w14:paraId="5E38B794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</w:t>
            </w:r>
          </w:p>
        </w:tc>
      </w:tr>
      <w:tr w:rsidR="002A4E80" w:rsidRPr="00A909C2" w14:paraId="3764E7B8" w14:textId="77777777" w:rsidTr="00D85AC6">
        <w:tc>
          <w:tcPr>
            <w:tcW w:w="2744" w:type="pct"/>
            <w:hideMark/>
          </w:tcPr>
          <w:p w14:paraId="0FE89F30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 social and institutional support</w:t>
            </w:r>
          </w:p>
        </w:tc>
        <w:tc>
          <w:tcPr>
            <w:tcW w:w="403" w:type="pct"/>
            <w:hideMark/>
          </w:tcPr>
          <w:p w14:paraId="6A2F9EC5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217</w:t>
            </w:r>
          </w:p>
        </w:tc>
        <w:tc>
          <w:tcPr>
            <w:tcW w:w="529" w:type="pct"/>
            <w:hideMark/>
          </w:tcPr>
          <w:p w14:paraId="3FEADD75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2.223</w:t>
            </w:r>
          </w:p>
        </w:tc>
        <w:tc>
          <w:tcPr>
            <w:tcW w:w="529" w:type="pct"/>
            <w:hideMark/>
          </w:tcPr>
          <w:p w14:paraId="303EAEF1" w14:textId="77777777" w:rsidR="002A4E80" w:rsidRPr="00A909C2" w:rsidRDefault="002A4E80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0.517</w:t>
            </w:r>
          </w:p>
        </w:tc>
        <w:tc>
          <w:tcPr>
            <w:tcW w:w="795" w:type="pct"/>
          </w:tcPr>
          <w:p w14:paraId="6FCA1A6E" w14:textId="77777777" w:rsidR="002A4E80" w:rsidRPr="00A909C2" w:rsidRDefault="002A4E80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Low</w:t>
            </w:r>
          </w:p>
        </w:tc>
      </w:tr>
    </w:tbl>
    <w:p w14:paraId="351A5E21" w14:textId="77777777" w:rsidR="002A4E80" w:rsidRPr="00A909C2" w:rsidRDefault="002A4E80" w:rsidP="002A4E80">
      <w:pPr>
        <w:rPr>
          <w:rFonts w:ascii="Arial" w:hAnsi="Arial" w:cs="Arial"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Note.</w:t>
      </w:r>
      <w:r w:rsidRPr="00A909C2">
        <w:rPr>
          <w:rFonts w:ascii="Arial" w:hAnsi="Arial" w:cs="Arial"/>
          <w:color w:val="000000" w:themeColor="text1"/>
        </w:rPr>
        <w:t xml:space="preserve"> Higher means indicate greater barriers or lower support. Positively worded support and resource items were reverse-scored when included in barrier-oriented composite scores.</w:t>
      </w:r>
    </w:p>
    <w:p w14:paraId="1BD538F7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E80"/>
    <w:rsid w:val="00034DA8"/>
    <w:rsid w:val="002A4E80"/>
    <w:rsid w:val="00340FD6"/>
    <w:rsid w:val="009D2238"/>
    <w:rsid w:val="00F7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216F5A"/>
  <w15:chartTrackingRefBased/>
  <w15:docId w15:val="{C6B7277F-1E9A-BE46-99A8-DA14241D1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E8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4E8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E8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E8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E8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E8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E8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E8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E8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E8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E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E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E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E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E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E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E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E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E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E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4E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E8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4E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E8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4E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E8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4E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E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E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E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4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2026-10-14T07:08:00Z</dcterms:created>
  <dcterms:modified xsi:type="dcterms:W3CDTF">2026-10-14T07:09:00Z</dcterms:modified>
</cp:coreProperties>
</file>