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80F9A4" w14:textId="77777777" w:rsidR="0076098A" w:rsidRPr="00A909C2" w:rsidRDefault="0076098A" w:rsidP="0076098A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4.9</w:t>
      </w:r>
    </w:p>
    <w:p w14:paraId="69F5E2A4" w14:textId="77777777" w:rsidR="0076098A" w:rsidRPr="00A909C2" w:rsidRDefault="0076098A" w:rsidP="0076098A">
      <w:pPr>
        <w:rPr>
          <w:rFonts w:ascii="Arial" w:hAnsi="Arial" w:cs="Arial"/>
          <w:b/>
          <w:bCs/>
          <w:color w:val="000000" w:themeColor="text1"/>
        </w:rPr>
      </w:pPr>
    </w:p>
    <w:p w14:paraId="19049428" w14:textId="77777777" w:rsidR="0076098A" w:rsidRPr="00A909C2" w:rsidRDefault="0076098A" w:rsidP="0076098A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Multiple Regression Analysis Predicting Innovation Productivity</w:t>
      </w:r>
    </w:p>
    <w:tbl>
      <w:tblPr>
        <w:tblStyle w:val="TableGrid"/>
        <w:tblpPr w:leftFromText="180" w:rightFromText="180" w:vertAnchor="text" w:horzAnchor="margin" w:tblpY="212"/>
        <w:tblW w:w="917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957"/>
        <w:gridCol w:w="817"/>
        <w:gridCol w:w="824"/>
        <w:gridCol w:w="957"/>
        <w:gridCol w:w="824"/>
        <w:gridCol w:w="1593"/>
      </w:tblGrid>
      <w:tr w:rsidR="0076098A" w:rsidRPr="00A909C2" w14:paraId="3309D059" w14:textId="77777777" w:rsidTr="00D85AC6">
        <w:tc>
          <w:tcPr>
            <w:tcW w:w="0" w:type="auto"/>
            <w:hideMark/>
          </w:tcPr>
          <w:p w14:paraId="5FB48F8E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Predictor</w:t>
            </w:r>
          </w:p>
        </w:tc>
        <w:tc>
          <w:tcPr>
            <w:tcW w:w="0" w:type="auto"/>
            <w:hideMark/>
          </w:tcPr>
          <w:p w14:paraId="2CF4304D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</w:t>
            </w:r>
          </w:p>
        </w:tc>
        <w:tc>
          <w:tcPr>
            <w:tcW w:w="0" w:type="auto"/>
            <w:hideMark/>
          </w:tcPr>
          <w:p w14:paraId="2EEDBB29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SE</w:t>
            </w:r>
          </w:p>
        </w:tc>
        <w:tc>
          <w:tcPr>
            <w:tcW w:w="0" w:type="auto"/>
            <w:hideMark/>
          </w:tcPr>
          <w:p w14:paraId="7131EEC8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β</w:t>
            </w:r>
          </w:p>
        </w:tc>
        <w:tc>
          <w:tcPr>
            <w:tcW w:w="0" w:type="auto"/>
            <w:hideMark/>
          </w:tcPr>
          <w:p w14:paraId="23A25529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t</w:t>
            </w:r>
          </w:p>
        </w:tc>
        <w:tc>
          <w:tcPr>
            <w:tcW w:w="0" w:type="auto"/>
            <w:hideMark/>
          </w:tcPr>
          <w:p w14:paraId="25A9CBF4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0" w:type="auto"/>
            <w:hideMark/>
          </w:tcPr>
          <w:p w14:paraId="7E02231B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 xml:space="preserve">95% CI for </w:t>
            </w: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</w:t>
            </w:r>
          </w:p>
        </w:tc>
      </w:tr>
      <w:tr w:rsidR="0076098A" w:rsidRPr="00A909C2" w14:paraId="2BDAFEAD" w14:textId="77777777" w:rsidTr="00D85AC6">
        <w:tc>
          <w:tcPr>
            <w:tcW w:w="0" w:type="auto"/>
            <w:hideMark/>
          </w:tcPr>
          <w:p w14:paraId="1A8AC4D2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0" w:type="auto"/>
            <w:hideMark/>
          </w:tcPr>
          <w:p w14:paraId="58AD61A3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4.693</w:t>
            </w:r>
          </w:p>
        </w:tc>
        <w:tc>
          <w:tcPr>
            <w:tcW w:w="0" w:type="auto"/>
            <w:hideMark/>
          </w:tcPr>
          <w:p w14:paraId="0E8790A5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0.333</w:t>
            </w:r>
          </w:p>
        </w:tc>
        <w:tc>
          <w:tcPr>
            <w:tcW w:w="0" w:type="auto"/>
            <w:hideMark/>
          </w:tcPr>
          <w:p w14:paraId="01C4C909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—</w:t>
            </w:r>
          </w:p>
        </w:tc>
        <w:tc>
          <w:tcPr>
            <w:tcW w:w="0" w:type="auto"/>
            <w:hideMark/>
          </w:tcPr>
          <w:p w14:paraId="75610F7F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14.112</w:t>
            </w:r>
          </w:p>
        </w:tc>
        <w:tc>
          <w:tcPr>
            <w:tcW w:w="0" w:type="auto"/>
            <w:hideMark/>
          </w:tcPr>
          <w:p w14:paraId="279C61F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&lt;.001</w:t>
            </w:r>
          </w:p>
        </w:tc>
        <w:tc>
          <w:tcPr>
            <w:tcW w:w="0" w:type="auto"/>
            <w:hideMark/>
          </w:tcPr>
          <w:p w14:paraId="35662D0C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[4.037, 5.349]</w:t>
            </w:r>
          </w:p>
        </w:tc>
      </w:tr>
      <w:tr w:rsidR="0076098A" w:rsidRPr="00A909C2" w14:paraId="054902EB" w14:textId="77777777" w:rsidTr="00D85AC6">
        <w:tc>
          <w:tcPr>
            <w:tcW w:w="0" w:type="auto"/>
            <w:hideMark/>
          </w:tcPr>
          <w:p w14:paraId="0B68FA1C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and institutional barriers</w:t>
            </w:r>
          </w:p>
        </w:tc>
        <w:tc>
          <w:tcPr>
            <w:tcW w:w="0" w:type="auto"/>
            <w:hideMark/>
          </w:tcPr>
          <w:p w14:paraId="554FADAE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−0.003</w:t>
            </w:r>
          </w:p>
        </w:tc>
        <w:tc>
          <w:tcPr>
            <w:tcW w:w="0" w:type="auto"/>
            <w:hideMark/>
          </w:tcPr>
          <w:p w14:paraId="6CC6DE2D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0.083</w:t>
            </w:r>
          </w:p>
        </w:tc>
        <w:tc>
          <w:tcPr>
            <w:tcW w:w="0" w:type="auto"/>
            <w:hideMark/>
          </w:tcPr>
          <w:p w14:paraId="244648C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−.002</w:t>
            </w:r>
          </w:p>
        </w:tc>
        <w:tc>
          <w:tcPr>
            <w:tcW w:w="0" w:type="auto"/>
            <w:hideMark/>
          </w:tcPr>
          <w:p w14:paraId="3761D6E0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−0.031</w:t>
            </w:r>
          </w:p>
        </w:tc>
        <w:tc>
          <w:tcPr>
            <w:tcW w:w="0" w:type="auto"/>
            <w:hideMark/>
          </w:tcPr>
          <w:p w14:paraId="3F7D2325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.975</w:t>
            </w:r>
          </w:p>
        </w:tc>
        <w:tc>
          <w:tcPr>
            <w:tcW w:w="0" w:type="auto"/>
            <w:hideMark/>
          </w:tcPr>
          <w:p w14:paraId="3EBA1F2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[−0.166, 0.160]</w:t>
            </w:r>
          </w:p>
        </w:tc>
      </w:tr>
      <w:tr w:rsidR="0076098A" w:rsidRPr="00A909C2" w14:paraId="17813DE7" w14:textId="77777777" w:rsidTr="00D85AC6">
        <w:tc>
          <w:tcPr>
            <w:tcW w:w="0" w:type="auto"/>
            <w:hideMark/>
          </w:tcPr>
          <w:p w14:paraId="5D01A140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Regional and sociocultural barriers</w:t>
            </w:r>
          </w:p>
        </w:tc>
        <w:tc>
          <w:tcPr>
            <w:tcW w:w="0" w:type="auto"/>
            <w:hideMark/>
          </w:tcPr>
          <w:p w14:paraId="2293F0B7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0.172</w:t>
            </w:r>
          </w:p>
        </w:tc>
        <w:tc>
          <w:tcPr>
            <w:tcW w:w="0" w:type="auto"/>
            <w:hideMark/>
          </w:tcPr>
          <w:p w14:paraId="2086558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0.074</w:t>
            </w:r>
          </w:p>
        </w:tc>
        <w:tc>
          <w:tcPr>
            <w:tcW w:w="0" w:type="auto"/>
            <w:hideMark/>
          </w:tcPr>
          <w:p w14:paraId="5C8AF21B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.181</w:t>
            </w:r>
          </w:p>
        </w:tc>
        <w:tc>
          <w:tcPr>
            <w:tcW w:w="0" w:type="auto"/>
            <w:hideMark/>
          </w:tcPr>
          <w:p w14:paraId="5976D125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2.333</w:t>
            </w:r>
          </w:p>
        </w:tc>
        <w:tc>
          <w:tcPr>
            <w:tcW w:w="0" w:type="auto"/>
            <w:hideMark/>
          </w:tcPr>
          <w:p w14:paraId="3E426264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.021</w:t>
            </w:r>
          </w:p>
        </w:tc>
        <w:tc>
          <w:tcPr>
            <w:tcW w:w="0" w:type="auto"/>
            <w:hideMark/>
          </w:tcPr>
          <w:p w14:paraId="13C56A07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[0.027, 0.317]</w:t>
            </w:r>
          </w:p>
        </w:tc>
      </w:tr>
      <w:tr w:rsidR="0076098A" w:rsidRPr="00A909C2" w14:paraId="18D122B1" w14:textId="77777777" w:rsidTr="00D85AC6">
        <w:tc>
          <w:tcPr>
            <w:tcW w:w="0" w:type="auto"/>
            <w:hideMark/>
          </w:tcPr>
          <w:p w14:paraId="5430729A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overall support environment</w:t>
            </w:r>
          </w:p>
        </w:tc>
        <w:tc>
          <w:tcPr>
            <w:tcW w:w="0" w:type="auto"/>
            <w:hideMark/>
          </w:tcPr>
          <w:p w14:paraId="61A953D0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−0.244</w:t>
            </w:r>
          </w:p>
        </w:tc>
        <w:tc>
          <w:tcPr>
            <w:tcW w:w="0" w:type="auto"/>
            <w:hideMark/>
          </w:tcPr>
          <w:p w14:paraId="3801328C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0.080</w:t>
            </w:r>
          </w:p>
        </w:tc>
        <w:tc>
          <w:tcPr>
            <w:tcW w:w="0" w:type="auto"/>
            <w:hideMark/>
          </w:tcPr>
          <w:p w14:paraId="20FCF27D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−.223</w:t>
            </w:r>
          </w:p>
        </w:tc>
        <w:tc>
          <w:tcPr>
            <w:tcW w:w="0" w:type="auto"/>
            <w:hideMark/>
          </w:tcPr>
          <w:p w14:paraId="22EF5FC8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−3.055</w:t>
            </w:r>
          </w:p>
        </w:tc>
        <w:tc>
          <w:tcPr>
            <w:tcW w:w="0" w:type="auto"/>
            <w:hideMark/>
          </w:tcPr>
          <w:p w14:paraId="543A423D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.003</w:t>
            </w:r>
          </w:p>
        </w:tc>
        <w:tc>
          <w:tcPr>
            <w:tcW w:w="0" w:type="auto"/>
            <w:hideMark/>
          </w:tcPr>
          <w:p w14:paraId="5A0BFC0B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[−0.401, −0.086]</w:t>
            </w:r>
          </w:p>
        </w:tc>
      </w:tr>
      <w:tr w:rsidR="0076098A" w:rsidRPr="00A909C2" w14:paraId="79938E58" w14:textId="77777777" w:rsidTr="00D85AC6">
        <w:tc>
          <w:tcPr>
            <w:tcW w:w="0" w:type="auto"/>
            <w:hideMark/>
          </w:tcPr>
          <w:p w14:paraId="2A2C9AF9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Time poverty and unpaid care work</w:t>
            </w:r>
          </w:p>
        </w:tc>
        <w:tc>
          <w:tcPr>
            <w:tcW w:w="0" w:type="auto"/>
            <w:hideMark/>
          </w:tcPr>
          <w:p w14:paraId="0C41FE8E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−0.072</w:t>
            </w:r>
          </w:p>
        </w:tc>
        <w:tc>
          <w:tcPr>
            <w:tcW w:w="0" w:type="auto"/>
            <w:hideMark/>
          </w:tcPr>
          <w:p w14:paraId="5ACF349F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0.055</w:t>
            </w:r>
          </w:p>
        </w:tc>
        <w:tc>
          <w:tcPr>
            <w:tcW w:w="0" w:type="auto"/>
            <w:hideMark/>
          </w:tcPr>
          <w:p w14:paraId="5A22A9F3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−.091</w:t>
            </w:r>
          </w:p>
        </w:tc>
        <w:tc>
          <w:tcPr>
            <w:tcW w:w="0" w:type="auto"/>
            <w:hideMark/>
          </w:tcPr>
          <w:p w14:paraId="7EDEC895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−1.300</w:t>
            </w:r>
          </w:p>
        </w:tc>
        <w:tc>
          <w:tcPr>
            <w:tcW w:w="0" w:type="auto"/>
            <w:hideMark/>
          </w:tcPr>
          <w:p w14:paraId="43C1FF4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.195</w:t>
            </w:r>
          </w:p>
        </w:tc>
        <w:tc>
          <w:tcPr>
            <w:tcW w:w="0" w:type="auto"/>
            <w:hideMark/>
          </w:tcPr>
          <w:p w14:paraId="046A3583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[−0.180, 0.037]</w:t>
            </w:r>
          </w:p>
        </w:tc>
      </w:tr>
      <w:tr w:rsidR="0076098A" w:rsidRPr="00A909C2" w14:paraId="531AA80A" w14:textId="77777777" w:rsidTr="00D85AC6">
        <w:tc>
          <w:tcPr>
            <w:tcW w:w="0" w:type="auto"/>
            <w:hideMark/>
          </w:tcPr>
          <w:p w14:paraId="2CC8C92B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stereotypes and cultural norms</w:t>
            </w:r>
          </w:p>
        </w:tc>
        <w:tc>
          <w:tcPr>
            <w:tcW w:w="0" w:type="auto"/>
            <w:hideMark/>
          </w:tcPr>
          <w:p w14:paraId="2DDA528F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0.153</w:t>
            </w:r>
          </w:p>
        </w:tc>
        <w:tc>
          <w:tcPr>
            <w:tcW w:w="0" w:type="auto"/>
            <w:hideMark/>
          </w:tcPr>
          <w:p w14:paraId="2B9E0CEB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0.063</w:t>
            </w:r>
          </w:p>
        </w:tc>
        <w:tc>
          <w:tcPr>
            <w:tcW w:w="0" w:type="auto"/>
            <w:hideMark/>
          </w:tcPr>
          <w:p w14:paraId="69626C75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.165</w:t>
            </w:r>
          </w:p>
        </w:tc>
        <w:tc>
          <w:tcPr>
            <w:tcW w:w="0" w:type="auto"/>
            <w:hideMark/>
          </w:tcPr>
          <w:p w14:paraId="7FE7C394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2.440</w:t>
            </w:r>
          </w:p>
        </w:tc>
        <w:tc>
          <w:tcPr>
            <w:tcW w:w="0" w:type="auto"/>
            <w:hideMark/>
          </w:tcPr>
          <w:p w14:paraId="7947075D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.016</w:t>
            </w:r>
          </w:p>
        </w:tc>
        <w:tc>
          <w:tcPr>
            <w:tcW w:w="0" w:type="auto"/>
            <w:hideMark/>
          </w:tcPr>
          <w:p w14:paraId="34F26BB4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[0.029, 0.277]</w:t>
            </w:r>
          </w:p>
        </w:tc>
      </w:tr>
      <w:tr w:rsidR="0076098A" w:rsidRPr="00A909C2" w14:paraId="625F8F06" w14:textId="77777777" w:rsidTr="00D85AC6">
        <w:tc>
          <w:tcPr>
            <w:tcW w:w="0" w:type="auto"/>
            <w:hideMark/>
          </w:tcPr>
          <w:p w14:paraId="40AD64B2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Financial and land-access barriers</w:t>
            </w:r>
          </w:p>
        </w:tc>
        <w:tc>
          <w:tcPr>
            <w:tcW w:w="0" w:type="auto"/>
            <w:hideMark/>
          </w:tcPr>
          <w:p w14:paraId="56FCCB1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−0.172</w:t>
            </w:r>
          </w:p>
        </w:tc>
        <w:tc>
          <w:tcPr>
            <w:tcW w:w="0" w:type="auto"/>
            <w:hideMark/>
          </w:tcPr>
          <w:p w14:paraId="3B07332D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0.059</w:t>
            </w:r>
          </w:p>
        </w:tc>
        <w:tc>
          <w:tcPr>
            <w:tcW w:w="0" w:type="auto"/>
            <w:hideMark/>
          </w:tcPr>
          <w:p w14:paraId="1E4323AF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−.234</w:t>
            </w:r>
          </w:p>
        </w:tc>
        <w:tc>
          <w:tcPr>
            <w:tcW w:w="0" w:type="auto"/>
            <w:hideMark/>
          </w:tcPr>
          <w:p w14:paraId="10BCBE5A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−2.937</w:t>
            </w:r>
          </w:p>
        </w:tc>
        <w:tc>
          <w:tcPr>
            <w:tcW w:w="0" w:type="auto"/>
            <w:hideMark/>
          </w:tcPr>
          <w:p w14:paraId="33DF4B01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.004</w:t>
            </w:r>
          </w:p>
        </w:tc>
        <w:tc>
          <w:tcPr>
            <w:tcW w:w="0" w:type="auto"/>
            <w:hideMark/>
          </w:tcPr>
          <w:p w14:paraId="184D23B5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[−0.288, −0.057]</w:t>
            </w:r>
          </w:p>
        </w:tc>
      </w:tr>
      <w:tr w:rsidR="0076098A" w:rsidRPr="00A909C2" w14:paraId="2511A8B0" w14:textId="77777777" w:rsidTr="00D85AC6">
        <w:tc>
          <w:tcPr>
            <w:tcW w:w="0" w:type="auto"/>
            <w:hideMark/>
          </w:tcPr>
          <w:p w14:paraId="06FEC2D5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Technology and machinery barriers</w:t>
            </w:r>
          </w:p>
        </w:tc>
        <w:tc>
          <w:tcPr>
            <w:tcW w:w="0" w:type="auto"/>
            <w:hideMark/>
          </w:tcPr>
          <w:p w14:paraId="76851D33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−0.024</w:t>
            </w:r>
          </w:p>
        </w:tc>
        <w:tc>
          <w:tcPr>
            <w:tcW w:w="0" w:type="auto"/>
            <w:hideMark/>
          </w:tcPr>
          <w:p w14:paraId="6BBE13BA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0.086</w:t>
            </w:r>
          </w:p>
        </w:tc>
        <w:tc>
          <w:tcPr>
            <w:tcW w:w="0" w:type="auto"/>
            <w:hideMark/>
          </w:tcPr>
          <w:p w14:paraId="7607BD7B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−.019</w:t>
            </w:r>
          </w:p>
        </w:tc>
        <w:tc>
          <w:tcPr>
            <w:tcW w:w="0" w:type="auto"/>
            <w:hideMark/>
          </w:tcPr>
          <w:p w14:paraId="21FCFBB7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−0.283</w:t>
            </w:r>
          </w:p>
        </w:tc>
        <w:tc>
          <w:tcPr>
            <w:tcW w:w="0" w:type="auto"/>
            <w:hideMark/>
          </w:tcPr>
          <w:p w14:paraId="015161D8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.777</w:t>
            </w:r>
          </w:p>
        </w:tc>
        <w:tc>
          <w:tcPr>
            <w:tcW w:w="0" w:type="auto"/>
            <w:hideMark/>
          </w:tcPr>
          <w:p w14:paraId="2A233E16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[−0.194, 0.145]</w:t>
            </w:r>
          </w:p>
        </w:tc>
      </w:tr>
      <w:tr w:rsidR="0076098A" w:rsidRPr="00A909C2" w14:paraId="76E2B166" w14:textId="77777777" w:rsidTr="00D85AC6">
        <w:tc>
          <w:tcPr>
            <w:tcW w:w="0" w:type="auto"/>
            <w:hideMark/>
          </w:tcPr>
          <w:p w14:paraId="31812CFC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social and institutional support</w:t>
            </w:r>
          </w:p>
        </w:tc>
        <w:tc>
          <w:tcPr>
            <w:tcW w:w="0" w:type="auto"/>
            <w:hideMark/>
          </w:tcPr>
          <w:p w14:paraId="43A794DA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−0.308</w:t>
            </w:r>
          </w:p>
        </w:tc>
        <w:tc>
          <w:tcPr>
            <w:tcW w:w="0" w:type="auto"/>
            <w:hideMark/>
          </w:tcPr>
          <w:p w14:paraId="0F065477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0.071</w:t>
            </w:r>
          </w:p>
        </w:tc>
        <w:tc>
          <w:tcPr>
            <w:tcW w:w="0" w:type="auto"/>
            <w:hideMark/>
          </w:tcPr>
          <w:p w14:paraId="00E30C43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−.284</w:t>
            </w:r>
          </w:p>
        </w:tc>
        <w:tc>
          <w:tcPr>
            <w:tcW w:w="0" w:type="auto"/>
            <w:hideMark/>
          </w:tcPr>
          <w:p w14:paraId="215A0E34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−4.331</w:t>
            </w:r>
          </w:p>
        </w:tc>
        <w:tc>
          <w:tcPr>
            <w:tcW w:w="0" w:type="auto"/>
            <w:hideMark/>
          </w:tcPr>
          <w:p w14:paraId="16DFACA6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&lt;.001</w:t>
            </w:r>
          </w:p>
        </w:tc>
        <w:tc>
          <w:tcPr>
            <w:tcW w:w="0" w:type="auto"/>
            <w:hideMark/>
          </w:tcPr>
          <w:p w14:paraId="1DEF0D6C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[−0.448, −0.168]</w:t>
            </w:r>
          </w:p>
        </w:tc>
      </w:tr>
      <w:tr w:rsidR="0076098A" w:rsidRPr="00A909C2" w14:paraId="137E0D1B" w14:textId="77777777" w:rsidTr="00D85AC6">
        <w:tc>
          <w:tcPr>
            <w:tcW w:w="0" w:type="auto"/>
            <w:hideMark/>
          </w:tcPr>
          <w:p w14:paraId="71BC9159" w14:textId="77777777" w:rsidR="0076098A" w:rsidRPr="00A909C2" w:rsidRDefault="0076098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Intersectional identity barriers</w:t>
            </w:r>
          </w:p>
        </w:tc>
        <w:tc>
          <w:tcPr>
            <w:tcW w:w="0" w:type="auto"/>
            <w:hideMark/>
          </w:tcPr>
          <w:p w14:paraId="6A20EC28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0.019</w:t>
            </w:r>
          </w:p>
        </w:tc>
        <w:tc>
          <w:tcPr>
            <w:tcW w:w="0" w:type="auto"/>
            <w:hideMark/>
          </w:tcPr>
          <w:p w14:paraId="0C1098DF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0.074</w:t>
            </w:r>
          </w:p>
        </w:tc>
        <w:tc>
          <w:tcPr>
            <w:tcW w:w="0" w:type="auto"/>
            <w:hideMark/>
          </w:tcPr>
          <w:p w14:paraId="73C54A6C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.017</w:t>
            </w:r>
          </w:p>
        </w:tc>
        <w:tc>
          <w:tcPr>
            <w:tcW w:w="0" w:type="auto"/>
            <w:hideMark/>
          </w:tcPr>
          <w:p w14:paraId="72C4FFE7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0.252</w:t>
            </w:r>
          </w:p>
        </w:tc>
        <w:tc>
          <w:tcPr>
            <w:tcW w:w="0" w:type="auto"/>
            <w:hideMark/>
          </w:tcPr>
          <w:p w14:paraId="0A9A25B3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.801</w:t>
            </w:r>
          </w:p>
        </w:tc>
        <w:tc>
          <w:tcPr>
            <w:tcW w:w="0" w:type="auto"/>
            <w:hideMark/>
          </w:tcPr>
          <w:p w14:paraId="56A50357" w14:textId="77777777" w:rsidR="0076098A" w:rsidRPr="00A909C2" w:rsidRDefault="0076098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[−0.128, 0.165]</w:t>
            </w:r>
          </w:p>
        </w:tc>
      </w:tr>
    </w:tbl>
    <w:p w14:paraId="65C978E2" w14:textId="77777777" w:rsidR="0076098A" w:rsidRPr="00A909C2" w:rsidRDefault="0076098A" w:rsidP="0076098A">
      <w:pPr>
        <w:rPr>
          <w:rFonts w:ascii="Arial" w:hAnsi="Arial" w:cs="Arial"/>
          <w:i/>
          <w:iCs/>
          <w:color w:val="000000" w:themeColor="text1"/>
        </w:rPr>
      </w:pPr>
    </w:p>
    <w:p w14:paraId="7D2F5927" w14:textId="77777777" w:rsidR="0076098A" w:rsidRPr="00A909C2" w:rsidRDefault="0076098A" w:rsidP="0076098A">
      <w:pPr>
        <w:rPr>
          <w:rFonts w:ascii="Arial" w:hAnsi="Arial" w:cs="Arial"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Note.</w:t>
      </w:r>
      <w:r w:rsidRPr="00A909C2">
        <w:rPr>
          <w:rFonts w:ascii="Arial" w:hAnsi="Arial" w:cs="Arial"/>
          <w:color w:val="000000" w:themeColor="text1"/>
        </w:rPr>
        <w:t xml:space="preserve"> </w:t>
      </w:r>
      <w:r w:rsidRPr="00A909C2">
        <w:rPr>
          <w:rFonts w:ascii="Arial" w:hAnsi="Arial" w:cs="Arial"/>
          <w:i/>
          <w:iCs/>
          <w:color w:val="000000" w:themeColor="text1"/>
        </w:rPr>
        <w:t>R</w:t>
      </w:r>
      <w:r w:rsidRPr="00A909C2">
        <w:rPr>
          <w:rFonts w:ascii="Arial" w:hAnsi="Arial" w:cs="Arial"/>
          <w:color w:val="000000" w:themeColor="text1"/>
        </w:rPr>
        <w:t xml:space="preserve"> = .594, </w:t>
      </w:r>
      <w:r w:rsidRPr="00A909C2">
        <w:rPr>
          <w:rFonts w:ascii="Arial" w:hAnsi="Arial" w:cs="Arial"/>
          <w:i/>
          <w:iCs/>
          <w:color w:val="000000" w:themeColor="text1"/>
        </w:rPr>
        <w:t>R</w:t>
      </w:r>
      <w:r w:rsidRPr="00A909C2">
        <w:rPr>
          <w:rFonts w:ascii="Arial" w:hAnsi="Arial" w:cs="Arial"/>
          <w:color w:val="000000" w:themeColor="text1"/>
        </w:rPr>
        <w:t xml:space="preserve">² = .352, adjusted </w:t>
      </w:r>
      <w:r w:rsidRPr="00A909C2">
        <w:rPr>
          <w:rFonts w:ascii="Arial" w:hAnsi="Arial" w:cs="Arial"/>
          <w:i/>
          <w:iCs/>
          <w:color w:val="000000" w:themeColor="text1"/>
        </w:rPr>
        <w:t>R</w:t>
      </w:r>
      <w:r w:rsidRPr="00A909C2">
        <w:rPr>
          <w:rFonts w:ascii="Arial" w:hAnsi="Arial" w:cs="Arial"/>
          <w:color w:val="000000" w:themeColor="text1"/>
        </w:rPr>
        <w:t xml:space="preserve">² = .321, </w:t>
      </w:r>
      <w:r w:rsidRPr="00A909C2">
        <w:rPr>
          <w:rFonts w:ascii="Arial" w:hAnsi="Arial" w:cs="Arial"/>
          <w:i/>
          <w:iCs/>
          <w:color w:val="000000" w:themeColor="text1"/>
        </w:rPr>
        <w:t>F</w:t>
      </w:r>
      <w:r w:rsidRPr="00A909C2">
        <w:rPr>
          <w:rFonts w:ascii="Arial" w:hAnsi="Arial" w:cs="Arial"/>
          <w:color w:val="000000" w:themeColor="text1"/>
        </w:rPr>
        <w:t xml:space="preserve">(9, 189) = 11.423, </w:t>
      </w:r>
      <w:r w:rsidRPr="00A909C2">
        <w:rPr>
          <w:rFonts w:ascii="Arial" w:hAnsi="Arial" w:cs="Arial"/>
          <w:i/>
          <w:iCs/>
          <w:color w:val="000000" w:themeColor="text1"/>
        </w:rPr>
        <w:t>p</w:t>
      </w:r>
      <w:r w:rsidRPr="00A909C2">
        <w:rPr>
          <w:rFonts w:ascii="Arial" w:hAnsi="Arial" w:cs="Arial"/>
          <w:color w:val="000000" w:themeColor="text1"/>
        </w:rPr>
        <w:t xml:space="preserve"> &lt; .001; </w:t>
      </w:r>
      <w:r w:rsidRPr="00A909C2">
        <w:rPr>
          <w:rFonts w:ascii="Arial" w:hAnsi="Arial" w:cs="Arial"/>
          <w:i/>
          <w:iCs/>
          <w:color w:val="000000" w:themeColor="text1"/>
        </w:rPr>
        <w:t>N</w:t>
      </w:r>
      <w:r w:rsidRPr="00A909C2">
        <w:rPr>
          <w:rFonts w:ascii="Arial" w:hAnsi="Arial" w:cs="Arial"/>
          <w:color w:val="000000" w:themeColor="text1"/>
        </w:rPr>
        <w:t xml:space="preserve"> = 199.</w:t>
      </w:r>
    </w:p>
    <w:p w14:paraId="1C7C3251" w14:textId="77777777" w:rsidR="0076098A" w:rsidRPr="00A909C2" w:rsidRDefault="0076098A" w:rsidP="0076098A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002D2561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8A"/>
    <w:rsid w:val="00034DA8"/>
    <w:rsid w:val="00340FD6"/>
    <w:rsid w:val="0076098A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CCE3A3"/>
  <w15:chartTrackingRefBased/>
  <w15:docId w15:val="{C8261631-0D25-FB4D-B1C6-820ED815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98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9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9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9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9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9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9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9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9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9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9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0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9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0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9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0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9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0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9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0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2026-10-14T07:11:00Z</dcterms:created>
  <dcterms:modified xsi:type="dcterms:W3CDTF">2026-10-14T07:11:00Z</dcterms:modified>
</cp:coreProperties>
</file>