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51C355" w14:textId="77777777" w:rsidR="0091610D" w:rsidRPr="00A909C2" w:rsidRDefault="0091610D" w:rsidP="0091610D">
      <w:pPr>
        <w:rPr>
          <w:rFonts w:ascii="Arial" w:hAnsi="Arial" w:cs="Arial"/>
          <w:b/>
          <w:bCs/>
          <w:color w:val="000000" w:themeColor="text1"/>
        </w:rPr>
      </w:pPr>
      <w:r w:rsidRPr="00A909C2">
        <w:rPr>
          <w:rFonts w:ascii="Arial" w:hAnsi="Arial" w:cs="Arial"/>
          <w:b/>
          <w:bCs/>
          <w:color w:val="000000" w:themeColor="text1"/>
        </w:rPr>
        <w:t>Table 4.10</w:t>
      </w:r>
    </w:p>
    <w:p w14:paraId="7BBF4F72" w14:textId="77777777" w:rsidR="0091610D" w:rsidRPr="00A909C2" w:rsidRDefault="0091610D" w:rsidP="0091610D">
      <w:pPr>
        <w:rPr>
          <w:rFonts w:ascii="Arial" w:hAnsi="Arial" w:cs="Arial"/>
          <w:b/>
          <w:bCs/>
          <w:color w:val="000000" w:themeColor="text1"/>
        </w:rPr>
      </w:pPr>
    </w:p>
    <w:p w14:paraId="7557B1C3" w14:textId="77777777" w:rsidR="0091610D" w:rsidRPr="00A909C2" w:rsidRDefault="0091610D" w:rsidP="0091610D">
      <w:pPr>
        <w:rPr>
          <w:rFonts w:ascii="Arial" w:hAnsi="Arial" w:cs="Arial"/>
          <w:i/>
          <w:iCs/>
          <w:color w:val="000000" w:themeColor="text1"/>
        </w:rPr>
      </w:pPr>
      <w:r w:rsidRPr="00A909C2">
        <w:rPr>
          <w:rFonts w:ascii="Arial" w:hAnsi="Arial" w:cs="Arial"/>
          <w:i/>
          <w:iCs/>
          <w:color w:val="000000" w:themeColor="text1"/>
        </w:rPr>
        <w:t>Joint Display of Integrated Findings ( Side by side statistics)</w:t>
      </w:r>
    </w:p>
    <w:p w14:paraId="404B6E84" w14:textId="77777777" w:rsidR="0091610D" w:rsidRPr="00A909C2" w:rsidRDefault="0091610D" w:rsidP="0091610D">
      <w:pPr>
        <w:rPr>
          <w:rFonts w:ascii="Arial" w:hAnsi="Arial" w:cs="Arial"/>
          <w:i/>
          <w:iCs/>
          <w:color w:val="000000" w:themeColor="text1"/>
        </w:rPr>
      </w:pPr>
    </w:p>
    <w:tbl>
      <w:tblPr>
        <w:tblStyle w:val="TableGrid"/>
        <w:tblW w:w="1036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1"/>
        <w:gridCol w:w="2660"/>
        <w:gridCol w:w="1791"/>
        <w:gridCol w:w="2030"/>
        <w:gridCol w:w="2137"/>
      </w:tblGrid>
      <w:tr w:rsidR="0091610D" w:rsidRPr="00A909C2" w14:paraId="08C5A1BB" w14:textId="77777777" w:rsidTr="00D85AC6">
        <w:tc>
          <w:tcPr>
            <w:tcW w:w="1751" w:type="dxa"/>
          </w:tcPr>
          <w:p w14:paraId="28DB8E5A" w14:textId="77777777" w:rsidR="0091610D" w:rsidRPr="00A909C2" w:rsidRDefault="0091610D" w:rsidP="00D85AC6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Integrated issue</w:t>
            </w:r>
          </w:p>
        </w:tc>
        <w:tc>
          <w:tcPr>
            <w:tcW w:w="2660" w:type="dxa"/>
          </w:tcPr>
          <w:p w14:paraId="09F0E8B7" w14:textId="77777777" w:rsidR="0091610D" w:rsidRPr="00A909C2" w:rsidRDefault="0091610D" w:rsidP="00D85AC6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Quantitative finding</w:t>
            </w:r>
          </w:p>
        </w:tc>
        <w:tc>
          <w:tcPr>
            <w:tcW w:w="1791" w:type="dxa"/>
          </w:tcPr>
          <w:p w14:paraId="7A1C7C09" w14:textId="77777777" w:rsidR="0091610D" w:rsidRPr="00A909C2" w:rsidRDefault="0091610D" w:rsidP="00D85AC6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Qualitative finding</w:t>
            </w:r>
          </w:p>
        </w:tc>
        <w:tc>
          <w:tcPr>
            <w:tcW w:w="2030" w:type="dxa"/>
          </w:tcPr>
          <w:p w14:paraId="31CF5105" w14:textId="77777777" w:rsidR="0091610D" w:rsidRPr="00A909C2" w:rsidRDefault="0091610D" w:rsidP="00D85AC6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Relationship</w:t>
            </w:r>
          </w:p>
        </w:tc>
        <w:tc>
          <w:tcPr>
            <w:tcW w:w="2137" w:type="dxa"/>
          </w:tcPr>
          <w:p w14:paraId="7963E7EF" w14:textId="77777777" w:rsidR="0091610D" w:rsidRPr="00A909C2" w:rsidRDefault="0091610D" w:rsidP="00D85AC6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Meta-inference</w:t>
            </w:r>
          </w:p>
        </w:tc>
      </w:tr>
      <w:tr w:rsidR="0091610D" w:rsidRPr="00A909C2" w14:paraId="1FBCC82A" w14:textId="77777777" w:rsidTr="00D85AC6">
        <w:tc>
          <w:tcPr>
            <w:tcW w:w="1751" w:type="dxa"/>
          </w:tcPr>
          <w:p w14:paraId="20DA379C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Gendered machinery barriers</w:t>
            </w:r>
          </w:p>
        </w:tc>
        <w:tc>
          <w:tcPr>
            <w:tcW w:w="2660" w:type="dxa"/>
          </w:tcPr>
          <w:p w14:paraId="6E9429BF" w14:textId="77777777" w:rsidR="0091610D" w:rsidRPr="00A909C2" w:rsidRDefault="0091610D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Technology and machinery barriers were moderate overall (</w:t>
            </w:r>
            <m:oMath>
              <m:r>
                <w:rPr>
                  <w:rFonts w:ascii="Cambria Math" w:hAnsi="Cambria Math" w:cs="Arial"/>
                  <w:color w:val="000000" w:themeColor="text1"/>
                </w:rPr>
                <m:t>M=3.250</m:t>
              </m:r>
            </m:oMath>
            <w:r w:rsidRPr="00A909C2">
              <w:rPr>
                <w:rFonts w:ascii="Arial" w:hAnsi="Arial" w:cs="Arial"/>
                <w:color w:val="000000" w:themeColor="text1"/>
              </w:rPr>
              <w:t xml:space="preserve">). </w:t>
            </w:r>
          </w:p>
          <w:p w14:paraId="45126891" w14:textId="77777777" w:rsidR="0091610D" w:rsidRPr="00A909C2" w:rsidRDefault="0091610D" w:rsidP="00D85AC6">
            <w:pPr>
              <w:rPr>
                <w:rFonts w:ascii="Arial" w:hAnsi="Arial" w:cs="Arial"/>
                <w:color w:val="000000" w:themeColor="text1"/>
              </w:rPr>
            </w:pPr>
          </w:p>
          <w:p w14:paraId="6E4256F8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“Agricultural machinery is too heavy or unsuitable” was highly rated (</w:t>
            </w:r>
            <m:oMath>
              <m:r>
                <w:rPr>
                  <w:rFonts w:ascii="Cambria Math" w:hAnsi="Cambria Math" w:cs="Arial"/>
                  <w:color w:val="000000" w:themeColor="text1"/>
                </w:rPr>
                <m:t>M=3.673</m:t>
              </m:r>
            </m:oMath>
            <w:r w:rsidRPr="00A909C2">
              <w:rPr>
                <w:rFonts w:ascii="Arial" w:hAnsi="Arial" w:cs="Arial"/>
                <w:color w:val="000000" w:themeColor="text1"/>
              </w:rPr>
              <w:t>).</w:t>
            </w:r>
          </w:p>
        </w:tc>
        <w:tc>
          <w:tcPr>
            <w:tcW w:w="1791" w:type="dxa"/>
          </w:tcPr>
          <w:p w14:paraId="020F4F33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Participants described tractors and other machinery as heavy, physically demanding, and poorly fitted to women’s body size. Some preferred smaller equipment or needed assistance in operating machinery.</w:t>
            </w:r>
          </w:p>
        </w:tc>
        <w:tc>
          <w:tcPr>
            <w:tcW w:w="2030" w:type="dxa"/>
          </w:tcPr>
          <w:p w14:paraId="205E089C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Convergence</w:t>
            </w:r>
          </w:p>
        </w:tc>
        <w:tc>
          <w:tcPr>
            <w:tcW w:w="2137" w:type="dxa"/>
          </w:tcPr>
          <w:p w14:paraId="527CFB2D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Agricultural machinery is not gender-neutral. Its design and use may limit women’s independent participation, safety, efficiency, and access to mechanized innovation.</w:t>
            </w:r>
          </w:p>
        </w:tc>
      </w:tr>
      <w:tr w:rsidR="0091610D" w:rsidRPr="00A909C2" w14:paraId="23173DF1" w14:textId="77777777" w:rsidTr="00D85AC6">
        <w:tc>
          <w:tcPr>
            <w:tcW w:w="1751" w:type="dxa"/>
          </w:tcPr>
          <w:p w14:paraId="2857AC6E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Time poverty and unpaid care work</w:t>
            </w:r>
          </w:p>
        </w:tc>
        <w:tc>
          <w:tcPr>
            <w:tcW w:w="2660" w:type="dxa"/>
          </w:tcPr>
          <w:p w14:paraId="467EC224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Time poverty and unpaid care work showed a significant negative relationship with innovation productivity (</w:t>
            </w:r>
            <m:oMath>
              <m:r>
                <w:rPr>
                  <w:rFonts w:ascii="Cambria Math" w:hAnsi="Cambria Math" w:cs="Arial"/>
                  <w:color w:val="000000" w:themeColor="text1"/>
                </w:rPr>
                <m:t>r=-.173</m:t>
              </m:r>
            </m:oMath>
            <w:r w:rsidRPr="00A909C2">
              <w:rPr>
                <w:rFonts w:ascii="Arial" w:hAnsi="Arial" w:cs="Arial"/>
                <w:color w:val="000000" w:themeColor="text1"/>
              </w:rPr>
              <w:t>,</w:t>
            </w:r>
            <w:r w:rsidRPr="00A909C2">
              <w:rPr>
                <w:rStyle w:val="apple-converted-space"/>
                <w:rFonts w:ascii="Arial" w:hAnsi="Arial" w:cs="Arial"/>
                <w:color w:val="000000" w:themeColor="text1"/>
              </w:rPr>
              <w:t> </w:t>
            </w:r>
            <m:oMath>
              <m:r>
                <w:rPr>
                  <w:rFonts w:ascii="Cambria Math" w:hAnsi="Cambria Math" w:cs="Arial"/>
                  <w:color w:val="000000" w:themeColor="text1"/>
                </w:rPr>
                <m:t>p=.012</m:t>
              </m:r>
            </m:oMath>
            <w:r w:rsidRPr="00A909C2">
              <w:rPr>
                <w:rFonts w:ascii="Arial" w:hAnsi="Arial" w:cs="Arial"/>
                <w:color w:val="000000" w:themeColor="text1"/>
              </w:rPr>
              <w:t>). Household-work fatigue (</w:t>
            </w:r>
            <m:oMath>
              <m:r>
                <w:rPr>
                  <w:rFonts w:ascii="Cambria Math" w:hAnsi="Cambria Math" w:cs="Arial"/>
                  <w:color w:val="000000" w:themeColor="text1"/>
                </w:rPr>
                <m:t>M=3.433</m:t>
              </m:r>
            </m:oMath>
            <w:r w:rsidRPr="00A909C2">
              <w:rPr>
                <w:rFonts w:ascii="Arial" w:hAnsi="Arial" w:cs="Arial"/>
                <w:color w:val="000000" w:themeColor="text1"/>
              </w:rPr>
              <w:t>) and primary caregiving responsibility (</w:t>
            </w:r>
            <m:oMath>
              <m:r>
                <w:rPr>
                  <w:rFonts w:ascii="Cambria Math" w:hAnsi="Cambria Math" w:cs="Arial"/>
                  <w:color w:val="000000" w:themeColor="text1"/>
                </w:rPr>
                <m:t>M=3.413</m:t>
              </m:r>
            </m:oMath>
            <w:r w:rsidRPr="00A909C2">
              <w:rPr>
                <w:rFonts w:ascii="Arial" w:hAnsi="Arial" w:cs="Arial"/>
                <w:color w:val="000000" w:themeColor="text1"/>
              </w:rPr>
              <w:t>) were highly rated barriers.</w:t>
            </w:r>
          </w:p>
        </w:tc>
        <w:tc>
          <w:tcPr>
            <w:tcW w:w="1791" w:type="dxa"/>
          </w:tcPr>
          <w:p w14:paraId="07EAB22D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Women described waking early, managing livestock and crops, completing household chores, caring for children and family members, and working despite exhaustion.</w:t>
            </w:r>
          </w:p>
        </w:tc>
        <w:tc>
          <w:tcPr>
            <w:tcW w:w="2030" w:type="dxa"/>
          </w:tcPr>
          <w:p w14:paraId="51C22CAE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Convergence and complementarity</w:t>
            </w:r>
          </w:p>
        </w:tc>
        <w:tc>
          <w:tcPr>
            <w:tcW w:w="2137" w:type="dxa"/>
          </w:tcPr>
          <w:p w14:paraId="2139023A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Unpaid care work reduces the time, energy, and cognitive resources available for experimentation, learning, networking, and commercialization of innovations.</w:t>
            </w:r>
          </w:p>
        </w:tc>
      </w:tr>
      <w:tr w:rsidR="0091610D" w:rsidRPr="00A909C2" w14:paraId="31DFAE87" w14:textId="77777777" w:rsidTr="00D85AC6">
        <w:tc>
          <w:tcPr>
            <w:tcW w:w="1751" w:type="dxa"/>
          </w:tcPr>
          <w:p w14:paraId="4DB01C58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Financial and land-access barriers</w:t>
            </w:r>
          </w:p>
        </w:tc>
        <w:tc>
          <w:tcPr>
            <w:tcW w:w="2660" w:type="dxa"/>
          </w:tcPr>
          <w:p w14:paraId="783C34FB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Financial and land-access barriers were moderately experienced (</w:t>
            </w:r>
            <m:oMath>
              <m:r>
                <w:rPr>
                  <w:rFonts w:ascii="Cambria Math" w:hAnsi="Cambria Math" w:cs="Arial"/>
                  <w:color w:val="000000" w:themeColor="text1"/>
                </w:rPr>
                <m:t>M=3.201</m:t>
              </m:r>
            </m:oMath>
            <w:r w:rsidRPr="00A909C2">
              <w:rPr>
                <w:rFonts w:ascii="Arial" w:hAnsi="Arial" w:cs="Arial"/>
                <w:color w:val="000000" w:themeColor="text1"/>
              </w:rPr>
              <w:t xml:space="preserve">) and significantly predicted lower </w:t>
            </w:r>
            <w:r w:rsidRPr="00A909C2">
              <w:rPr>
                <w:rFonts w:ascii="Arial" w:hAnsi="Arial" w:cs="Arial"/>
                <w:color w:val="000000" w:themeColor="text1"/>
              </w:rPr>
              <w:lastRenderedPageBreak/>
              <w:t>innovation productivity (</w:t>
            </w:r>
            <m:oMath>
              <m:r>
                <w:rPr>
                  <w:rFonts w:ascii="Cambria Math" w:hAnsi="Cambria Math" w:cs="Arial"/>
                  <w:color w:val="000000" w:themeColor="text1"/>
                </w:rPr>
                <m:t>β=-.234</m:t>
              </m:r>
            </m:oMath>
            <w:r w:rsidRPr="00A909C2">
              <w:rPr>
                <w:rFonts w:ascii="Arial" w:hAnsi="Arial" w:cs="Arial"/>
                <w:color w:val="000000" w:themeColor="text1"/>
              </w:rPr>
              <w:t>,</w:t>
            </w:r>
            <w:r w:rsidRPr="00A909C2">
              <w:rPr>
                <w:rStyle w:val="apple-converted-space"/>
                <w:rFonts w:ascii="Arial" w:hAnsi="Arial" w:cs="Arial"/>
                <w:color w:val="000000" w:themeColor="text1"/>
              </w:rPr>
              <w:t> </w:t>
            </w:r>
            <m:oMath>
              <m:r>
                <w:rPr>
                  <w:rFonts w:ascii="Cambria Math" w:hAnsi="Cambria Math" w:cs="Arial"/>
                  <w:color w:val="000000" w:themeColor="text1"/>
                </w:rPr>
                <m:t>p=.004</m:t>
              </m:r>
            </m:oMath>
            <w:r w:rsidRPr="00A909C2">
              <w:rPr>
                <w:rFonts w:ascii="Arial" w:hAnsi="Arial" w:cs="Arial"/>
                <w:color w:val="000000" w:themeColor="text1"/>
              </w:rPr>
              <w:t>). Difficulty obtaining startup funds or loans was the highest-rated barrier (</w:t>
            </w:r>
            <m:oMath>
              <m:r>
                <w:rPr>
                  <w:rFonts w:ascii="Cambria Math" w:hAnsi="Cambria Math" w:cs="Arial"/>
                  <w:color w:val="000000" w:themeColor="text1"/>
                </w:rPr>
                <m:t>M=3.731</m:t>
              </m:r>
            </m:oMath>
            <w:r w:rsidRPr="00A909C2">
              <w:rPr>
                <w:rFonts w:ascii="Arial" w:hAnsi="Arial" w:cs="Arial"/>
                <w:color w:val="000000" w:themeColor="text1"/>
              </w:rPr>
              <w:t>).</w:t>
            </w:r>
          </w:p>
        </w:tc>
        <w:tc>
          <w:tcPr>
            <w:tcW w:w="1791" w:type="dxa"/>
          </w:tcPr>
          <w:p w14:paraId="38C9794B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lastRenderedPageBreak/>
              <w:t xml:space="preserve">Participants described expensive or unavailable land, excessive loan </w:t>
            </w:r>
            <w:r w:rsidRPr="00A909C2">
              <w:rPr>
                <w:rFonts w:ascii="Arial" w:hAnsi="Arial" w:cs="Arial"/>
                <w:color w:val="000000" w:themeColor="text1"/>
              </w:rPr>
              <w:lastRenderedPageBreak/>
              <w:t>requirements, lack of capital, and difficulty complying with documentary requirements for formal credit.</w:t>
            </w:r>
          </w:p>
        </w:tc>
        <w:tc>
          <w:tcPr>
            <w:tcW w:w="2030" w:type="dxa"/>
          </w:tcPr>
          <w:p w14:paraId="243F12AE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lastRenderedPageBreak/>
              <w:t>Convergence</w:t>
            </w:r>
          </w:p>
        </w:tc>
        <w:tc>
          <w:tcPr>
            <w:tcW w:w="2137" w:type="dxa"/>
          </w:tcPr>
          <w:p w14:paraId="22BC6E49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 xml:space="preserve">Women’s innovation productivity is constrained by unequal access to productive </w:t>
            </w:r>
            <w:r w:rsidRPr="00A909C2">
              <w:rPr>
                <w:rFonts w:ascii="Arial" w:hAnsi="Arial" w:cs="Arial"/>
                <w:color w:val="000000" w:themeColor="text1"/>
              </w:rPr>
              <w:lastRenderedPageBreak/>
              <w:t>resources. Land insecurity, inaccessible credit, and bureaucratic requirements reduce their ability to invest in, expand, and sustain innovations.</w:t>
            </w:r>
          </w:p>
        </w:tc>
      </w:tr>
      <w:tr w:rsidR="0091610D" w:rsidRPr="00A909C2" w14:paraId="1B0BA691" w14:textId="77777777" w:rsidTr="00D85AC6">
        <w:tc>
          <w:tcPr>
            <w:tcW w:w="1751" w:type="dxa"/>
          </w:tcPr>
          <w:p w14:paraId="6D3739DF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lastRenderedPageBreak/>
              <w:t>Social and institutional support</w:t>
            </w:r>
          </w:p>
        </w:tc>
        <w:tc>
          <w:tcPr>
            <w:tcW w:w="2660" w:type="dxa"/>
          </w:tcPr>
          <w:p w14:paraId="7AB40F21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Low social and institutional support was the strongest negative predictor of innovation productivity (</w:t>
            </w:r>
            <m:oMath>
              <m:r>
                <w:rPr>
                  <w:rFonts w:ascii="Cambria Math" w:hAnsi="Cambria Math" w:cs="Arial"/>
                  <w:color w:val="000000" w:themeColor="text1"/>
                </w:rPr>
                <m:t>β=-.284</m:t>
              </m:r>
            </m:oMath>
            <w:r w:rsidRPr="00A909C2">
              <w:rPr>
                <w:rFonts w:ascii="Arial" w:hAnsi="Arial" w:cs="Arial"/>
                <w:color w:val="000000" w:themeColor="text1"/>
              </w:rPr>
              <w:t>,</w:t>
            </w:r>
            <w:r w:rsidRPr="00A909C2">
              <w:rPr>
                <w:rStyle w:val="apple-converted-space"/>
                <w:rFonts w:ascii="Arial" w:hAnsi="Arial" w:cs="Arial"/>
                <w:color w:val="000000" w:themeColor="text1"/>
              </w:rPr>
              <w:t> </w:t>
            </w:r>
            <m:oMath>
              <m:r>
                <w:rPr>
                  <w:rFonts w:ascii="Cambria Math" w:hAnsi="Cambria Math" w:cs="Arial"/>
                  <w:color w:val="000000" w:themeColor="text1"/>
                </w:rPr>
                <m:t>p&lt;.001</m:t>
              </m:r>
            </m:oMath>
            <w:r w:rsidRPr="00A909C2">
              <w:rPr>
                <w:rFonts w:ascii="Arial" w:hAnsi="Arial" w:cs="Arial"/>
                <w:color w:val="000000" w:themeColor="text1"/>
              </w:rPr>
              <w:t>). Low overall support environment also significantly predicted lower productivity (</w:t>
            </w:r>
            <m:oMath>
              <m:r>
                <w:rPr>
                  <w:rFonts w:ascii="Cambria Math" w:hAnsi="Cambria Math" w:cs="Arial"/>
                  <w:color w:val="000000" w:themeColor="text1"/>
                </w:rPr>
                <m:t>β=-.223</m:t>
              </m:r>
            </m:oMath>
            <w:r w:rsidRPr="00A909C2">
              <w:rPr>
                <w:rFonts w:ascii="Arial" w:hAnsi="Arial" w:cs="Arial"/>
                <w:color w:val="000000" w:themeColor="text1"/>
              </w:rPr>
              <w:t>,</w:t>
            </w:r>
            <w:r w:rsidRPr="00A909C2">
              <w:rPr>
                <w:rStyle w:val="apple-converted-space"/>
                <w:rFonts w:ascii="Arial" w:hAnsi="Arial" w:cs="Arial"/>
                <w:color w:val="000000" w:themeColor="text1"/>
              </w:rPr>
              <w:t> </w:t>
            </w:r>
            <m:oMath>
              <m:r>
                <w:rPr>
                  <w:rFonts w:ascii="Cambria Math" w:hAnsi="Cambria Math" w:cs="Arial"/>
                  <w:color w:val="000000" w:themeColor="text1"/>
                </w:rPr>
                <m:t>p=.003</m:t>
              </m:r>
            </m:oMath>
            <w:r w:rsidRPr="00A909C2">
              <w:rPr>
                <w:rFonts w:ascii="Arial" w:hAnsi="Arial" w:cs="Arial"/>
                <w:color w:val="000000" w:themeColor="text1"/>
              </w:rPr>
              <w:t>).</w:t>
            </w:r>
          </w:p>
        </w:tc>
        <w:tc>
          <w:tcPr>
            <w:tcW w:w="1791" w:type="dxa"/>
          </w:tcPr>
          <w:p w14:paraId="68B54D36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Participants recounted product rejection, exclusion from larger markets, discriminatory treatment, limited institutional assistance, and difficulty meeting government or industry requirements.</w:t>
            </w:r>
          </w:p>
        </w:tc>
        <w:tc>
          <w:tcPr>
            <w:tcW w:w="2030" w:type="dxa"/>
          </w:tcPr>
          <w:p w14:paraId="0E6003EF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Convergence</w:t>
            </w:r>
          </w:p>
        </w:tc>
        <w:tc>
          <w:tcPr>
            <w:tcW w:w="2137" w:type="dxa"/>
          </w:tcPr>
          <w:p w14:paraId="1483B035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Innovation is not solely an individual capability; it depends on responsive institutions, accessible services, supportive networks, and inclusive market systems.</w:t>
            </w:r>
          </w:p>
        </w:tc>
      </w:tr>
      <w:tr w:rsidR="0091610D" w:rsidRPr="00A909C2" w14:paraId="6F3E2344" w14:textId="77777777" w:rsidTr="00D85AC6">
        <w:tc>
          <w:tcPr>
            <w:tcW w:w="1751" w:type="dxa"/>
          </w:tcPr>
          <w:p w14:paraId="2901BCD4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Gender stereotypes and sociocultural barriers</w:t>
            </w:r>
          </w:p>
        </w:tc>
        <w:tc>
          <w:tcPr>
            <w:tcW w:w="2660" w:type="dxa"/>
          </w:tcPr>
          <w:p w14:paraId="42B5D4AD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Gender stereotypes and cultural norms, as well as regional and sociocultural barriers, had unexpected positive regression coefficients after controlling for other barriers.</w:t>
            </w:r>
          </w:p>
        </w:tc>
        <w:tc>
          <w:tcPr>
            <w:tcW w:w="1791" w:type="dxa"/>
          </w:tcPr>
          <w:p w14:paraId="54ACCB83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Participants reported being questioned, ridiculed, or treated as out of place when operating machinery, leading enterprises, or entering male-dominated agricultural spaces.</w:t>
            </w:r>
          </w:p>
        </w:tc>
        <w:tc>
          <w:tcPr>
            <w:tcW w:w="2030" w:type="dxa"/>
          </w:tcPr>
          <w:p w14:paraId="04083231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Divergence requiring explanation</w:t>
            </w:r>
          </w:p>
        </w:tc>
        <w:tc>
          <w:tcPr>
            <w:tcW w:w="2137" w:type="dxa"/>
          </w:tcPr>
          <w:p w14:paraId="497A2DDC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Gender norms remain restrictive in women’s lived experiences. The positive statistical coefficients should not be interpreted as beneficial effects; they may reflect suppression effects, resilience among already successful innovators, or unmeasured enabling factors.</w:t>
            </w:r>
          </w:p>
        </w:tc>
      </w:tr>
      <w:tr w:rsidR="0091610D" w:rsidRPr="00A909C2" w14:paraId="12D795D9" w14:textId="77777777" w:rsidTr="00D85AC6">
        <w:tc>
          <w:tcPr>
            <w:tcW w:w="1751" w:type="dxa"/>
          </w:tcPr>
          <w:p w14:paraId="3DDBD972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lastRenderedPageBreak/>
              <w:t>Family structure and innovation productivity</w:t>
            </w:r>
          </w:p>
        </w:tc>
        <w:tc>
          <w:tcPr>
            <w:tcW w:w="2660" w:type="dxa"/>
          </w:tcPr>
          <w:p w14:paraId="3631B9EA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Structural family status was significantly associated with innovation productivity, Welch’s</w:t>
            </w:r>
            <w:r w:rsidRPr="00A909C2">
              <w:rPr>
                <w:rStyle w:val="apple-converted-space"/>
                <w:rFonts w:ascii="Arial" w:hAnsi="Arial" w:cs="Arial"/>
                <w:color w:val="000000" w:themeColor="text1"/>
              </w:rPr>
              <w:t> </w:t>
            </w:r>
            <m:oMath>
              <m:r>
                <w:rPr>
                  <w:rFonts w:ascii="Cambria Math" w:hAnsi="Cambria Math" w:cs="Arial"/>
                  <w:color w:val="000000" w:themeColor="text1"/>
                </w:rPr>
                <m:t>F</m:t>
              </m:r>
              <m:d>
                <m:dPr>
                  <m:sepChr m:val=","/>
                  <m:ctrlPr>
                    <w:rPr>
                      <w:rFonts w:ascii="Cambria Math" w:hAnsi="Cambria Math" w:cs="Arial"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color w:val="000000" w:themeColor="text1"/>
                    </w:rPr>
                    <m:t>2</m:t>
                  </m:r>
                </m:e>
                <m:e>
                  <m:r>
                    <w:rPr>
                      <w:rFonts w:ascii="Cambria Math" w:hAnsi="Cambria Math" w:cs="Arial"/>
                      <w:color w:val="000000" w:themeColor="text1"/>
                    </w:rPr>
                    <m:t>38.625</m:t>
                  </m:r>
                </m:e>
              </m:d>
              <m:r>
                <w:rPr>
                  <w:rFonts w:ascii="Cambria Math" w:hAnsi="Cambria Math" w:cs="Arial"/>
                  <w:color w:val="000000" w:themeColor="text1"/>
                </w:rPr>
                <m:t>=3.868</m:t>
              </m:r>
            </m:oMath>
            <w:r w:rsidRPr="00A909C2">
              <w:rPr>
                <w:rFonts w:ascii="Arial" w:hAnsi="Arial" w:cs="Arial"/>
                <w:color w:val="000000" w:themeColor="text1"/>
              </w:rPr>
              <w:t>,</w:t>
            </w:r>
            <w:r w:rsidRPr="00A909C2">
              <w:rPr>
                <w:rStyle w:val="apple-converted-space"/>
                <w:rFonts w:ascii="Arial" w:hAnsi="Arial" w:cs="Arial"/>
                <w:color w:val="000000" w:themeColor="text1"/>
              </w:rPr>
              <w:t> </w:t>
            </w:r>
            <m:oMath>
              <m:r>
                <w:rPr>
                  <w:rFonts w:ascii="Cambria Math" w:hAnsi="Cambria Math" w:cs="Arial"/>
                  <w:color w:val="000000" w:themeColor="text1"/>
                </w:rPr>
                <m:t>p=.029</m:t>
              </m:r>
            </m:oMath>
            <w:r w:rsidRPr="00A909C2">
              <w:rPr>
                <w:rFonts w:ascii="Arial" w:hAnsi="Arial" w:cs="Arial"/>
                <w:color w:val="000000" w:themeColor="text1"/>
              </w:rPr>
              <w:t>. Women in extended families reported higher productivity than those in nuclear families.</w:t>
            </w:r>
          </w:p>
        </w:tc>
        <w:tc>
          <w:tcPr>
            <w:tcW w:w="1791" w:type="dxa"/>
          </w:tcPr>
          <w:p w14:paraId="2CB61522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Women described relying on family members for caregiving, farm work, household management, and livelihood support, while others carried responsibilities alone.</w:t>
            </w:r>
          </w:p>
        </w:tc>
        <w:tc>
          <w:tcPr>
            <w:tcW w:w="2030" w:type="dxa"/>
          </w:tcPr>
          <w:p w14:paraId="60558BFF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Complementarity</w:t>
            </w:r>
          </w:p>
        </w:tc>
        <w:tc>
          <w:tcPr>
            <w:tcW w:w="2137" w:type="dxa"/>
          </w:tcPr>
          <w:p w14:paraId="4CE89CE3" w14:textId="77777777" w:rsidR="0091610D" w:rsidRPr="00A909C2" w:rsidRDefault="0091610D" w:rsidP="00D85AC6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Extended-family arrangements may provide practical support that reduces work–family strain and enables women to devote more time and resources to innovation activities.</w:t>
            </w:r>
          </w:p>
        </w:tc>
      </w:tr>
      <w:tr w:rsidR="0091610D" w:rsidRPr="00A909C2" w14:paraId="338CD1EE" w14:textId="77777777" w:rsidTr="00D85AC6">
        <w:tc>
          <w:tcPr>
            <w:tcW w:w="1751" w:type="dxa"/>
          </w:tcPr>
          <w:p w14:paraId="739C5017" w14:textId="77777777" w:rsidR="0091610D" w:rsidRPr="00A909C2" w:rsidRDefault="0091610D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Environmental risks and limited protection</w:t>
            </w:r>
          </w:p>
        </w:tc>
        <w:tc>
          <w:tcPr>
            <w:tcW w:w="2660" w:type="dxa"/>
          </w:tcPr>
          <w:p w14:paraId="4EB96D47" w14:textId="77777777" w:rsidR="0091610D" w:rsidRPr="00A909C2" w:rsidRDefault="0091610D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The survey showed moderate financial, technological, and support-related barriers, which can weaken women’s capacity to manage innovation risks.</w:t>
            </w:r>
          </w:p>
        </w:tc>
        <w:tc>
          <w:tcPr>
            <w:tcW w:w="1791" w:type="dxa"/>
          </w:tcPr>
          <w:p w14:paraId="3AA21E6D" w14:textId="77777777" w:rsidR="0091610D" w:rsidRPr="00A909C2" w:rsidRDefault="0091610D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Participants described drought, storm damage, crop spoilage, insufficient water storage, market rejection, and efforts to recover capital by finding alternative buyers.</w:t>
            </w:r>
          </w:p>
        </w:tc>
        <w:tc>
          <w:tcPr>
            <w:tcW w:w="2030" w:type="dxa"/>
          </w:tcPr>
          <w:p w14:paraId="78760912" w14:textId="77777777" w:rsidR="0091610D" w:rsidRPr="00A909C2" w:rsidRDefault="0091610D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Expansion</w:t>
            </w:r>
          </w:p>
        </w:tc>
        <w:tc>
          <w:tcPr>
            <w:tcW w:w="2137" w:type="dxa"/>
          </w:tcPr>
          <w:p w14:paraId="6346F0B2" w14:textId="77777777" w:rsidR="0091610D" w:rsidRPr="00A909C2" w:rsidRDefault="0091610D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Climate and production shocks interact with limited credit, land, technology, and institutional support. Women’s innovation should therefore be understood as adaptive work undertaken under conditions of environmental and economic uncertain</w:t>
            </w:r>
          </w:p>
        </w:tc>
      </w:tr>
    </w:tbl>
    <w:p w14:paraId="34D82312" w14:textId="77777777" w:rsidR="00F727A9" w:rsidRDefault="00F727A9"/>
    <w:sectPr w:rsidR="00F727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10D"/>
    <w:rsid w:val="00034DA8"/>
    <w:rsid w:val="00340FD6"/>
    <w:rsid w:val="0091610D"/>
    <w:rsid w:val="009D2238"/>
    <w:rsid w:val="00F7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D6554B"/>
  <w15:chartTrackingRefBased/>
  <w15:docId w15:val="{54B6A5E2-724E-4444-957E-7A998D00D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10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61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61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10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10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10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10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10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10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10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1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61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1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1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1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1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1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1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1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1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16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10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16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10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161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10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161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1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1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10D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91610D"/>
  </w:style>
  <w:style w:type="table" w:styleId="TableGrid">
    <w:name w:val="Table Grid"/>
    <w:basedOn w:val="TableNormal"/>
    <w:uiPriority w:val="39"/>
    <w:rsid w:val="009161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680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ISU San Mariano</dc:creator>
  <cp:keywords/>
  <dc:description/>
  <cp:lastModifiedBy>ISU San Mariano</cp:lastModifiedBy>
  <cp:revision>1</cp:revision>
  <dcterms:created xsi:type="dcterms:W3CDTF">2026-10-14T07:12:00Z</dcterms:created>
  <dcterms:modified xsi:type="dcterms:W3CDTF">2026-10-14T07:12:00Z</dcterms:modified>
</cp:coreProperties>
</file>