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2B46F" w14:textId="77777777" w:rsidR="00DD4CA5" w:rsidRDefault="00000000">
      <w:pPr>
        <w:pStyle w:val="2"/>
        <w:widowControl/>
        <w:tabs>
          <w:tab w:val="left" w:pos="7920"/>
        </w:tabs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trike w:val="0"/>
          <w:color w:val="000000"/>
          <w:u w:val="none"/>
        </w:rPr>
        <w:t>Supporting Information (SI)</w:t>
      </w:r>
    </w:p>
    <w:p w14:paraId="3270D00E" w14:textId="77777777" w:rsidR="00DD4CA5" w:rsidRDefault="00000000">
      <w:pPr>
        <w:widowControl/>
        <w:numPr>
          <w:numId w:val="0"/>
        </w:numPr>
        <w:spacing w:line="360" w:lineRule="auto" w:after="120"/>
        <w:rPr>
          <w:rFonts w:ascii="Times New Roman" w:eastAsia="宋体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strike w:val="0"/>
          <w:color w:val="000000"/>
          <w:sz w:val="30"/>
          <w:u w:val="none"/>
        </w:rPr>
        <w:t>Rapid tetracycline degradation by a hydroxylamine/chloride-enhanced zero-valent copper/peroxydisulfate system under near-neutral conditions</w:t>
      </w:r>
    </w:p>
    <w:p w14:paraId="035E9EC9" w14:textId="77777777" w:rsidR="00D86443" w:rsidRPr="00C62293" w:rsidRDefault="006E1C16" w:rsidP="00C62293">
      <w:pPr>
        <w:widowControl/>
        <w:spacing w:after="120"/>
        <w:jc w:val="center"/>
      </w:pPr>
      <w:bookmarkStart w:id="0" w:name="OLE_LINK4"/>
      <w:bookmarkEnd w:id="0"/>
      <w:r>
        <w:rPr>
          <w:rFonts w:ascii="Times New Roman" w:hAnsi="Times New Roman"/>
          <w:strike w:val="0"/>
          <w:noProof/>
          <w:color w:val="000000"/>
          <w:u w:val="none"/>
        </w:rPr>
        <w:t>Quan Yu</w:t>
      </w:r>
      <w:r>
        <w:rPr>
          <w:rFonts w:ascii="Times New Roman" w:hAnsi="Times New Roman"/>
          <w:strike w:val="0"/>
          <w:noProof/>
          <w:color w:val="000000"/>
          <w:u w:val="none"/>
          <w:vertAlign w:val="superscript"/>
        </w:rPr>
        <w:t>a</w:t>
      </w:r>
      <w:r>
        <w:rPr>
          <w:rFonts w:ascii="Times New Roman" w:hAnsi="Times New Roman"/>
          <w:strike w:val="0"/>
          <w:noProof/>
          <w:color w:val="000000"/>
          <w:u w:val="none"/>
        </w:rPr>
        <w:t>, Renjian Deng</w:t>
      </w:r>
      <w:r>
        <w:rPr>
          <w:rFonts w:ascii="Times New Roman" w:hAnsi="Times New Roman"/>
          <w:strike w:val="0"/>
          <w:noProof/>
          <w:color w:val="000000"/>
          <w:u w:val="none"/>
          <w:vertAlign w:val="superscript"/>
        </w:rPr>
        <w:t>a, b *</w:t>
      </w:r>
      <w:r>
        <w:rPr>
          <w:rFonts w:ascii="Times New Roman" w:hAnsi="Times New Roman"/>
          <w:strike w:val="0"/>
          <w:noProof/>
          <w:color w:val="000000"/>
          <w:u w:val="none"/>
        </w:rPr>
        <w:t>, Xin Liu</w:t>
      </w:r>
      <w:r>
        <w:rPr>
          <w:rFonts w:ascii="Times New Roman" w:hAnsi="Times New Roman"/>
          <w:strike w:val="0"/>
          <w:noProof/>
          <w:color w:val="000000"/>
          <w:u w:val="none"/>
          <w:vertAlign w:val="superscript"/>
        </w:rPr>
        <w:t>c</w:t>
      </w:r>
      <w:r>
        <w:rPr>
          <w:rFonts w:ascii="Times New Roman" w:hAnsi="Times New Roman"/>
          <w:strike w:val="0"/>
          <w:noProof/>
          <w:color w:val="000000"/>
          <w:u w:val="none"/>
        </w:rPr>
        <w:t>, Baolin Hou</w:t>
      </w:r>
      <w:r>
        <w:rPr>
          <w:rFonts w:ascii="Times New Roman" w:hAnsi="Times New Roman"/>
          <w:strike w:val="0"/>
          <w:noProof/>
          <w:color w:val="000000"/>
          <w:u w:val="none"/>
          <w:vertAlign w:val="superscript"/>
        </w:rPr>
        <w:t>a</w:t>
      </w:r>
      <w:r>
        <w:rPr>
          <w:rFonts w:ascii="Times New Roman" w:hAnsi="Times New Roman"/>
          <w:strike w:val="0"/>
          <w:noProof/>
          <w:color w:val="000000"/>
          <w:u w:val="none"/>
        </w:rPr>
        <w:t>, Saijun Zhou</w:t>
      </w:r>
      <w:r>
        <w:rPr>
          <w:rFonts w:ascii="Times New Roman" w:hAnsi="Times New Roman"/>
          <w:strike w:val="0"/>
          <w:noProof/>
          <w:color w:val="000000"/>
          <w:u w:val="none"/>
          <w:vertAlign w:val="superscript"/>
        </w:rPr>
        <w:t>a, b</w:t>
      </w:r>
      <w:r>
        <w:rPr>
          <w:rFonts w:ascii="Times New Roman" w:hAnsi="Times New Roman"/>
          <w:strike w:val="0"/>
          <w:noProof/>
          <w:color w:val="000000"/>
          <w:u w:val="none"/>
        </w:rPr>
        <w:t>, Chuang Wang</w:t>
      </w:r>
      <w:r>
        <w:rPr>
          <w:rFonts w:ascii="Times New Roman" w:hAnsi="Times New Roman"/>
          <w:strike w:val="0"/>
          <w:noProof/>
          <w:color w:val="000000"/>
          <w:u w:val="none"/>
          <w:vertAlign w:val="superscript"/>
        </w:rPr>
        <w:t>a, b</w:t>
      </w:r>
      <w:r>
        <w:rPr>
          <w:rFonts w:ascii="Times New Roman" w:hAnsi="Times New Roman"/>
          <w:strike w:val="0"/>
          <w:noProof/>
          <w:color w:val="000000"/>
          <w:u w:val="none"/>
        </w:rPr>
        <w:t>, Xifeng Wang</w:t>
      </w:r>
      <w:r>
        <w:rPr>
          <w:rFonts w:ascii="Times New Roman" w:hAnsi="Times New Roman"/>
          <w:strike w:val="0"/>
          <w:noProof/>
          <w:color w:val="000000"/>
          <w:u w:val="none"/>
          <w:vertAlign w:val="superscript"/>
        </w:rPr>
        <w:t>a, b</w:t>
      </w:r>
      <w:r>
        <w:rPr>
          <w:rFonts w:ascii="Times New Roman" w:hAnsi="Times New Roman"/>
          <w:strike w:val="0"/>
          <w:noProof/>
          <w:color w:val="000000"/>
          <w:u w:val="none"/>
        </w:rPr>
        <w:t>, Bozhi Ren</w:t>
      </w:r>
      <w:r>
        <w:rPr>
          <w:rFonts w:ascii="Times New Roman" w:hAnsi="Times New Roman"/>
          <w:strike w:val="0"/>
          <w:noProof/>
          <w:color w:val="000000"/>
          <w:u w:val="none"/>
          <w:vertAlign w:val="superscript"/>
        </w:rPr>
        <w:t>a, b</w:t>
      </w:r>
      <w:r>
        <w:rPr>
          <w:rFonts w:ascii="Times New Roman" w:hAnsi="Times New Roman"/>
          <w:strike w:val="0"/>
          <w:noProof/>
          <w:color w:val="000000"/>
          <w:u w:val="none"/>
        </w:rPr>
        <w:t>, Sihui Li</w:t>
      </w:r>
      <w:r>
        <w:rPr>
          <w:rFonts w:ascii="Times New Roman" w:hAnsi="Times New Roman"/>
          <w:strike w:val="0"/>
          <w:noProof/>
          <w:color w:val="000000"/>
          <w:u w:val="none"/>
          <w:vertAlign w:val="superscript"/>
        </w:rPr>
        <w:t>d</w:t>
      </w:r>
      <w:r>
        <w:rPr>
          <w:rFonts w:ascii="Times New Roman" w:hAnsi="Times New Roman"/>
          <w:strike w:val="0"/>
          <w:noProof/>
          <w:color w:val="000000"/>
          <w:u w:val="none"/>
        </w:rPr>
        <w:t>, Wei Huang</w:t>
      </w:r>
      <w:r>
        <w:rPr>
          <w:rFonts w:ascii="Times New Roman" w:hAnsi="Times New Roman"/>
          <w:strike w:val="0"/>
          <w:noProof/>
          <w:color w:val="000000"/>
          <w:u w:val="none"/>
          <w:vertAlign w:val="superscript"/>
        </w:rPr>
        <w:t>d</w:t>
      </w:r>
    </w:p>
    <w:p w14:paraId="31D756A7" w14:textId="77777777" w:rsidR="00DD4CA5" w:rsidRDefault="00000000">
      <w:pPr>
        <w:widowControl/>
        <w:spacing w:line="360" w:lineRule="auto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trike w:val="0"/>
          <w:color w:val="000000"/>
          <w:szCs w:val="21"/>
          <w:u w:val="none"/>
          <w:vertAlign w:val="superscript"/>
        </w:rPr>
        <w:t>a</w:t>
      </w:r>
      <w:r>
        <w:rPr>
          <w:rFonts w:ascii="Times New Roman" w:hAnsi="Times New Roman" w:cs="Times New Roman"/>
          <w:strike w:val="0"/>
          <w:color w:val="000000"/>
          <w:u w:val="none"/>
        </w:rPr>
        <w:t xml:space="preserve"> </w:t>
      </w:r>
      <w:bookmarkStart w:id="1" w:name="OLE_LINK5"/>
      <w:r>
        <w:rPr>
          <w:rFonts w:ascii="Times New Roman" w:hAnsi="Times New Roman" w:cs="Times New Roman"/>
          <w:strike w:val="0"/>
          <w:color w:val="000000"/>
          <w:u w:val="none"/>
        </w:rPr>
        <w:t xml:space="preserve">School of Civil Engineering, </w:t>
      </w:r>
      <w:bookmarkStart w:id="2" w:name="OLE_LINK215"/>
      <w:r>
        <w:rPr>
          <w:rFonts w:ascii="Times New Roman" w:hAnsi="Times New Roman" w:cs="Times New Roman"/>
          <w:strike w:val="0"/>
          <w:color w:val="000000"/>
          <w:u w:val="none"/>
        </w:rPr>
        <w:t>Hunan University of Science and Technology</w:t>
      </w:r>
      <w:bookmarkEnd w:id="2"/>
      <w:r>
        <w:rPr>
          <w:rFonts w:ascii="Times New Roman" w:hAnsi="Times New Roman" w:cs="Times New Roman"/>
          <w:strike w:val="0"/>
          <w:color w:val="000000"/>
          <w:u w:val="none"/>
        </w:rPr>
        <w:t xml:space="preserve">, Xiangtan, Hunan </w:t>
      </w:r>
      <w:bookmarkStart w:id="3" w:name="OLE_LINK102"/>
      <w:r>
        <w:rPr>
          <w:rFonts w:ascii="Times New Roman" w:hAnsi="Times New Roman" w:cs="Times New Roman"/>
          <w:strike w:val="0"/>
          <w:color w:val="000000"/>
          <w:u w:val="none"/>
        </w:rPr>
        <w:t>411201</w:t>
      </w:r>
      <w:bookmarkEnd w:id="3"/>
      <w:r>
        <w:rPr>
          <w:rFonts w:ascii="Times New Roman" w:hAnsi="Times New Roman" w:cs="Times New Roman"/>
          <w:strike w:val="0"/>
          <w:color w:val="000000"/>
          <w:u w:val="none"/>
        </w:rPr>
        <w:t>, China</w:t>
      </w:r>
    </w:p>
    <w:bookmarkEnd w:id="1"/>
    <w:p w14:paraId="2D242301" w14:textId="77777777" w:rsidR="00DD4CA5" w:rsidRDefault="00000000">
      <w:pPr>
        <w:widowControl/>
        <w:spacing w:line="360" w:lineRule="auto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trike w:val="0"/>
          <w:color w:val="000000"/>
          <w:u w:val="none"/>
          <w:vertAlign w:val="superscript"/>
        </w:rPr>
        <w:t>b</w:t>
      </w:r>
      <w:r>
        <w:rPr>
          <w:rFonts w:ascii="Times New Roman" w:hAnsi="Times New Roman" w:cs="Times New Roman"/>
          <w:strike w:val="0"/>
          <w:color w:val="000000"/>
          <w:kern w:val="0"/>
          <w:u w:val="none"/>
        </w:rPr>
        <w:t xml:space="preserve"> </w:t>
      </w:r>
      <w:r>
        <w:rPr>
          <w:rFonts w:ascii="Times New Roman" w:hAnsi="Times New Roman" w:cs="Times New Roman"/>
          <w:strike w:val="0"/>
          <w:color w:val="000000"/>
          <w:u w:val="none"/>
        </w:rPr>
        <w:t xml:space="preserve">Hunan Province Key Laboratory of Coal Resources Clean Utilization and Mine Environment Protection, Xiangtan, Hunan 411201, China</w:t>
      </w:r>
    </w:p>
    <w:p w14:paraId="5E5FAB23" w14:textId="77777777" w:rsidR="00DD4CA5" w:rsidRDefault="00000000">
      <w:pPr>
        <w:widowControl/>
        <w:spacing w:line="360" w:lineRule="auto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trike w:val="0"/>
          <w:color w:val="000000"/>
          <w:u w:val="none"/>
          <w:vertAlign w:val="superscript"/>
        </w:rPr>
        <w:t>c</w:t>
      </w:r>
      <w:r>
        <w:rPr>
          <w:rFonts w:ascii="Times New Roman" w:hAnsi="Times New Roman" w:cs="Times New Roman"/>
          <w:strike w:val="0"/>
          <w:color w:val="000000"/>
          <w:kern w:val="0"/>
          <w:u w:val="none"/>
        </w:rPr>
        <w:t xml:space="preserve"> </w:t>
      </w:r>
      <w:r>
        <w:rPr>
          <w:rFonts w:ascii="Times New Roman" w:hAnsi="Times New Roman" w:cs="Times New Roman"/>
          <w:strike w:val="0"/>
          <w:color w:val="000000"/>
          <w:u w:val="none"/>
        </w:rPr>
        <w:t>Hunan Province Key Laboratory of Pollution Control and Resource Reuse Technology, University of South China, Hengyang 421001, China</w:t>
      </w:r>
    </w:p>
    <w:p w14:paraId="17354C63" w14:textId="77777777" w:rsidR="00DD4CA5" w:rsidRDefault="00000000">
      <w:pPr>
        <w:widowControl/>
        <w:spacing w:line="360" w:lineRule="auto" w:after="120"/>
        <w:rPr>
          <w:rFonts w:ascii="Times New Roman" w:hAnsi="Times New Roman" w:cs="Times New Roman"/>
          <w:lang w:bidi="ar"/>
        </w:rPr>
      </w:pPr>
      <w:r>
        <w:rPr>
          <w:rFonts w:ascii="Times New Roman" w:hAnsi="Times New Roman" w:cs="Times New Roman"/>
          <w:strike w:val="0"/>
          <w:color w:val="000000"/>
          <w:u w:val="none"/>
          <w:vertAlign w:val="superscript"/>
        </w:rPr>
        <w:t>d</w:t>
      </w:r>
      <w:r>
        <w:rPr>
          <w:rFonts w:ascii="Times New Roman" w:hAnsi="Times New Roman" w:cs="Times New Roman"/>
          <w:strike w:val="0"/>
          <w:color w:val="000000"/>
          <w:kern w:val="0"/>
          <w:u w:val="none"/>
        </w:rPr>
        <w:t xml:space="preserve"> </w:t>
      </w:r>
      <w:r>
        <w:rPr>
          <w:rFonts w:ascii="Times New Roman" w:hAnsi="Times New Roman" w:cs="Times New Roman"/>
          <w:bCs/>
          <w:strike w:val="0"/>
          <w:color w:val="000000"/>
          <w:u w:val="none"/>
        </w:rPr>
        <w:t xml:space="preserve">Xiangtan </w:t>
      </w:r>
      <w:proofErr w:type="spellStart"/>
      <w:r>
        <w:rPr>
          <w:rFonts w:ascii="Times New Roman" w:hAnsi="Times New Roman" w:cs="Times New Roman"/>
          <w:bCs/>
          <w:strike w:val="0"/>
          <w:color w:val="000000"/>
          <w:u w:val="none"/>
        </w:rPr>
        <w:t>Zhonghuan</w:t>
      </w:r>
      <w:proofErr w:type="spellEnd"/>
      <w:r>
        <w:rPr>
          <w:rFonts w:ascii="Times New Roman" w:hAnsi="Times New Roman" w:cs="Times New Roman"/>
          <w:bCs/>
          <w:strike w:val="0"/>
          <w:color w:val="000000"/>
          <w:u w:val="none"/>
        </w:rPr>
        <w:t xml:space="preserve"> Water Affairs Co. Ltd., Xiangtan, Hunan, 411100, China</w:t>
      </w:r>
    </w:p>
    <w:p w14:paraId="5209FEF8" w14:textId="77777777" w:rsidR="00DD4CA5" w:rsidRDefault="00000000">
      <w:pPr>
        <w:widowControl/>
        <w:spacing w:line="360" w:lineRule="auto" w:after="120"/>
        <w:rPr>
          <w:rStyle w:val="fontstyle01"/>
          <w:rFonts w:ascii="Times New Roman" w:hAnsi="Times New Roman" w:cs="Times New Roman"/>
          <w:sz w:val="24"/>
          <w:szCs w:val="24"/>
        </w:rPr>
      </w:pPr>
      <w:bookmarkStart w:id="4" w:name="OLE_LINK115"/>
      <w:r>
        <w:rPr>
          <w:rStyle w:val="fontstyle01"/>
          <w:rFonts w:ascii="Times New Roman" w:hAnsi="Times New Roman" w:cs="Times New Roman"/>
          <w:strike w:val="0"/>
          <w:color w:val="000000"/>
          <w:sz w:val="24"/>
          <w:szCs w:val="24"/>
          <w:u w:val="none"/>
        </w:rPr>
        <w:t>* Corresponding author.</w:t>
      </w:r>
    </w:p>
    <w:bookmarkEnd w:id="4"/>
    <w:p w14:paraId="648759D1" w14:textId="77777777" w:rsidR="00DD4CA5" w:rsidRDefault="00000000">
      <w:pPr>
        <w:widowControl/>
        <w:spacing w:line="360" w:lineRule="auto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trike w:val="0"/>
          <w:color w:val="000000"/>
          <w:u w:val="none"/>
        </w:rPr>
        <w:t>School of Civil Engineering, Hunan University of Science and Technology, Xiangtan, Hunan 411201, China</w:t>
      </w:r>
    </w:p>
    <w:p w14:paraId="378D8C14" w14:textId="202371B9" w:rsidR="00DD4CA5" w:rsidRDefault="00000000">
      <w:pPr>
        <w:widowControl/>
        <w:numPr>
          <w:ilvl w:val="0"/>
          <w:numId w:val="0"/>
        </w:numPr>
        <w:spacing w:line="360" w:lineRule="auto" w:after="120"/>
        <w:rPr>
          <w:rFonts w:ascii="Times New Roman" w:hAnsi="Times New Roman" w:cs="Times New Roman"/>
          <w:bCs/>
        </w:rPr>
      </w:pPr>
      <w:r>
        <w:rPr>
          <w:rFonts w:ascii="Times New Roman" w:hAnsi="Times New Roman"/>
          <w:b w:val="0"/>
          <w:strike w:val="0"/>
          <w:color w:val="000000"/>
          <w:u w:val="none"/>
        </w:rPr>
        <w:t>E-mail addresses: waterdrj@hnust.edu.cn; deng800912@163.com (R. Deng)</w:t>
      </w:r>
    </w:p>
    <w:p w14:paraId="5DC3D041" w14:textId="77777777" w:rsidR="00DD4CA5" w:rsidRDefault="00000000">
      <w:pPr>
        <w:widowControl/>
        <w:numPr>
          <w:numId w:val="0"/>
        </w:num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/>
          <w:b w:val="0"/>
          <w:strike w:val="0"/>
          <w:color w:val="000000"/>
          <w:u w:val="none"/>
        </w:rPr>
        <w:t>Texts S1–S3; Tables S1–S3; Figures S1–S4.</w:t>
      </w:r>
    </w:p>
    <w:p w14:paraId="2D08536F" w14:textId="77777777" w:rsidR="00DD4CA5" w:rsidRDefault="00000000">
      <w:pPr>
        <w:pStyle w:val="3"/>
        <w:keepNext/>
        <w:pageBreakBefore/>
        <w:widowControl/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trike w:val="0"/>
          <w:color w:val="000000"/>
          <w:sz w:val="24"/>
          <w:szCs w:val="24"/>
          <w:u w:val="none"/>
        </w:rPr>
        <w:lastRenderedPageBreak/>
        <w:t>Text S1. Determination of TC by HPLC.</w:t>
      </w:r>
    </w:p>
    <w:p w14:paraId="33759155" w14:textId="77777777" w:rsidR="00DD4CA5" w:rsidRDefault="00000000">
      <w:pPr>
        <w:widowControl/>
        <w:spacing w:line="480" w:lineRule="auto" w:after="120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trike w:val="0"/>
          <w:color w:val="000000"/>
          <w:u w:val="none"/>
        </w:rPr>
        <w:t xml:space="preserve">The concentration of tetracycline (TC) was determined using a high-performance liquid chromatography system (Agilent 1260, Agilent Technologies, USA) equipped with a UV detector, an autosampler, and a C18 column (5 </w:t>
      </w:r>
      <w:proofErr w:type="spellStart"/>
      <w:r>
        <w:rPr>
          <w:rFonts w:ascii="Times New Roman" w:hAnsi="Times New Roman" w:cs="Times New Roman"/>
          <w:strike w:val="0"/>
          <w:color w:val="000000"/>
          <w:u w:val="none"/>
        </w:rPr>
        <w:t>μm</w:t>
      </w:r>
      <w:proofErr w:type="spellEnd"/>
      <w:r>
        <w:rPr>
          <w:rFonts w:ascii="Times New Roman" w:hAnsi="Times New Roman" w:cs="Times New Roman"/>
          <w:strike w:val="0"/>
          <w:color w:val="000000"/>
          <w:u w:val="none"/>
        </w:rPr>
        <w:t xml:space="preserve"> × 2.1 mm × 100 mm). The mobile phase consisted of 0.1% acetic acid aqueous solution and methanol at a volume ratio of 62:38. The flow rate was 0.27 mL/min, and the injection volume was 50 </w:t>
      </w:r>
      <w:proofErr w:type="spellStart"/>
      <w:r>
        <w:rPr>
          <w:rFonts w:ascii="Times New Roman" w:hAnsi="Times New Roman" w:cs="Times New Roman"/>
          <w:strike w:val="0"/>
          <w:color w:val="000000"/>
          <w:u w:val="none"/>
        </w:rPr>
        <w:t>μL</w:t>
      </w:r>
      <w:proofErr w:type="spellEnd"/>
      <w:r>
        <w:rPr>
          <w:rFonts w:ascii="Times New Roman" w:hAnsi="Times New Roman" w:cs="Times New Roman"/>
          <w:strike w:val="0"/>
          <w:color w:val="000000"/>
          <w:u w:val="none"/>
        </w:rPr>
        <w:t xml:space="preserve">. The detection wavelength was set at 356 nm. Before HPLC analysis, the withdrawn samples were immediately quenched with sodium thiosulfate solution and filtered through a 0.45 </w:t>
      </w:r>
      <w:proofErr w:type="spellStart"/>
      <w:r>
        <w:rPr>
          <w:rFonts w:ascii="Times New Roman" w:hAnsi="Times New Roman" w:cs="Times New Roman"/>
          <w:strike w:val="0"/>
          <w:color w:val="000000"/>
          <w:u w:val="none"/>
        </w:rPr>
        <w:t>μm</w:t>
      </w:r>
      <w:proofErr w:type="spellEnd"/>
      <w:r>
        <w:rPr>
          <w:rFonts w:ascii="Times New Roman" w:hAnsi="Times New Roman" w:cs="Times New Roman"/>
          <w:strike w:val="0"/>
          <w:color w:val="000000"/>
          <w:u w:val="none"/>
        </w:rPr>
        <w:t xml:space="preserve"> membrane to remove suspended Cu⁰ particles.</w:t>
      </w:r>
    </w:p>
    <w:p w14:paraId="39BBF8FA" w14:textId="77777777" w:rsidR="00DD4CA5" w:rsidRDefault="00000000">
      <w:pPr>
        <w:pStyle w:val="3"/>
        <w:keepNext/>
        <w:pageBreakBefore/>
        <w:widowControl/>
        <w:numPr>
          <w:numId w:val="0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trike w:val="0"/>
          <w:color w:val="000000"/>
          <w:u w:val="none"/>
        </w:rPr>
        <w:t>Text S2. EPR procedure.</w:t>
      </w:r>
    </w:p>
    <w:p w14:paraId="7B4B70C0" w14:textId="77777777" w:rsidR="00DD4CA5" w:rsidRDefault="00000000">
      <w:pPr>
        <w:widowControl/>
        <w:spacing w:line="480" w:lineRule="auto" w:after="120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trike w:val="0"/>
          <w:color w:val="000000"/>
          <w:u w:val="none"/>
        </w:rPr>
        <w:t xml:space="preserve">Electron paramagnetic resonance (EPR) spectroscopy was used to identify the radical species generated in the Cu⁰/PDS/HA/Cl⁻ system. 5,5-Dimethyl-1-pyrroline N-oxide (DMPO) was used as the spin-trapping agent. In a typical EPR experiment, TC, Cl⁻, HA, PDS and DMPO were first mixed, and Cu⁰ was then added to initiate the reaction. The reaction conditions were as follows: [TC]₀ = 5 mg/L, [Cu</w:t>
      </w:r>
      <w:proofErr w:type="gramStart"/>
      <w:r>
        <w:rPr>
          <w:rFonts w:ascii="Times New Roman" w:hAnsi="Times New Roman" w:cs="Times New Roman"/>
          <w:strike w:val="0"/>
          <w:color w:val="000000"/>
          <w:u w:val="none"/>
        </w:rPr>
        <w:t>⁰]₀</w:t>
      </w:r>
      <w:proofErr w:type="gramEnd"/>
      <w:r>
        <w:rPr>
          <w:rFonts w:ascii="Times New Roman" w:hAnsi="Times New Roman" w:cs="Times New Roman"/>
          <w:strike w:val="0"/>
          <w:color w:val="000000"/>
          <w:u w:val="none"/>
        </w:rPr>
        <w:t xml:space="preserve"> = 0.05 g/L, [HA]₀ = 0.3 mmol/L, [PDS]₀ = 0.1 mmol/L, [Cl</w:t>
      </w:r>
      <w:proofErr w:type="gramStart"/>
      <w:r>
        <w:rPr>
          <w:rFonts w:ascii="Times New Roman" w:hAnsi="Times New Roman" w:cs="Times New Roman"/>
          <w:strike w:val="0"/>
          <w:color w:val="000000"/>
          <w:u w:val="none"/>
        </w:rPr>
        <w:t>⁻]₀</w:t>
      </w:r>
      <w:proofErr w:type="gramEnd"/>
      <w:r>
        <w:rPr>
          <w:rFonts w:ascii="Times New Roman" w:hAnsi="Times New Roman" w:cs="Times New Roman"/>
          <w:strike w:val="0"/>
          <w:color w:val="000000"/>
          <w:u w:val="none"/>
        </w:rPr>
        <w:t xml:space="preserve"> = 3 mmol/L, pH₀ = 5.0 </w:t>
      </w:r>
      <w:r>
        <w:rPr>
          <w:rFonts w:ascii="Times New Roman" w:eastAsia="等线" w:hAnsi="Times New Roman" w:cs="Times New Roman"/>
          <w:strike w:val="0"/>
          <w:color w:val="000000"/>
          <w:u w:val="none"/>
        </w:rPr>
        <w:t>±</w:t>
      </w:r>
      <w:r>
        <w:rPr>
          <w:rFonts w:ascii="Times New Roman" w:hAnsi="Times New Roman" w:cs="Times New Roman"/>
          <w:strike w:val="0"/>
          <w:color w:val="000000"/>
          <w:u w:val="none"/>
        </w:rPr>
        <w:t xml:space="preserve"> 0.1, and T = 25 </w:t>
      </w:r>
      <w:r>
        <w:rPr>
          <w:rFonts w:ascii="Times New Roman" w:eastAsia="等线" w:hAnsi="Times New Roman" w:cs="Times New Roman"/>
          <w:strike w:val="0"/>
          <w:color w:val="000000"/>
          <w:u w:val="none"/>
        </w:rPr>
        <w:t>±</w:t>
      </w:r>
      <w:r>
        <w:rPr>
          <w:rFonts w:ascii="Times New Roman" w:hAnsi="Times New Roman" w:cs="Times New Roman"/>
          <w:strike w:val="0"/>
          <w:color w:val="000000"/>
          <w:u w:val="none"/>
        </w:rPr>
        <w:t xml:space="preserve"> 1 </w:t>
      </w:r>
      <w:r>
        <w:rPr>
          <w:rFonts w:ascii="Times New Roman" w:eastAsia="等线" w:hAnsi="Times New Roman" w:cs="Times New Roman"/>
          <w:strike w:val="0"/>
          <w:color w:val="000000"/>
          <w:u w:val="none"/>
        </w:rPr>
        <w:t>°</w:t>
      </w:r>
      <w:r>
        <w:rPr>
          <w:rFonts w:ascii="Times New Roman" w:hAnsi="Times New Roman" w:cs="Times New Roman"/>
          <w:strike w:val="0"/>
          <w:color w:val="000000"/>
          <w:u w:val="none"/>
        </w:rPr>
        <w:t xml:space="preserve">C. After a short reaction time, the suspension was rapidly transferred into a 100 </w:t>
      </w:r>
      <w:proofErr w:type="spellStart"/>
      <w:r>
        <w:rPr>
          <w:rFonts w:ascii="Times New Roman" w:hAnsi="Times New Roman" w:cs="Times New Roman"/>
          <w:strike w:val="0"/>
          <w:color w:val="000000"/>
          <w:u w:val="none"/>
        </w:rPr>
        <w:t>μL</w:t>
      </w:r>
      <w:proofErr w:type="spellEnd"/>
      <w:r>
        <w:rPr>
          <w:rFonts w:ascii="Times New Roman" w:hAnsi="Times New Roman" w:cs="Times New Roman"/>
          <w:strike w:val="0"/>
          <w:color w:val="000000"/>
          <w:u w:val="none"/>
        </w:rPr>
        <w:t xml:space="preserve"> capillary tube and inserted into the cavity of the EPR spectrometer (A200, Bruker, Germany) for immediate analysis. The signals assigned to DMPO–SO₄ and DMPO–OH were recorded to assess radical formation in the Cu⁰/PDS/HA/Cl⁻ system. Spin-adduct signals were interpreted together with the quenching tests; the DMPO–OH signal alone was not treated as definitive evidence for •OH.</w:t>
      </w:r>
      <w:r>
        <w:rPr>
          <w:rFonts w:ascii="Times New Roman" w:eastAsia="等线" w:hAnsi="Times New Roman" w:cs="Times New Roman"/>
          <w:strike w:val="0"/>
          <w:color w:val="000000"/>
          <w:u w:val="none"/>
        </w:rPr>
        <w:t xml:space="preserve"/>
      </w:r>
      <w:r>
        <w:rPr>
          <w:rFonts w:ascii="Times New Roman" w:hAnsi="Times New Roman" w:cs="Times New Roman"/>
          <w:strike w:val="0"/>
          <w:color w:val="000000"/>
          <w:u w:val="none"/>
        </w:rPr>
        <w:t xml:space="preserve"/>
      </w:r>
      <w:r>
        <w:rPr>
          <w:rFonts w:ascii="Times New Roman" w:eastAsia="等线" w:hAnsi="Times New Roman" w:cs="Times New Roman"/>
          <w:strike w:val="0"/>
          <w:color w:val="000000"/>
          <w:u w:val="none"/>
        </w:rPr>
        <w:t xml:space="preserve"/>
      </w:r>
      <w:r>
        <w:rPr>
          <w:rFonts w:ascii="Times New Roman" w:hAnsi="Times New Roman" w:cs="Times New Roman"/>
          <w:strike w:val="0"/>
          <w:color w:val="000000"/>
          <w:u w:val="none"/>
        </w:rPr>
        <w:t xml:space="preserve"/>
      </w:r>
      <w:r>
        <w:rPr>
          <w:rFonts w:ascii="Times New Roman" w:eastAsia="等线" w:hAnsi="Times New Roman" w:cs="Times New Roman"/>
          <w:strike w:val="0"/>
          <w:color w:val="000000"/>
          <w:u w:val="none"/>
        </w:rPr>
        <w:t xml:space="preserve"/>
      </w:r>
      <w:r>
        <w:rPr>
          <w:rFonts w:ascii="Times New Roman" w:hAnsi="Times New Roman" w:cs="Times New Roman"/>
          <w:strike w:val="0"/>
          <w:color w:val="000000"/>
          <w:u w:val="none"/>
        </w:rPr>
        <w:t xml:space="preserve"/>
      </w:r>
    </w:p>
    <w:p w14:paraId="3FAA68DB" w14:textId="77777777" w:rsidR="00DD4CA5" w:rsidRDefault="00000000">
      <w:pPr>
        <w:pStyle w:val="3"/>
        <w:keepNext/>
        <w:pageBreakBefore/>
        <w:widowControl/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trike w:val="0"/>
          <w:color w:val="000000"/>
          <w:sz w:val="24"/>
          <w:szCs w:val="24"/>
          <w:u w:val="none"/>
        </w:rPr>
        <w:lastRenderedPageBreak/>
        <w:t>Text S3. LC-MS analysis of TC degradation products.</w:t>
      </w:r>
    </w:p>
    <w:p w14:paraId="07856B9C" w14:textId="77777777" w:rsidR="00DD4CA5" w:rsidRDefault="00000000">
      <w:pPr>
        <w:widowControl/>
        <w:spacing w:line="480" w:lineRule="auto" w:after="120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trike w:val="0"/>
          <w:color w:val="000000"/>
          <w:u w:val="none"/>
        </w:rPr>
        <w:t xml:space="preserve">The degradation products of tetracycline (TC) were analyzed using a liquid chromatography–mass spectrometry system (Agilent 1260/6550, Agilent Technologies, USA) in positive ion mode. The mobile phase consisted of 0.1% formic acid aqueous solution and methanol. The flow rate was 0.3 mL/min, and the injection volume was 5 </w:t>
      </w:r>
      <w:proofErr w:type="spellStart"/>
      <w:r>
        <w:rPr>
          <w:rFonts w:ascii="Times New Roman" w:hAnsi="Times New Roman" w:cs="Times New Roman"/>
          <w:strike w:val="0"/>
          <w:color w:val="000000"/>
          <w:u w:val="none"/>
        </w:rPr>
        <w:t>μL</w:t>
      </w:r>
      <w:proofErr w:type="spellEnd"/>
      <w:r>
        <w:rPr>
          <w:rFonts w:ascii="Times New Roman" w:hAnsi="Times New Roman" w:cs="Times New Roman"/>
          <w:strike w:val="0"/>
          <w:color w:val="000000"/>
          <w:u w:val="none"/>
        </w:rPr>
        <w:t>. The gradient elution program was as follows: 0–1 min, 5% methanol; 1–8 min, 5%–95% methanol; 8–13 min, 95% methanol; 13–14 min, 95%–5% methanol; and 14–15 min, 5% methanol. The capillary temperature was 350 °C, the m/z scanning range was 50–1000, and the voltage was 4000 V.</w:t>
      </w:r>
    </w:p>
    <w:p w14:paraId="4C019781" w14:textId="77777777" w:rsidR="00DD4CA5" w:rsidRDefault="00000000">
      <w:pPr>
        <w:keepNext/>
        <w:pageBreakBefore/>
        <w:widowControl/>
        <w:spacing w:beforeLines="100" w:before="312" w:afterLines="100" w:after="120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trike w:val="0"/>
          <w:color w:val="000000"/>
          <w:szCs w:val="24"/>
          <w:u w:val="none"/>
        </w:rPr>
        <w:t>Table S1. Analytical methods and instruments used in this study.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666666"/>
          <w:bottom w:val="single" w:sz="4" w:color="666666"/>
          <w:left w:val="nil" w:sz="4" w:color="666666"/>
          <w:right w:val="nil" w:sz="4" w:color="666666"/>
          <w:insideH w:val="single" w:sz="4" w:color="666666"/>
          <w:insideV w:val="nil" w:sz="4" w:color="666666"/>
        </w:tblBorders>
      </w:tblPr>
      <w:tblGrid>
        <w:gridCol w:w="1440"/>
        <w:gridCol w:w="1584"/>
        <w:gridCol w:w="2736"/>
        <w:gridCol w:w="1440"/>
        <w:gridCol w:w="1872"/>
      </w:tblGrid>
      <w:tr>
        <w:trPr>
          <w:tblHeader/>
          <w:cantSplit/>
        </w:trPr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b/>
                <w:sz w:val="18"/>
              </w:rPr>
              <w:t>Analyte / parameter</w:t>
            </w:r>
          </w:p>
        </w:tc>
        <w:tc>
          <w:tcPr>
            <w:tcW w:type="dxa" w:w="1584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b/>
                <w:sz w:val="18"/>
              </w:rPr>
              <w:t>Analytical method</w:t>
            </w:r>
          </w:p>
        </w:tc>
        <w:tc>
          <w:tcPr>
            <w:tcW w:type="dxa" w:w="2736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b/>
                <w:sz w:val="18"/>
              </w:rPr>
              <w:t>Instrument</w:t>
            </w:r>
          </w:p>
        </w:tc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b/>
                <w:sz w:val="18"/>
              </w:rPr>
              <w:t>Detection condition</w:t>
            </w:r>
          </w:p>
        </w:tc>
        <w:tc>
          <w:tcPr>
            <w:tcW w:type="dxa" w:w="1872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b/>
                <w:sz w:val="18"/>
              </w:rPr>
              <w:t>Purpose</w:t>
            </w:r>
          </w:p>
        </w:tc>
      </w:tr>
      <w:tr>
        <w:trPr>
          <w:cantSplit/>
        </w:trPr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pH</w:t>
            </w:r>
          </w:p>
        </w:tc>
        <w:tc>
          <w:tcPr>
            <w:tcW w:type="dxa" w:w="1584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Potentiometric method</w:t>
            </w:r>
          </w:p>
        </w:tc>
        <w:tc>
          <w:tcPr>
            <w:tcW w:type="dxa" w:w="2736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PHS-25 pH meter, Shanghai INESA Scientific Instrument Co., Ltd., China</w:t>
            </w:r>
          </w:p>
        </w:tc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—</w:t>
            </w:r>
          </w:p>
        </w:tc>
        <w:tc>
          <w:tcPr>
            <w:tcW w:type="dxa" w:w="1872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Solution pH</w:t>
            </w:r>
          </w:p>
        </w:tc>
      </w:tr>
      <w:tr>
        <w:trPr>
          <w:cantSplit/>
        </w:trPr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Tetracycline (TC)</w:t>
            </w:r>
          </w:p>
        </w:tc>
        <w:tc>
          <w:tcPr>
            <w:tcW w:type="dxa" w:w="1584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High-performance liquid chromatography</w:t>
            </w:r>
          </w:p>
        </w:tc>
        <w:tc>
          <w:tcPr>
            <w:tcW w:type="dxa" w:w="2736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Agilent 1260 HPLC, Agilent Technologies, USA</w:t>
            </w:r>
          </w:p>
        </w:tc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See Text S1</w:t>
            </w:r>
          </w:p>
        </w:tc>
        <w:tc>
          <w:tcPr>
            <w:tcW w:type="dxa" w:w="1872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Residual TC concentration</w:t>
            </w:r>
          </w:p>
        </w:tc>
      </w:tr>
      <w:tr>
        <w:trPr>
          <w:cantSplit/>
        </w:trPr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Cu⁺</w:t>
            </w:r>
          </w:p>
        </w:tc>
        <w:tc>
          <w:tcPr>
            <w:tcW w:type="dxa" w:w="1584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Neocuproine colorimetry</w:t>
            </w:r>
          </w:p>
        </w:tc>
        <w:tc>
          <w:tcPr>
            <w:tcW w:type="dxa" w:w="2736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TU-1901 UV–vis spectrophotometer, Beijing Purkinje General Instrument Co., Ltd., China</w:t>
            </w:r>
          </w:p>
        </w:tc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455 nm</w:t>
            </w:r>
          </w:p>
        </w:tc>
        <w:tc>
          <w:tcPr>
            <w:tcW w:type="dxa" w:w="1872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Dissolved Cu⁺</w:t>
            </w:r>
          </w:p>
        </w:tc>
      </w:tr>
      <w:tr>
        <w:trPr>
          <w:cantSplit/>
        </w:trPr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Total dissolved copper (TDC)</w:t>
            </w:r>
          </w:p>
        </w:tc>
        <w:tc>
          <w:tcPr>
            <w:tcW w:type="dxa" w:w="1584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Neocuproine colorimetry after reduction by excess HA</w:t>
            </w:r>
          </w:p>
        </w:tc>
        <w:tc>
          <w:tcPr>
            <w:tcW w:type="dxa" w:w="2736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TU-1901 UV–vis spectrophotometer, Beijing Purkinje General Instrument Co., Ltd., China</w:t>
            </w:r>
          </w:p>
        </w:tc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455 nm</w:t>
            </w:r>
          </w:p>
        </w:tc>
        <w:tc>
          <w:tcPr>
            <w:tcW w:type="dxa" w:w="1872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Copper release</w:t>
            </w:r>
          </w:p>
        </w:tc>
      </w:tr>
      <w:tr>
        <w:trPr>
          <w:cantSplit/>
        </w:trPr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Hydroxylamine (HA)</w:t>
            </w:r>
          </w:p>
        </w:tc>
        <w:tc>
          <w:tcPr>
            <w:tcW w:type="dxa" w:w="1584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Spectrophotometry</w:t>
            </w:r>
          </w:p>
        </w:tc>
        <w:tc>
          <w:tcPr>
            <w:tcW w:type="dxa" w:w="2736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TU-1901 UV–vis spectrophotometer, Beijing Purkinje General Instrument Co., Ltd., China</w:t>
            </w:r>
          </w:p>
        </w:tc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705 nm</w:t>
            </w:r>
          </w:p>
        </w:tc>
        <w:tc>
          <w:tcPr>
            <w:tcW w:type="dxa" w:w="1872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HA consumption</w:t>
            </w:r>
          </w:p>
        </w:tc>
      </w:tr>
      <w:tr>
        <w:trPr>
          <w:cantSplit/>
        </w:trPr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NO₃⁻ and NO₂⁻</w:t>
            </w:r>
          </w:p>
        </w:tc>
        <w:tc>
          <w:tcPr>
            <w:tcW w:type="dxa" w:w="1584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Ion chromatography</w:t>
            </w:r>
          </w:p>
        </w:tc>
        <w:tc>
          <w:tcPr>
            <w:tcW w:type="dxa" w:w="2736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Dionex ICS-600, Thermo Fisher Scientific Inc., USA</w:t>
            </w:r>
          </w:p>
        </w:tc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—</w:t>
            </w:r>
          </w:p>
        </w:tc>
        <w:tc>
          <w:tcPr>
            <w:tcW w:type="dxa" w:w="1872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HA oxidation products</w:t>
            </w:r>
          </w:p>
        </w:tc>
      </w:tr>
      <w:tr>
        <w:trPr>
          <w:cantSplit/>
        </w:trPr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Total dissolved nitrogen (TDN)</w:t>
            </w:r>
          </w:p>
        </w:tc>
        <w:tc>
          <w:tcPr>
            <w:tcW w:type="dxa" w:w="1584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Total nitrogen analysis</w:t>
            </w:r>
          </w:p>
        </w:tc>
        <w:tc>
          <w:tcPr>
            <w:tcW w:type="dxa" w:w="2736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TN-3C/3D analyzer, Shenzhen Changhong Instrument Co., Ltd., China</w:t>
            </w:r>
          </w:p>
        </w:tc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—</w:t>
            </w:r>
          </w:p>
        </w:tc>
        <w:tc>
          <w:tcPr>
            <w:tcW w:type="dxa" w:w="1872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Nitrogen balance</w:t>
            </w:r>
          </w:p>
        </w:tc>
      </w:tr>
      <w:tr>
        <w:trPr>
          <w:cantSplit/>
        </w:trPr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Total organic carbon (TOC)</w:t>
            </w:r>
          </w:p>
        </w:tc>
        <w:tc>
          <w:tcPr>
            <w:tcW w:type="dxa" w:w="1584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Total organic carbon analysis</w:t>
            </w:r>
          </w:p>
        </w:tc>
        <w:tc>
          <w:tcPr>
            <w:tcW w:type="dxa" w:w="2736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TOC-VCPH analyzer, Shimadzu, Japan</w:t>
            </w:r>
          </w:p>
        </w:tc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—</w:t>
            </w:r>
          </w:p>
        </w:tc>
        <w:tc>
          <w:tcPr>
            <w:tcW w:type="dxa" w:w="1872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Mineralization assessment</w:t>
            </w:r>
          </w:p>
        </w:tc>
      </w:tr>
      <w:tr>
        <w:trPr>
          <w:cantSplit/>
        </w:trPr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Reactive radicals</w:t>
            </w:r>
          </w:p>
        </w:tc>
        <w:tc>
          <w:tcPr>
            <w:tcW w:type="dxa" w:w="1584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Electron paramagnetic resonance spectroscopy</w:t>
            </w:r>
          </w:p>
        </w:tc>
        <w:tc>
          <w:tcPr>
            <w:tcW w:type="dxa" w:w="2736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A200 EPR spectrometer, Bruker, Germany</w:t>
            </w:r>
          </w:p>
        </w:tc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DMPO spin trapping; see Text S2</w:t>
            </w:r>
          </w:p>
        </w:tc>
        <w:tc>
          <w:tcPr>
            <w:tcW w:type="dxa" w:w="1872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Radical signals</w:t>
            </w:r>
          </w:p>
        </w:tc>
      </w:tr>
      <w:tr>
        <w:trPr>
          <w:cantSplit/>
        </w:trPr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TC degradation products</w:t>
            </w:r>
          </w:p>
        </w:tc>
        <w:tc>
          <w:tcPr>
            <w:tcW w:type="dxa" w:w="1584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Liquid chromatography–mass spectrometry</w:t>
            </w:r>
          </w:p>
        </w:tc>
        <w:tc>
          <w:tcPr>
            <w:tcW w:type="dxa" w:w="2736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Agilent 1260/6550 LC-MS, Agilent Technologies, USA</w:t>
            </w:r>
          </w:p>
        </w:tc>
        <w:tc>
          <w:tcPr>
            <w:tcW w:type="dxa" w:w="1440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See Text S3</w:t>
            </w:r>
          </w:p>
        </w:tc>
        <w:tc>
          <w:tcPr>
            <w:tcW w:type="dxa" w:w="1872"/>
            <w:tcMar>
              <w:top w:w="30" w:type="dxa"/>
              <w:left w:w="65" w:type="dxa"/>
              <w:bottom w:w="30" w:type="dxa"/>
              <w:right w:w="65" w:type="dxa"/>
            </w:tcMar>
          </w:tcPr>
          <w:p>
            <w:pPr>
              <w:spacing w:after="0" w:before="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sz w:val="18"/>
              </w:rPr>
              <w:t>Degradation intermediates</w:t>
            </w:r>
          </w:p>
        </w:tc>
      </w:tr>
    </w:tbl>
    <w:p w14:paraId="0374A94F" w14:textId="77777777" w:rsidR="00DD4CA5" w:rsidRDefault="00000000">
      <w:pPr>
        <w:keepNext/>
        <w:pageBreakBefore/>
        <w:widowControl/>
        <w:spacing w:beforeLines="100" w:before="312" w:afterLines="100" w:after="120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trike w:val="0"/>
          <w:color w:val="000000"/>
          <w:szCs w:val="24"/>
          <w:u w:val="none"/>
        </w:rPr>
        <w:t>Table S2. Characteristics of actual water samples used in this study.</w:t>
      </w:r>
    </w:p>
    <w:tbl>
      <w:tblPr>
        <w:tblW w:w="8400" w:type="dxa"/>
        <w:jc w:val="center"/>
        <w:tblLayout w:type="fixed"/>
        <w:tblLook w:val="04A0" w:firstRow="1" w:lastRow="0" w:firstColumn="1" w:lastColumn="0" w:noHBand="0" w:noVBand="1"/>
        <w:tblBorders>
          <w:top w:val="single" w:sz="4" w:color="666666"/>
          <w:bottom w:val="single" w:sz="4" w:color="666666"/>
          <w:left w:val="nil" w:sz="4" w:color="666666"/>
          <w:right w:val="nil" w:sz="4" w:color="666666"/>
          <w:insideH w:val="single" w:sz="4" w:color="666666"/>
          <w:insideV w:val="nil" w:sz="4" w:color="666666"/>
        </w:tblBorders>
      </w:tblPr>
      <w:tblGrid>
        <w:gridCol w:w="1613"/>
        <w:gridCol w:w="547"/>
        <w:gridCol w:w="1008"/>
        <w:gridCol w:w="1152"/>
        <w:gridCol w:w="1152"/>
        <w:gridCol w:w="1152"/>
        <w:gridCol w:w="1152"/>
      </w:tblGrid>
      <w:tr w:rsidR="00DD4CA5" w14:paraId="4D5139DB" w14:textId="77777777">
        <w:trPr>
          <w:trHeight w:val="570"/>
          <w:jc w:val="center"/>
          <w:tblHeader/>
          <w:cantSplit/>
        </w:trPr>
        <w:tc>
          <w:tcPr>
            <w:tcW w:w="1613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D8FF2A0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14:ligatures w14:val="none"/>
              </w:rPr>
              <w:t>Category</w:t>
            </w:r>
          </w:p>
        </w:tc>
        <w:tc>
          <w:tcPr>
            <w:tcW w:w="547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65B9D13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14:ligatures w14:val="none"/>
              </w:rPr>
              <w:t>pH</w:t>
            </w:r>
          </w:p>
        </w:tc>
        <w:tc>
          <w:tcPr>
            <w:tcW w:w="1008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3A5972E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14:ligatures w14:val="none"/>
              </w:rPr>
              <w:t>DOC (mg/L)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2A578CF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14:ligatures w14:val="none"/>
              </w:rPr>
              <w:t>Cl⁻ (mg/L)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118606A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14:ligatures w14:val="none"/>
              </w:rPr>
              <w:t>SO₄²⁻ (mg/L)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3F37735D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14:ligatures w14:val="none"/>
              </w:rPr>
              <w:t>NO₃⁻ (mg/L)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D5191BF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14:ligatures w14:val="none"/>
              </w:rPr>
              <w:t>PO₄³⁻ (mg/L)</w:t>
            </w:r>
          </w:p>
        </w:tc>
      </w:tr>
      <w:tr w:rsidR="00DD4CA5" w14:paraId="564614F7" w14:textId="77777777">
        <w:trPr>
          <w:trHeight w:val="300"/>
          <w:jc w:val="center"/>
          <w:cantSplit/>
        </w:trPr>
        <w:tc>
          <w:tcPr>
            <w:tcW w:w="1613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0256EDC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Ultrapure water</w:t>
            </w:r>
          </w:p>
        </w:tc>
        <w:tc>
          <w:tcPr>
            <w:tcW w:w="547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71AC1C3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7.0</w:t>
            </w:r>
          </w:p>
        </w:tc>
        <w:tc>
          <w:tcPr>
            <w:tcW w:w="1008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8885FDB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0.35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2D244E1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14:ligatures w14:val="none"/>
              </w:rPr>
              <w:t>≤0.1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7A929ED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14:ligatures w14:val="none"/>
              </w:rPr>
              <w:t>≤0.1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FBA602A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14:ligatures w14:val="none"/>
              </w:rPr>
              <w:t>≤0.1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C07E76C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14:ligatures w14:val="none"/>
              </w:rPr>
              <w:t>≤0.1</w:t>
            </w:r>
          </w:p>
        </w:tc>
      </w:tr>
      <w:tr w:rsidR="00DD4CA5" w14:paraId="2948215C" w14:textId="77777777">
        <w:trPr>
          <w:trHeight w:val="300"/>
          <w:jc w:val="center"/>
          <w:cantSplit/>
        </w:trPr>
        <w:tc>
          <w:tcPr>
            <w:tcW w:w="1613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99F35F3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Tap water</w:t>
            </w:r>
          </w:p>
        </w:tc>
        <w:tc>
          <w:tcPr>
            <w:tcW w:w="547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BE58C89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7.4</w:t>
            </w:r>
          </w:p>
        </w:tc>
        <w:tc>
          <w:tcPr>
            <w:tcW w:w="1008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04D34C4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2.59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CEE2A9A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8.30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7E54944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29.90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23857CD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5.10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68CF963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14:ligatures w14:val="none"/>
              </w:rPr>
              <w:t>≤0.1</w:t>
            </w:r>
          </w:p>
        </w:tc>
      </w:tr>
      <w:tr w:rsidR="00DD4CA5" w14:paraId="12773891" w14:textId="77777777">
        <w:trPr>
          <w:trHeight w:val="300"/>
          <w:jc w:val="center"/>
          <w:cantSplit/>
        </w:trPr>
        <w:tc>
          <w:tcPr>
            <w:tcW w:w="1613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F34A176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Surface water</w:t>
            </w:r>
          </w:p>
        </w:tc>
        <w:tc>
          <w:tcPr>
            <w:tcW w:w="547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3122F9F2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7.6</w:t>
            </w:r>
          </w:p>
        </w:tc>
        <w:tc>
          <w:tcPr>
            <w:tcW w:w="1008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5DB76BB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3.80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F66B827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21.80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2B3904D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36.50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DB3B59C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14:ligatures w14:val="none"/>
              </w:rPr>
              <w:t>13.40</w:t>
            </w:r>
          </w:p>
        </w:tc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24B0122" w14:textId="77777777" w:rsidR="00DD4CA5" w:rsidRDefault="00000000">
            <w:pPr>
              <w:widowControl/>
              <w:spacing w:line="240" w:lineRule="auto" w:after="80" w:before="60"/>
              <w:ind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14:ligatures w14:val="none"/>
              </w:rPr>
              <w:t>≤0.1</w:t>
            </w:r>
          </w:p>
        </w:tc>
      </w:tr>
    </w:tbl>
    <w:p w14:paraId="43E4BE0A" w14:textId="77777777" w:rsidR="00DD4CA5" w:rsidRDefault="00000000">
      <w:pPr>
        <w:keepNext/>
        <w:pageBreakBefore/>
        <w:widowControl/>
        <w:spacing w:beforeLines="50" w:before="156" w:afterLines="50" w:after="120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trike w:val="0"/>
          <w:color w:val="000000"/>
          <w:szCs w:val="24"/>
          <w:u w:val="none"/>
        </w:rPr>
        <w:t xml:space="preserve">Table S3. </w:t>
      </w:r>
      <w:r>
        <w:rPr>
          <w:rFonts w:ascii="Times New Roman" w:eastAsia="Times New Roman" w:hAnsi="Times New Roman" w:cs="Times New Roman"/>
          <w:strike w:val="0"/>
          <w:color w:val="000000"/>
          <w:szCs w:val="24"/>
          <w:u w:val="none"/>
        </w:rPr>
        <w:t xml:space="preserve">Information </w:t>
      </w:r>
      <w:r>
        <w:rPr>
          <w:rFonts w:ascii="Times New Roman" w:hAnsi="Times New Roman" w:cs="Times New Roman"/>
          <w:strike w:val="0"/>
          <w:color w:val="000000"/>
          <w:szCs w:val="24"/>
          <w:u w:val="none"/>
        </w:rPr>
        <w:t>of TC and its degradation intermediates detected by LC-MS.</w:t>
      </w:r>
    </w:p>
    <w:tbl>
      <w:tblPr>
        <w:tblW w:w="9745" w:type="dxa"/>
        <w:jc w:val="center"/>
        <w:tblLayout w:type="fixed"/>
        <w:tblLook w:val="04A0" w:firstRow="1" w:lastRow="0" w:firstColumn="1" w:lastColumn="0" w:noHBand="0" w:noVBand="1"/>
        <w:tblBorders>
          <w:top w:val="single" w:sz="4" w:color="666666"/>
          <w:bottom w:val="single" w:sz="4" w:color="666666"/>
          <w:left w:val="nil" w:sz="4" w:color="666666"/>
          <w:right w:val="nil" w:sz="4" w:color="666666"/>
          <w:insideH w:val="single" w:sz="4" w:color="666666"/>
          <w:insideV w:val="nil" w:sz="4" w:color="666666"/>
        </w:tblBorders>
      </w:tblPr>
      <w:tblGrid>
        <w:gridCol w:w="1152"/>
        <w:gridCol w:w="864"/>
        <w:gridCol w:w="1656"/>
        <w:gridCol w:w="1224"/>
        <w:gridCol w:w="4176"/>
      </w:tblGrid>
      <w:tr w:rsidR="00DD4CA5" w14:paraId="3C82959D" w14:textId="77777777">
        <w:trPr>
          <w:jc w:val="center"/>
          <w:tblHeader/>
          <w:cantSplit/>
        </w:trPr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80" w:before="6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b/>
                <w:sz w:val="20"/>
              </w:rPr>
              <w:t>Compound</w:t>
            </w:r>
          </w:p>
        </w:tc>
        <w:tc>
          <w:tcPr>
            <w:tcW w:w="86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0067C246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4"/>
                <w14:ligatures w14:val="none"/>
              </w:rPr>
              <w:t>RT (min)</w:t>
            </w:r>
          </w:p>
        </w:tc>
        <w:tc>
          <w:tcPr>
            <w:tcW w:w="165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7949DB8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hyperlink r:id="rId11" w:history="1">
              <w:r>
                <w:rPr>
                  <w:rFonts w:ascii="Times New Roman" w:eastAsia="宋体" w:hAnsi="Times New Roman" w:cs="Times New Roman"/>
                  <w:color w:val="000000"/>
                  <w:kern w:val="0"/>
                  <w:szCs w:val="24"/>
                  <w14:ligatures w14:val="none"/>
                </w:rPr>
                <w:t>Molecular formula</w:t>
              </w:r>
            </w:hyperlink>
          </w:p>
        </w:tc>
        <w:tc>
          <w:tcPr>
            <w:tcW w:w="122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80" w:before="6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b/>
                <w:sz w:val="20"/>
              </w:rPr>
              <w:t>m/z</w:t>
            </w:r>
          </w:p>
        </w:tc>
        <w:tc>
          <w:tcPr>
            <w:tcW w:w="417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80" w:before="60" w:line="240" w:lineRule="auto"/>
              <w:ind w:left="0" w:firstLine="0"/>
              <w:jc w:val="left"/>
            </w:pPr>
            <w:r>
              <w:rPr>
                <w:rFonts w:ascii="Times New Roman" w:hAnsi="Times New Roman"/>
                <w:b/>
                <w:sz w:val="20"/>
              </w:rPr>
              <w:t>Proposed structure</w:t>
            </w:r>
          </w:p>
        </w:tc>
      </w:tr>
      <w:tr w:rsidR="00DD4CA5" w14:paraId="0EABAFD2" w14:textId="77777777">
        <w:trPr>
          <w:trHeight w:val="491"/>
          <w:jc w:val="center"/>
          <w:cantSplit/>
        </w:trPr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8B2882A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P-445</w:t>
            </w:r>
          </w:p>
        </w:tc>
        <w:tc>
          <w:tcPr>
            <w:tcW w:w="86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41EB52E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4"/>
                <w14:ligatures w14:val="none"/>
              </w:rPr>
              <w:t>4.07</w:t>
            </w:r>
          </w:p>
        </w:tc>
        <w:tc>
          <w:tcPr>
            <w:tcW w:w="165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919A4B7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H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8</w:t>
            </w:r>
          </w:p>
        </w:tc>
        <w:tc>
          <w:tcPr>
            <w:tcW w:w="122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7D0D5D3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445.1611</w:t>
            </w:r>
          </w:p>
        </w:tc>
        <w:tc>
          <w:tcPr>
            <w:tcW w:w="417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31A7D539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114300" distR="114300" wp14:anchorId="04869117" wp14:editId="3978D36E">
                  <wp:extent cx="1765935" cy="896620"/>
                  <wp:effectExtent l="0" t="0" r="0" b="2540"/>
                  <wp:docPr id="4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935" cy="89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4CA5" w14:paraId="72A77611" w14:textId="77777777">
        <w:trPr>
          <w:trHeight w:val="252"/>
          <w:jc w:val="center"/>
          <w:cantSplit/>
        </w:trPr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B84C309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P-465</w:t>
            </w:r>
          </w:p>
        </w:tc>
        <w:tc>
          <w:tcPr>
            <w:tcW w:w="86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F3B0F80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4"/>
                <w14:ligatures w14:val="none"/>
              </w:rPr>
              <w:t>4.534</w:t>
            </w:r>
          </w:p>
        </w:tc>
        <w:tc>
          <w:tcPr>
            <w:tcW w:w="165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7CE9C9B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H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Cl</w:t>
            </w:r>
          </w:p>
        </w:tc>
        <w:tc>
          <w:tcPr>
            <w:tcW w:w="122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C5AD0DB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465.1200</w:t>
            </w:r>
          </w:p>
        </w:tc>
        <w:tc>
          <w:tcPr>
            <w:tcW w:w="417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30B46C9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114300" distR="114300" wp14:anchorId="6B540604" wp14:editId="1177A63E">
                  <wp:extent cx="1908810" cy="866775"/>
                  <wp:effectExtent l="0" t="0" r="0" b="1905"/>
                  <wp:docPr id="13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81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4CA5" w14:paraId="42200A74" w14:textId="77777777">
        <w:trPr>
          <w:trHeight w:val="1308"/>
          <w:jc w:val="center"/>
          <w:cantSplit/>
        </w:trPr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1D695D58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4"/>
                <w14:ligatures w14:val="none"/>
              </w:rPr>
              <w:t>P-437</w:t>
            </w:r>
          </w:p>
        </w:tc>
        <w:tc>
          <w:tcPr>
            <w:tcW w:w="86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E2EB37C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4"/>
                <w14:ligatures w14:val="none"/>
              </w:rPr>
              <w:t>2.173</w:t>
            </w:r>
          </w:p>
        </w:tc>
        <w:tc>
          <w:tcPr>
            <w:tcW w:w="165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10A896EF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H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Cl</w:t>
            </w:r>
          </w:p>
        </w:tc>
        <w:tc>
          <w:tcPr>
            <w:tcW w:w="122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EB2FE1B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437.1952</w:t>
            </w:r>
          </w:p>
        </w:tc>
        <w:tc>
          <w:tcPr>
            <w:tcW w:w="417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3CB1CE4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114300" distR="114300" wp14:anchorId="36314375" wp14:editId="1AF5BC6B">
                  <wp:extent cx="1814830" cy="840105"/>
                  <wp:effectExtent l="0" t="0" r="0" b="13335"/>
                  <wp:docPr id="12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830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4CA5" w14:paraId="7E8FBDF3" w14:textId="77777777">
        <w:trPr>
          <w:trHeight w:val="533"/>
          <w:jc w:val="center"/>
          <w:cantSplit/>
        </w:trPr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23DE3BF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4"/>
                <w14:ligatures w14:val="none"/>
              </w:rPr>
              <w:t>P-432</w:t>
            </w:r>
          </w:p>
        </w:tc>
        <w:tc>
          <w:tcPr>
            <w:tcW w:w="86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B570DE5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4"/>
                <w14:ligatures w14:val="none"/>
              </w:rPr>
              <w:t>7.426</w:t>
            </w:r>
          </w:p>
        </w:tc>
        <w:tc>
          <w:tcPr>
            <w:tcW w:w="165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5BCFF87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H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NO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7</w:t>
            </w:r>
          </w:p>
        </w:tc>
        <w:tc>
          <w:tcPr>
            <w:tcW w:w="122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EA3C944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4"/>
                <w14:ligatures w14:val="none"/>
              </w:rPr>
              <w:t>432.2400</w:t>
            </w:r>
          </w:p>
        </w:tc>
        <w:tc>
          <w:tcPr>
            <w:tcW w:w="417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C6D0CC4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114300" distR="114300" wp14:anchorId="604A1156" wp14:editId="1488007D">
                  <wp:extent cx="1825625" cy="927100"/>
                  <wp:effectExtent l="0" t="0" r="0" b="2540"/>
                  <wp:docPr id="6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625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4CA5" w14:paraId="383DC535" w14:textId="77777777">
        <w:trPr>
          <w:trHeight w:val="449"/>
          <w:jc w:val="center"/>
          <w:cantSplit/>
        </w:trPr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B771221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4"/>
                <w14:ligatures w14:val="none"/>
              </w:rPr>
              <w:t>P-416</w:t>
            </w:r>
          </w:p>
        </w:tc>
        <w:tc>
          <w:tcPr>
            <w:tcW w:w="86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1FF69C2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4"/>
                <w14:ligatures w14:val="none"/>
              </w:rPr>
              <w:t>7.426</w:t>
            </w:r>
          </w:p>
        </w:tc>
        <w:tc>
          <w:tcPr>
            <w:tcW w:w="165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E89155C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20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H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20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NO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7</w:t>
            </w:r>
          </w:p>
        </w:tc>
        <w:tc>
          <w:tcPr>
            <w:tcW w:w="122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C055B1C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4"/>
                <w14:ligatures w14:val="none"/>
              </w:rPr>
              <w:t>416.2167</w:t>
            </w:r>
          </w:p>
        </w:tc>
        <w:tc>
          <w:tcPr>
            <w:tcW w:w="417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4854890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114300" distR="114300" wp14:anchorId="408772A2" wp14:editId="274585AC">
                  <wp:extent cx="1844675" cy="854075"/>
                  <wp:effectExtent l="0" t="0" r="0" b="14605"/>
                  <wp:docPr id="8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675" cy="85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4CA5" w14:paraId="016705F7" w14:textId="77777777">
        <w:trPr>
          <w:trHeight w:val="688"/>
          <w:jc w:val="center"/>
          <w:cantSplit/>
        </w:trPr>
        <w:tc>
          <w:tcPr>
            <w:tcW w:w="1152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34C356B3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4"/>
                <w14:ligatures w14:val="none"/>
              </w:rPr>
              <w:t>P-238</w:t>
            </w:r>
          </w:p>
        </w:tc>
        <w:tc>
          <w:tcPr>
            <w:tcW w:w="86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4E1DFB4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4"/>
                <w14:ligatures w14:val="none"/>
              </w:rPr>
              <w:t>7.763</w:t>
            </w:r>
          </w:p>
        </w:tc>
        <w:tc>
          <w:tcPr>
            <w:tcW w:w="165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84FCB97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H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:vertAlign w:val="subscript"/>
                <w14:ligatures w14:val="none"/>
              </w:rPr>
              <w:t>4</w:t>
            </w:r>
          </w:p>
        </w:tc>
        <w:tc>
          <w:tcPr>
            <w:tcW w:w="1224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18423979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4"/>
                <w14:ligatures w14:val="none"/>
              </w:rPr>
              <w:t>238.1451</w:t>
            </w:r>
          </w:p>
        </w:tc>
        <w:tc>
          <w:tcPr>
            <w:tcW w:w="4176" w:type="dxa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3FA393B9" w14:textId="77777777" w:rsidR="00DD4CA5" w:rsidRDefault="00000000">
            <w:pPr>
              <w:overflowPunct w:val="0"/>
              <w:spacing w:line="240" w:lineRule="auto" w:after="80" w:before="60"/>
              <w:ind w:firstLineChars="100" w:left="0" w:firstLine="0"/>
              <w:jc w:val="left"/>
              <w:rPr>
                <w:rFonts w:ascii="Times New Roman" w:eastAsia="宋体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noProof/>
                <w:kern w:val="0"/>
                <w:sz w:val="20"/>
                <w:szCs w:val="20"/>
                <w14:ligatures w14:val="none"/>
              </w:rPr>
              <w:drawing>
                <wp:inline distT="0" distB="0" distL="114300" distR="114300" wp14:anchorId="3125E2A4" wp14:editId="1574682D">
                  <wp:extent cx="1125220" cy="840105"/>
                  <wp:effectExtent l="0" t="0" r="2540" b="13335"/>
                  <wp:docPr id="10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220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131983" w14:textId="77777777" w:rsidR="00DD4CA5" w:rsidRDefault="00000000">
      <w:pPr>
        <w:keepNext/>
        <w:widowControl/>
        <w:spacing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trike w:val="0"/>
          <w:noProof/>
          <w:color w:val="000000"/>
          <w:u w:val="none"/>
        </w:rPr>
        <w:drawing>
          <wp:inline distT="0" distB="0" distL="114300" distR="114300" wp14:anchorId="2DCD3B79" wp14:editId="356F627B">
            <wp:extent cx="4576445" cy="5510530"/>
            <wp:effectExtent l="0" t="0" r="1079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6445" cy="551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9829F" w14:textId="77777777" w:rsidR="00DD4CA5" w:rsidRDefault="00000000">
      <w:pPr>
        <w:keepNext w:val="0"/>
        <w:keepLines/>
        <w:widowControl/>
        <w:spacing w:line="276" w:lineRule="auto"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trike w:val="0"/>
          <w:color w:val="000000"/>
          <w:sz w:val="22"/>
          <w:u w:val="none"/>
        </w:rPr>
        <w:t xml:space="preserve">Figure S1. Possible degradation pathway of TC in the Cu⁰/PDS/HA/Cl⁻ system</w:t>
      </w:r>
      <w:r>
        <w:rPr>
          <w:rFonts w:ascii="Times New Roman" w:hAnsi="Times New Roman"/>
          <w:strike w:val="0"/>
          <w:color w:val="000000"/>
          <w:sz w:val="22"/>
          <w:u w:val="none"/>
        </w:rPr>
        <w:t>. The pathway is proposed from LC-MS assignments and does not imply complete mineralization.</w:t>
      </w:r>
    </w:p>
    <w:p w14:paraId="4A4C63C2" w14:textId="77777777" w:rsidR="00DD4CA5" w:rsidRDefault="00000000">
      <w:pPr>
        <w:widowControl/>
        <w:spacing w:after="120"/>
        <w:rPr>
          <w:rStyle w:val="30"/>
          <w:rFonts w:ascii="Times New Roman" w:eastAsiaTheme="minorEastAsia" w:hAnsi="Times New Roman" w:cs="Times New Roman"/>
        </w:rPr>
      </w:pPr>
      <w:r>
        <w:rPr>
          <w:rStyle w:val="30"/>
          <w:rFonts w:ascii="Times New Roman" w:eastAsiaTheme="minorEastAsia" w:hAnsi="Times New Roman" w:cs="Times New Roman"/>
          <w:strike w:val="0"/>
          <w:color w:val="000000"/>
          <w:u w:val="none"/>
        </w:rPr>
        <w:br/>
      </w:r>
    </w:p>
    <w:p w14:paraId="49CB7357" w14:textId="77777777" w:rsidR="00DD4CA5" w:rsidRDefault="00000000">
      <w:pPr>
        <w:keepNext/>
        <w:widowControl/>
        <w:spacing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trike w:val="0"/>
          <w:noProof/>
          <w:color w:val="000000"/>
          <w:szCs w:val="24"/>
          <w:u w:val="none"/>
        </w:rPr>
        <w:drawing>
          <wp:inline distT="0" distB="0" distL="0" distR="0" wp14:anchorId="0D21D424" wp14:editId="65D4192E">
            <wp:extent cx="5274310" cy="3963670"/>
            <wp:effectExtent l="0" t="0" r="13970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4AABF" w14:textId="77777777" w:rsidR="00DD4CA5" w:rsidRDefault="00000000">
      <w:pPr>
        <w:keepNext w:val="0"/>
        <w:keepLines/>
        <w:widowControl/>
        <w:numPr>
          <w:numId w:val="0"/>
        </w:numPr>
        <w:spacing w:line="276" w:lineRule="auto" w:after="120"/>
        <w:jc w:val="center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/>
          <w:b w:val="0"/>
          <w:strike w:val="0"/>
          <w:color w:val="000000"/>
          <w:sz w:val="22"/>
          <w:u w:val="none"/>
        </w:rPr>
        <w:t>Figure S2. Changes in TC concentration (ΔTC) and Cu⁺ accumulation at Cu²⁺ concentrations of 0.1 and 0.2 mmol/L in the chloride/Cu⁰/Cu²⁺ system. Conditions: [Cu⁰]₀ = 0.2 g/L, [Cl⁻]₀ = 5 mmol/L, initial pH = 3.0 ± 0.1, and room temperature.</w:t>
      </w:r>
    </w:p>
    <w:p w14:paraId="456688B5" w14:textId="77777777" w:rsidR="00DD4CA5" w:rsidRDefault="00000000">
      <w:pPr>
        <w:keepNext w:val="0"/>
        <w:keepLines/>
        <w:widowControl/>
        <w:spacing w:line="276" w:lineRule="auto"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trike w:val="0"/>
          <w:noProof/>
          <w:color w:val="000000"/>
          <w:sz w:val="22"/>
          <w:u w:val="none"/>
        </w:rPr>
        <w:drawing>
          <wp:inline distT="0" distB="0" distL="0" distR="0" wp14:anchorId="14D6EB15" wp14:editId="1405314A">
            <wp:extent cx="5334000" cy="3654425"/>
            <wp:effectExtent l="0" t="0" r="0" b="3175"/>
            <wp:docPr id="9846905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90520" name="图片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377" cy="3654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trike w:val="0"/>
          <w:color w:val="000000"/>
          <w:sz w:val="22"/>
          <w:u w:val="none"/>
        </w:rPr>
        <w:br/>
      </w:r>
      <w:r>
        <w:rPr>
          <w:rStyle w:val="30"/>
          <w:rFonts w:ascii="Times New Roman" w:eastAsiaTheme="minorEastAsia" w:hAnsi="Times New Roman" w:cs="Times New Roman"/>
          <w:strike w:val="0"/>
          <w:color w:val="000000"/>
          <w:sz w:val="22"/>
          <w:szCs w:val="24"/>
          <w:u w:val="none"/>
        </w:rPr>
        <w:t xml:space="preserve">Figure S3. Reusability of Cu⁰ in the Cu⁰/PDS/HA/Cl⁻ system for TC degradation.</w:t>
      </w:r>
      <w:r>
        <w:rPr>
          <w:rStyle w:val="30"/>
          <w:rFonts w:ascii="Times New Roman" w:eastAsia="宋体" w:hAnsi="Times New Roman" w:cs="Times New Roman" w:hint="eastAsia"/>
          <w:strike w:val="0"/>
          <w:color w:val="000000"/>
          <w:sz w:val="22"/>
          <w:szCs w:val="24"/>
          <w:u w:val="none"/>
        </w:rPr>
        <w:t xml:space="preserve"> 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</w:rPr>
        <w:t>Reaction conditions: [TC]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  <w:vertAlign w:val="subscript"/>
        </w:rPr>
        <w:t>0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</w:rPr>
        <w:t xml:space="preserve"> = 5 mg/L, [Cu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  <w:vertAlign w:val="superscript"/>
        </w:rPr>
        <w:t>0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</w:rPr>
        <w:t>]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  <w:vertAlign w:val="subscript"/>
        </w:rPr>
        <w:t>0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</w:rPr>
        <w:t xml:space="preserve"> = 0.05 g/L, [HA]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  <w:vertAlign w:val="subscript"/>
        </w:rPr>
        <w:t>0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</w:rPr>
        <w:t xml:space="preserve"> = 0.3 mmol/L, [PDS]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  <w:vertAlign w:val="subscript"/>
        </w:rPr>
        <w:t>0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</w:rPr>
        <w:t xml:space="preserve"> = 0.1 mmol/L, [Cl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  <w:vertAlign w:val="superscript"/>
        </w:rPr>
        <w:t>-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</w:rPr>
        <w:t>]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  <w:vertAlign w:val="subscript"/>
        </w:rPr>
        <w:t>0</w:t>
      </w:r>
      <w:r>
        <w:rPr>
          <w:rFonts w:ascii="Times New Roman" w:hAnsi="Times New Roman" w:cs="Times New Roman"/>
          <w:strike w:val="0"/>
          <w:color w:val="000000"/>
          <w:sz w:val="22"/>
          <w:szCs w:val="24"/>
          <w:u w:val="none"/>
        </w:rPr>
        <w:t xml:space="preserve"> = 3 mmol/L, pH = 5.0 ± 0.1, T = 25 ± 1 °C.</w:t>
      </w:r>
    </w:p>
    <w:p w14:paraId="6A0F8325" w14:textId="77777777" w:rsidR="00DD4CA5" w:rsidRDefault="00000000">
      <w:pPr>
        <w:keepNext/>
        <w:pageBreakBefore/>
        <w:widowControl/>
        <w:spacing w:after="1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trike w:val="0"/>
          <w:noProof/>
          <w:color w:val="000000"/>
          <w:u w:val="none"/>
        </w:rPr>
        <w:drawing>
          <wp:inline distT="0" distB="0" distL="0" distR="0" wp14:anchorId="2640A140" wp14:editId="1876E507">
            <wp:extent cx="5274310" cy="3630930"/>
            <wp:effectExtent l="0" t="0" r="2540" b="7620"/>
            <wp:docPr id="422554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55477" name="图片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72171" w14:textId="77777777" w:rsidR="00DD4CA5" w:rsidRDefault="00000000">
      <w:pPr>
        <w:keepNext w:val="0"/>
        <w:keepLines/>
        <w:widowControl/>
        <w:numPr>
          <w:numId w:val="0"/>
        </w:numPr>
        <w:spacing w:after="12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  <w:b w:val="0"/>
          <w:strike w:val="0"/>
          <w:color w:val="000000"/>
          <w:sz w:val="22"/>
          <w:u w:val="none"/>
        </w:rPr>
        <w:t>Figure S4. Total dissolved copper before and after alkaline precipitation and filtration in the Cu⁰/PDS/HA/Cl⁻ system. The dashed 1 mg/L copper benchmark refers to surface water environmental quality, rather than a wastewater discharge limit. PS in the supplied figure denotes PDS.</w:t>
      </w:r>
    </w:p>
    <w:sectPr w:rsidR="00DD4CA5">
      <w:footerReference w:type="default" r:id="rId25"/>
      <w:pgSz w:w="11906" w:h="16838"/>
      <w:pgMar w:top="1417" w:right="1417" w:bottom="1417" w:left="1417" w:header="851" w:footer="992" w:gutter="0"/>
      <w:cols w:space="425" w:num="1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7905C" w14:textId="77777777" w:rsidR="00EB1945" w:rsidRDefault="00EB1945">
      <w:pPr>
        <w:rPr>
          <w:rFonts w:hint="eastAsia"/>
        </w:rPr>
      </w:pPr>
      <w:r>
        <w:separator/>
      </w:r>
    </w:p>
  </w:endnote>
  <w:endnote w:type="continuationSeparator" w:id="0">
    <w:p w14:paraId="7D162756" w14:textId="77777777" w:rsidR="00EB1945" w:rsidRDefault="00EB194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lliverRM">
    <w:altName w:val="方正舒体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A3B58" w14:textId="77777777" w:rsidR="00DD4CA5" w:rsidRDefault="00000000">
    <w:pPr>
      <w:pStyle w:val="a3"/>
      <w:rPr>
        <w:rFonts w:hint="eastAsia"/>
        <w:sz w:val="21"/>
        <w:szCs w:val="21"/>
      </w:rPr>
    </w:pPr>
    <w:r>
      <w:rPr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C9462A" wp14:editId="4995883B">
              <wp:simplePos x="0" y="0"/>
              <wp:positionH relativeFrom="margin">
                <wp:posOffset>2843530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982A83" w14:textId="77777777" w:rsidR="00DD4CA5" w:rsidRDefault="00000000">
                          <w:pPr>
                            <w:pStyle w:val="a3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</w:rPr>
                            <w:t>S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left:223.9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MgRSfTFRiu0+3Zg&#10;sDfFGcSc6SfDW76pkXzLfHhgDqOAgvFYwj2WUhokMYNFSWXcl3+dx3h0CF5KGoxWTjVeEiXyvUbn&#10;ABhGw43GfjT0Ud0ZzCq6gVo6ExdckKNZOqM+4wWtYg64mObIlNMwmnehH2+8QC5Wqy7oaF19qPoL&#10;mDvLwlbvLI9ponrero4BYnYaR4F6VQbdMHldl4ZXEkf7z30X9fhnWP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BfwretUAAAAIAQAADwAAAAAAAAABACAAAAAiAAAAZHJzL2Rvd25yZXYueG1sUEsB&#10;AhQAFAAAAAgAh07iQGuF+fs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686B15">
                    <w:pPr>
                      <w:pStyle w:val="11"/>
                    </w:pPr>
                    <w:r>
                      <w:rPr>
                        <w:rFonts w:hint="eastAsia"/>
                        <w:sz w:val="21"/>
                        <w:szCs w:val="21"/>
                        <w:lang w:val="en-US" w:eastAsia="zh-CN"/>
                      </w:rPr>
                      <w:t>S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t>S</w:t>
    </w:r>
    <w:r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8BB73" w14:textId="77777777" w:rsidR="00EB1945" w:rsidRDefault="00EB1945">
      <w:pPr>
        <w:rPr>
          <w:rFonts w:hint="eastAsia"/>
        </w:rPr>
      </w:pPr>
      <w:r>
        <w:separator/>
      </w:r>
    </w:p>
  </w:footnote>
  <w:footnote w:type="continuationSeparator" w:id="0">
    <w:p w14:paraId="158AE794" w14:textId="77777777" w:rsidR="00EB1945" w:rsidRDefault="00EB194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A04A"/>
    <w:multiLevelType w:val="singleLevel"/>
    <w:tmpl w:val="0402A04A"/>
    <w:lvl w:ilvl="0">
      <w:start w:val="5"/>
      <w:numFmt w:val="upperLetter"/>
      <w:suff w:val="nothing"/>
      <w:lvlText w:val="%1-"/>
      <w:lvlJc w:val="left"/>
    </w:lvl>
  </w:abstractNum>
  <w:num w:numId="1" w16cid:durableId="1666587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3FF"/>
    <w:rsid w:val="0025324B"/>
    <w:rsid w:val="002A2045"/>
    <w:rsid w:val="00327B39"/>
    <w:rsid w:val="00347E7E"/>
    <w:rsid w:val="0037733E"/>
    <w:rsid w:val="00382795"/>
    <w:rsid w:val="00432B00"/>
    <w:rsid w:val="004B2114"/>
    <w:rsid w:val="00661A25"/>
    <w:rsid w:val="006D46B4"/>
    <w:rsid w:val="0072538C"/>
    <w:rsid w:val="007379E5"/>
    <w:rsid w:val="00765746"/>
    <w:rsid w:val="007962B1"/>
    <w:rsid w:val="008C7BD5"/>
    <w:rsid w:val="00AE63FF"/>
    <w:rsid w:val="00C054DA"/>
    <w:rsid w:val="00C45108"/>
    <w:rsid w:val="00DD4CA5"/>
    <w:rsid w:val="00EB1945"/>
    <w:rsid w:val="00ED4DB3"/>
    <w:rsid w:val="00F05D62"/>
    <w:rsid w:val="00F11DE7"/>
    <w:rsid w:val="00F81DC4"/>
    <w:rsid w:val="00F90F3E"/>
    <w:rsid w:val="10A122E9"/>
    <w:rsid w:val="10EC1B76"/>
    <w:rsid w:val="20DB1848"/>
    <w:rsid w:val="263F0183"/>
    <w:rsid w:val="2EFE6E2D"/>
    <w:rsid w:val="39A4757E"/>
    <w:rsid w:val="3ABE70AA"/>
    <w:rsid w:val="44004F9E"/>
    <w:rsid w:val="534704F3"/>
    <w:rsid w:val="55616801"/>
    <w:rsid w:val="5D0905C7"/>
    <w:rsid w:val="70E86ED8"/>
    <w:rsid w:val="76FE10CA"/>
    <w:rsid w:val="7C0861C2"/>
    <w:rsid w:val="7E4D1DE3"/>
    <w:rsid w:val="7EBC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ED99B8"/>
  <w15:docId w15:val="{63AF32EA-E5D6-4C3A-99B2-50BB226E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4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="Times New Roman" w:hAnsiTheme="majorHAnsi" w:cstheme="majorBidi" w:ascii="Times New Roman" w:hAnsi="Times New Roman"/>
      <w:color w:val="000000"/>
      <w:sz w:val="44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="Times New Roman" w:hAnsiTheme="majorHAnsi" w:cstheme="majorBidi" w:ascii="Times New Roman" w:hAnsi="Times New Roman"/>
      <w:color w:val="000000"/>
      <w:sz w:val="32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outlineLvl w:val="2"/>
    </w:pPr>
    <w:rPr>
      <w:rFonts w:eastAsia="Times New Roman" w:ascii="Times New Roman" w:hAnsi="Times New Roman"/>
      <w:color w:val="000000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  <w14:ligatures w14:val="none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="Times New Roman" w:hAnsiTheme="majorHAnsi" w:cstheme="majorBidi" w:ascii="Times New Roman" w:hAnsi="Times New Roman"/>
      <w:color w:val="000000"/>
      <w:spacing w:val="-10"/>
      <w:kern w:val="28"/>
      <w:szCs w:val="56"/>
    </w:rPr>
  </w:style>
  <w:style w:type="table" w:styleId="ac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="Times New Roman" w:hAnsiTheme="majorHAnsi" w:cstheme="majorBidi"/>
      <w:color w:val="0F4761" w:themeColor="accent1" w:themeShade="BF"/>
      <w:sz w:val="44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Times New Roman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标题 3 字符"/>
    <w:basedOn w:val="a0"/>
    <w:link w:val="3"/>
    <w:uiPriority w:val="9"/>
    <w:qFormat/>
    <w:rPr>
      <w:rFonts w:eastAsia="Times New Roman"/>
      <w:sz w:val="28"/>
    </w:rPr>
  </w:style>
  <w:style w:type="character" w:customStyle="1" w:styleId="40">
    <w:name w:val="标题 4 字符"/>
    <w:basedOn w:val="a0"/>
    <w:link w:val="4"/>
    <w:uiPriority w:val="9"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="Times New Roman" w:hAnsiTheme="majorHAnsi" w:cstheme="majorBidi"/>
      <w:spacing w:val="-10"/>
      <w:kern w:val="28"/>
      <w:sz w:val="24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2">
    <w:name w:val="明显引用 字符"/>
    <w:basedOn w:val="a0"/>
    <w:link w:val="af1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fontstyle01">
    <w:name w:val="fontstyle01"/>
    <w:autoRedefine/>
    <w:qFormat/>
    <w:rPr>
      <w:rFonts w:ascii="GulliverRM" w:hAnsi="GulliverRM" w:hint="default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waterdrj@hnust.edu.cn;" TargetMode="External"/><Relationship Id="rId13" Type="http://schemas.openxmlformats.org/officeDocument/2006/relationships/image" Target="media/image2.emf"/><Relationship Id="rId18" Type="http://schemas.openxmlformats.org/officeDocument/2006/relationships/image" Target="media/image7.emf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yperlink" Target="javascript:;" TargetMode="External"/><Relationship Id="rId17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;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emf"/><Relationship Id="rId22" Type="http://schemas.openxmlformats.org/officeDocument/2006/relationships/image" Target="media/image11.png"/><Relationship Id="rId2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727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权 禹</dc:creator>
  <cp:lastModifiedBy>权 禹</cp:lastModifiedBy>
  <cp:revision>7</cp:revision>
  <dcterms:created xsi:type="dcterms:W3CDTF">2026-05-26T07:09:00Z</dcterms:created>
  <dcterms:modified xsi:type="dcterms:W3CDTF">2026-06-18T08:37:00Z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eyJoZGlkIjoiY2FjNzNiZjkwNmQzNzlkOGJlNmViYzNiNmRiMzc3Y2QiLCJ1c2VySWQiOiIxNjE0NTY5MDA3In0=</vt:lpwstr>
  </property>
  <property fmtid="{D5CDD505-2E9C-101B-9397-08002B2CF9AE}" pid="3" name="KSOProductBuildVer">
    <vt:lpwstr>2052-12.1.0.26375</vt:lpwstr>
  </property>
  <property fmtid="{D5CDD505-2E9C-101B-9397-08002B2CF9AE}" pid="4" name="ICV">
    <vt:lpwstr>90F10755A62D4EC9B6BE90D10B86996E_13</vt:lpwstr>
  </property>
</Properties>
</file>