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62272" w14:textId="77777777" w:rsidR="0099230B" w:rsidRDefault="0099230B" w:rsidP="009923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Highlights</w:t>
      </w:r>
    </w:p>
    <w:p w14:paraId="6A74353F" w14:textId="712C625C" w:rsidR="0099230B" w:rsidRDefault="0099230B" w:rsidP="0099230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novel compounds comprising of a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,4-</w:t>
      </w:r>
      <w:r>
        <w:rPr>
          <w:rFonts w:ascii="Times New Roman" w:hAnsi="Times New Roman" w:cs="Times New Roman"/>
          <w:sz w:val="24"/>
          <w:szCs w:val="24"/>
        </w:rPr>
        <w:t>oxad</w:t>
      </w:r>
      <w:r>
        <w:rPr>
          <w:rFonts w:ascii="Times New Roman" w:hAnsi="Times New Roman" w:cs="Times New Roman"/>
          <w:sz w:val="24"/>
          <w:szCs w:val="24"/>
        </w:rPr>
        <w:t xml:space="preserve">iazole core decorated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starbust</w:t>
      </w:r>
      <w:proofErr w:type="spellEnd"/>
      <w:r>
        <w:rPr>
          <w:rFonts w:ascii="Times New Roman" w:hAnsi="Times New Roman" w:cs="Times New Roman"/>
          <w:sz w:val="24"/>
          <w:szCs w:val="24"/>
        </w:rPr>
        <w:t>, thiophene, and acrylic acid moieties were proposed and tested as metal free organic dyes in dye sensitized solar cells using DFT and TD-DFT methods.</w:t>
      </w:r>
    </w:p>
    <w:p w14:paraId="4EC66605" w14:textId="229DDC8A" w:rsidR="0099230B" w:rsidRDefault="0099230B" w:rsidP="0099230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Electron-hole separation distance (</w:t>
      </w:r>
      <w:proofErr w:type="spellStart"/>
      <w:r>
        <w:rPr>
          <w:rFonts w:ascii="Times New Roman" w:hAnsi="Times New Roman" w:cs="Times New Roman"/>
          <w:sz w:val="24"/>
          <w:szCs w:val="24"/>
        </w:rPr>
        <w:t>Δ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>) and electron-hole overlap (Ʌ)</w:t>
      </w:r>
      <w:r w:rsidR="00373976">
        <w:rPr>
          <w:rFonts w:ascii="Times New Roman" w:hAnsi="Times New Roman" w:cs="Times New Roman"/>
          <w:sz w:val="24"/>
          <w:szCs w:val="24"/>
        </w:rPr>
        <w:t xml:space="preserve"> analysis</w:t>
      </w:r>
      <w:r>
        <w:rPr>
          <w:rFonts w:ascii="Times New Roman" w:hAnsi="Times New Roman" w:cs="Times New Roman"/>
          <w:sz w:val="24"/>
          <w:szCs w:val="24"/>
        </w:rPr>
        <w:t xml:space="preserve"> provided insight into electron excitation processes that leads to charge transfer mechanisms</w:t>
      </w:r>
    </w:p>
    <w:p w14:paraId="072B96D2" w14:textId="263B837F" w:rsidR="0099230B" w:rsidRPr="002C28C3" w:rsidRDefault="0099230B" w:rsidP="0099230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iCs/>
          <w:w w:val="105"/>
          <w:sz w:val="24"/>
          <w:szCs w:val="24"/>
        </w:rPr>
        <w:t>Using deductive logic, the</w:t>
      </w:r>
      <w:r w:rsidR="002C28C3">
        <w:rPr>
          <w:rFonts w:ascii="Times New Roman"/>
          <w:iCs/>
          <w:w w:val="105"/>
          <w:sz w:val="24"/>
          <w:szCs w:val="24"/>
        </w:rPr>
        <w:t xml:space="preserve"> light harvesting efficiency (</w:t>
      </w:r>
      <w:r w:rsidR="002C28C3">
        <w:rPr>
          <w:rFonts w:ascii="Times New Roman"/>
          <w:i/>
          <w:w w:val="105"/>
          <w:sz w:val="24"/>
          <w:szCs w:val="24"/>
        </w:rPr>
        <w:t>LHE</w:t>
      </w:r>
      <w:r w:rsidR="002C28C3">
        <w:rPr>
          <w:rFonts w:ascii="Times New Roman"/>
          <w:iCs/>
          <w:w w:val="105"/>
          <w:sz w:val="24"/>
          <w:szCs w:val="24"/>
        </w:rPr>
        <w:t>),</w:t>
      </w:r>
      <w:r>
        <w:rPr>
          <w:rFonts w:ascii="Times New Roman"/>
          <w:iCs/>
          <w:w w:val="105"/>
          <w:sz w:val="24"/>
          <w:szCs w:val="24"/>
        </w:rPr>
        <w:t xml:space="preserve"> fluorescence emission (</w:t>
      </w:r>
      <w:proofErr w:type="spellStart"/>
      <w:r>
        <w:rPr>
          <w:i/>
          <w:w w:val="105"/>
          <w:sz w:val="24"/>
          <w:szCs w:val="24"/>
        </w:rPr>
        <w:t>Φ</w:t>
      </w:r>
      <w:r>
        <w:rPr>
          <w:rFonts w:ascii="Times New Roman"/>
          <w:i/>
          <w:w w:val="105"/>
          <w:sz w:val="24"/>
          <w:szCs w:val="24"/>
          <w:vertAlign w:val="subscript"/>
        </w:rPr>
        <w:t>f</w:t>
      </w:r>
      <w:proofErr w:type="spellEnd"/>
      <w:r>
        <w:rPr>
          <w:rFonts w:ascii="Times New Roman"/>
          <w:iCs/>
          <w:w w:val="105"/>
          <w:sz w:val="24"/>
          <w:szCs w:val="24"/>
        </w:rPr>
        <w:t>) and charge collection (</w:t>
      </w:r>
      <w:proofErr w:type="spellStart"/>
      <w:r>
        <w:rPr>
          <w:rFonts w:ascii="Times New Roman" w:hAnsi="Times New Roman" w:cs="Times New Roman"/>
          <w:i/>
          <w:w w:val="105"/>
          <w:sz w:val="24"/>
          <w:szCs w:val="24"/>
        </w:rPr>
        <w:t>η</w:t>
      </w:r>
      <w:r>
        <w:rPr>
          <w:rFonts w:ascii="Times New Roman"/>
          <w:i/>
          <w:w w:val="105"/>
          <w:sz w:val="24"/>
          <w:szCs w:val="24"/>
          <w:vertAlign w:val="subscript"/>
        </w:rPr>
        <w:t>c</w:t>
      </w:r>
      <w:r w:rsidR="00373976">
        <w:rPr>
          <w:rFonts w:ascii="Times New Roman"/>
          <w:i/>
          <w:w w:val="105"/>
          <w:sz w:val="24"/>
          <w:szCs w:val="24"/>
          <w:vertAlign w:val="subscript"/>
        </w:rPr>
        <w:t>ollect</w:t>
      </w:r>
      <w:proofErr w:type="spellEnd"/>
      <w:r>
        <w:rPr>
          <w:rFonts w:ascii="Times New Roman"/>
          <w:iCs/>
          <w:w w:val="105"/>
          <w:sz w:val="24"/>
          <w:szCs w:val="24"/>
        </w:rPr>
        <w:t xml:space="preserve">) efficiencies of these </w:t>
      </w:r>
      <w:r>
        <w:rPr>
          <w:rFonts w:ascii="Times New Roman"/>
          <w:iCs/>
          <w:w w:val="105"/>
          <w:sz w:val="24"/>
          <w:szCs w:val="24"/>
        </w:rPr>
        <w:t>seven</w:t>
      </w:r>
      <w:r>
        <w:rPr>
          <w:rFonts w:ascii="Times New Roman"/>
          <w:iCs/>
          <w:w w:val="105"/>
          <w:sz w:val="24"/>
          <w:szCs w:val="24"/>
        </w:rPr>
        <w:t xml:space="preserve"> compounds as dyes were obtained and used to determine each dye</w:t>
      </w:r>
      <w:r>
        <w:rPr>
          <w:rFonts w:ascii="Times New Roman"/>
          <w:iCs/>
          <w:w w:val="105"/>
          <w:sz w:val="24"/>
          <w:szCs w:val="24"/>
        </w:rPr>
        <w:t>’</w:t>
      </w:r>
      <w:r>
        <w:rPr>
          <w:rFonts w:ascii="Times New Roman"/>
          <w:iCs/>
          <w:w w:val="105"/>
          <w:sz w:val="24"/>
          <w:szCs w:val="24"/>
        </w:rPr>
        <w:t xml:space="preserve">s incident </w:t>
      </w:r>
      <w:r w:rsidR="00373976">
        <w:rPr>
          <w:rFonts w:ascii="Times New Roman"/>
          <w:iCs/>
          <w:w w:val="105"/>
          <w:sz w:val="24"/>
          <w:szCs w:val="24"/>
        </w:rPr>
        <w:t xml:space="preserve">photon </w:t>
      </w:r>
      <w:r>
        <w:rPr>
          <w:rFonts w:ascii="Times New Roman"/>
          <w:iCs/>
          <w:w w:val="105"/>
          <w:sz w:val="24"/>
          <w:szCs w:val="24"/>
        </w:rPr>
        <w:t>conversion efficiency (</w:t>
      </w:r>
      <w:r w:rsidRPr="002C28C3">
        <w:rPr>
          <w:rFonts w:ascii="Times New Roman"/>
          <w:i/>
          <w:w w:val="105"/>
          <w:sz w:val="24"/>
          <w:szCs w:val="24"/>
        </w:rPr>
        <w:t>IPCE</w:t>
      </w:r>
      <w:r>
        <w:rPr>
          <w:rFonts w:ascii="Times New Roman"/>
          <w:iCs/>
          <w:w w:val="105"/>
          <w:sz w:val="24"/>
          <w:szCs w:val="24"/>
        </w:rPr>
        <w:t>) and suitability for use as</w:t>
      </w:r>
      <w:r w:rsidR="00373976">
        <w:rPr>
          <w:rFonts w:ascii="Times New Roman"/>
          <w:iCs/>
          <w:w w:val="105"/>
          <w:sz w:val="24"/>
          <w:szCs w:val="24"/>
        </w:rPr>
        <w:t xml:space="preserve"> a</w:t>
      </w:r>
      <w:r>
        <w:rPr>
          <w:rFonts w:ascii="Times New Roman"/>
          <w:iCs/>
          <w:w w:val="105"/>
          <w:sz w:val="24"/>
          <w:szCs w:val="24"/>
        </w:rPr>
        <w:t xml:space="preserve"> dye in DSSCs.</w:t>
      </w:r>
    </w:p>
    <w:p w14:paraId="108C15BD" w14:textId="46DE5B02" w:rsidR="002C28C3" w:rsidRDefault="002C28C3" w:rsidP="0099230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iCs/>
          <w:w w:val="105"/>
          <w:sz w:val="24"/>
          <w:szCs w:val="24"/>
        </w:rPr>
        <w:t xml:space="preserve">A correlation between </w:t>
      </w:r>
      <w:proofErr w:type="spellStart"/>
      <w:r w:rsidRPr="002C28C3">
        <w:rPr>
          <w:rFonts w:ascii="Times New Roman" w:hAnsi="Times New Roman" w:cs="Times New Roman"/>
          <w:iCs/>
          <w:w w:val="105"/>
          <w:sz w:val="24"/>
          <w:szCs w:val="24"/>
        </w:rPr>
        <w:t>Δ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iCs/>
          <w:w w:val="105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IPCE</w:t>
      </w:r>
      <w:r>
        <w:rPr>
          <w:rFonts w:ascii="Times New Roman" w:hAnsi="Times New Roman" w:cs="Times New Roman"/>
          <w:iCs/>
          <w:w w:val="105"/>
          <w:sz w:val="24"/>
          <w:szCs w:val="24"/>
        </w:rPr>
        <w:t xml:space="preserve"> as well </w:t>
      </w:r>
      <w:r w:rsidR="00373976">
        <w:rPr>
          <w:rFonts w:ascii="Times New Roman" w:hAnsi="Times New Roman" w:cs="Times New Roman"/>
          <w:iCs/>
          <w:w w:val="105"/>
          <w:sz w:val="24"/>
          <w:szCs w:val="24"/>
        </w:rPr>
        <w:t>as between the former and the</w:t>
      </w:r>
      <w:r>
        <w:rPr>
          <w:rFonts w:ascii="Times New Roman" w:hAnsi="Times New Roman" w:cs="Times New Roman"/>
          <w:iCs/>
          <w:w w:val="105"/>
          <w:sz w:val="24"/>
          <w:szCs w:val="24"/>
        </w:rPr>
        <w:t xml:space="preserve"> other parameters</w:t>
      </w:r>
      <w:r w:rsidR="00373976">
        <w:rPr>
          <w:rFonts w:ascii="Times New Roman" w:hAnsi="Times New Roman" w:cs="Times New Roman"/>
          <w:iCs/>
          <w:w w:val="105"/>
          <w:sz w:val="24"/>
          <w:szCs w:val="24"/>
        </w:rPr>
        <w:t xml:space="preserve"> (</w:t>
      </w:r>
      <w:r w:rsidR="00373976">
        <w:rPr>
          <w:rFonts w:ascii="Times New Roman" w:hAnsi="Times New Roman" w:cs="Times New Roman"/>
          <w:i/>
          <w:w w:val="105"/>
          <w:sz w:val="24"/>
          <w:szCs w:val="24"/>
        </w:rPr>
        <w:t>LHE</w:t>
      </w:r>
      <w:r w:rsidR="00373976">
        <w:rPr>
          <w:rFonts w:ascii="Times New Roman" w:hAnsi="Times New Roman" w:cs="Times New Roman"/>
          <w:iCs/>
          <w:w w:val="105"/>
          <w:sz w:val="24"/>
          <w:szCs w:val="24"/>
        </w:rPr>
        <w:t xml:space="preserve">, </w:t>
      </w:r>
      <w:proofErr w:type="spellStart"/>
      <w:r w:rsidR="00373976">
        <w:rPr>
          <w:i/>
          <w:w w:val="105"/>
          <w:sz w:val="24"/>
          <w:szCs w:val="24"/>
        </w:rPr>
        <w:t>Φ</w:t>
      </w:r>
      <w:r w:rsidR="00373976">
        <w:rPr>
          <w:rFonts w:ascii="Times New Roman"/>
          <w:i/>
          <w:w w:val="105"/>
          <w:sz w:val="24"/>
          <w:szCs w:val="24"/>
          <w:vertAlign w:val="subscript"/>
        </w:rPr>
        <w:t>f</w:t>
      </w:r>
      <w:proofErr w:type="spellEnd"/>
      <w:r w:rsidR="00373976">
        <w:rPr>
          <w:rFonts w:ascii="Times New Roman"/>
          <w:iCs/>
          <w:w w:val="105"/>
          <w:sz w:val="24"/>
          <w:szCs w:val="24"/>
        </w:rPr>
        <w:t xml:space="preserve"> and </w:t>
      </w:r>
      <w:proofErr w:type="spellStart"/>
      <w:r w:rsidR="00373976">
        <w:rPr>
          <w:rFonts w:ascii="Times New Roman"/>
          <w:i/>
          <w:w w:val="105"/>
          <w:sz w:val="24"/>
          <w:szCs w:val="24"/>
        </w:rPr>
        <w:t>n</w:t>
      </w:r>
      <w:r w:rsidR="00373976">
        <w:rPr>
          <w:rFonts w:ascii="Times New Roman"/>
          <w:i/>
          <w:w w:val="105"/>
          <w:sz w:val="24"/>
          <w:szCs w:val="24"/>
          <w:vertAlign w:val="subscript"/>
        </w:rPr>
        <w:t>collect</w:t>
      </w:r>
      <w:proofErr w:type="spellEnd"/>
      <w:r w:rsidR="00373976">
        <w:rPr>
          <w:rFonts w:ascii="Times New Roman"/>
          <w:iCs/>
          <w:w w:val="105"/>
          <w:sz w:val="24"/>
          <w:szCs w:val="24"/>
        </w:rPr>
        <w:t>)</w:t>
      </w:r>
      <w:r>
        <w:rPr>
          <w:rFonts w:ascii="Times New Roman" w:hAnsi="Times New Roman" w:cs="Times New Roman"/>
          <w:iCs/>
          <w:w w:val="105"/>
          <w:sz w:val="24"/>
          <w:szCs w:val="24"/>
        </w:rPr>
        <w:t xml:space="preserve"> that the latter comprises of</w:t>
      </w:r>
      <w:r w:rsidR="009C5A20">
        <w:rPr>
          <w:rFonts w:ascii="Times New Roman" w:hAnsi="Times New Roman" w:cs="Times New Roman"/>
          <w:iCs/>
          <w:w w:val="105"/>
          <w:sz w:val="24"/>
          <w:szCs w:val="24"/>
        </w:rPr>
        <w:t>,</w:t>
      </w:r>
      <w:r>
        <w:rPr>
          <w:rFonts w:ascii="Times New Roman" w:hAnsi="Times New Roman" w:cs="Times New Roman"/>
          <w:iCs/>
          <w:w w:val="105"/>
          <w:sz w:val="24"/>
          <w:szCs w:val="24"/>
        </w:rPr>
        <w:t xml:space="preserve"> were observed</w:t>
      </w:r>
    </w:p>
    <w:p w14:paraId="2E459D1A" w14:textId="77777777" w:rsidR="0099230B" w:rsidRDefault="0099230B" w:rsidP="0099230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Photophysicochemical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parameters of each of the theoretically designed dye compounds was also evaluated and explored.</w:t>
      </w:r>
    </w:p>
    <w:p w14:paraId="3FA8CBBB" w14:textId="77777777" w:rsidR="0099230B" w:rsidRDefault="0099230B" w:rsidP="0099230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nature of the frontier molecular orbitals of each dye was also used to rationalize their suitability as organic dyes in DSSCs. </w:t>
      </w:r>
    </w:p>
    <w:p w14:paraId="489BEFE7" w14:textId="77777777" w:rsidR="0099230B" w:rsidRDefault="0099230B"/>
    <w:sectPr w:rsidR="009923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102B7"/>
    <w:multiLevelType w:val="hybridMultilevel"/>
    <w:tmpl w:val="C9BA6B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0B"/>
    <w:rsid w:val="002C28C3"/>
    <w:rsid w:val="00373976"/>
    <w:rsid w:val="0099230B"/>
    <w:rsid w:val="009C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D19EB8"/>
  <w15:chartTrackingRefBased/>
  <w15:docId w15:val="{05DB2B97-8C11-4824-BACA-EFC6E182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30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LOUIS-CHARL CLOETE COETZEE</dc:creator>
  <cp:keywords/>
  <dc:description/>
  <cp:lastModifiedBy>LOUIS-CHARL CLOETE COETZEE</cp:lastModifiedBy>
  <cp:revision>1</cp:revision>
  <dcterms:created xsi:type="dcterms:W3CDTF">2021-12-03T08:29:00Z</dcterms:created>
  <dcterms:modified xsi:type="dcterms:W3CDTF">2021-12-03T08:48:00Z</dcterms:modified>
</cp:coreProperties>
</file>