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sz w:val="32"/>
          <w:szCs w:val="32"/>
        </w:rPr>
        <w:t xml:space="preserve">Supplementary Information</w:t>
      </w:r>
    </w:p>
    <w:p>
      <w:pPr>
        <w:pStyle w:val="Heading1"/>
        <w:spacing w:after="120" w:before="240"/>
      </w:pPr>
      <w:r>
        <w:rPr>
          <w:rFonts w:ascii="Times New Roman" w:cs="Times New Roman" w:eastAsia="Times New Roman" w:hAnsi="Times New Roman"/>
          <w:b/>
          <w:bCs/>
          <w:sz w:val="26"/>
          <w:szCs w:val="26"/>
        </w:rPr>
        <w:t xml:space="preserve">Heat-transport networks reveal life-cycle organization and a warm–cold asymmetry of marine temperature extremes</w:t>
      </w:r>
    </w:p>
    <w:p>
      <w:pPr>
        <w:spacing w:after="120" w:line="300"/>
        <w:jc w:val="both"/>
      </w:pPr>
      <w:r>
        <w:rPr>
          <w:rFonts w:ascii="Times New Roman" w:cs="Times New Roman" w:eastAsia="Times New Roman" w:hAnsi="Times New Roman"/>
          <w:sz w:val="22"/>
          <w:szCs w:val="22"/>
        </w:rPr>
        <w:t xml:space="preserve">Gyuchang Lim</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and Jong-Jin Park</w:t>
      </w:r>
      <w:r>
        <w:rPr>
          <w:rFonts w:ascii="Times New Roman" w:cs="Times New Roman" w:eastAsia="Times New Roman" w:hAnsi="Times New Roman"/>
          <w:sz w:val="22"/>
          <w:szCs w:val="22"/>
          <w:vertAlign w:val="superscript"/>
        </w:rPr>
        <w:t xml:space="preserve">1,2,</w:t>
      </w:r>
      <w:r>
        <w:rPr>
          <w:rFonts w:ascii="Times New Roman" w:cs="Times New Roman" w:eastAsia="Times New Roman" w:hAnsi="Times New Roman"/>
          <w:sz w:val="22"/>
          <w:szCs w:val="22"/>
        </w:rPr>
        <w:t xml:space="preserve">*</w:t>
      </w:r>
    </w:p>
    <w:p>
      <w:pPr>
        <w:spacing w:after="120" w:line="300"/>
        <w:jc w:val="both"/>
      </w:pP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Kyungpook Institute of Oceanography, Kyungpook National University, Daegu, Korea</w:t>
      </w:r>
    </w:p>
    <w:p>
      <w:pPr>
        <w:spacing w:after="120" w:line="300"/>
        <w:jc w:val="both"/>
      </w:pP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School of Earth System Sciences, Kyungpook National University, Daegu, Korea</w:t>
      </w:r>
    </w:p>
    <w:p>
      <w:pPr>
        <w:spacing w:after="120" w:line="300"/>
        <w:jc w:val="both"/>
      </w:pPr>
      <w:r>
        <w:rPr>
          <w:rFonts w:ascii="Times New Roman" w:cs="Times New Roman" w:eastAsia="Times New Roman" w:hAnsi="Times New Roman"/>
          <w:sz w:val="22"/>
          <w:szCs w:val="22"/>
        </w:rPr>
        <w:t xml:space="preserve">*Correspondence: jjpark@knu.ac.kr</w:t>
      </w:r>
    </w:p>
    <w:p>
      <w:pPr>
        <w:pStyle w:val="Heading2"/>
        <w:spacing w:after="80" w:before="200"/>
      </w:pPr>
      <w:r>
        <w:rPr>
          <w:rFonts w:ascii="Times New Roman" w:cs="Times New Roman" w:eastAsia="Times New Roman" w:hAnsi="Times New Roman"/>
          <w:b/>
          <w:bCs/>
          <w:sz w:val="24"/>
          <w:szCs w:val="24"/>
        </w:rPr>
        <w:t xml:space="preserve">Contents</w:t>
      </w:r>
    </w:p>
    <w:p>
      <w:pPr>
        <w:pStyle w:val="ListParagraph"/>
        <w:numPr>
          <w:ilvl w:val="0"/>
          <w:numId w:val="2"/>
        </w:numPr>
        <w:spacing w:after="60"/>
      </w:pPr>
      <w:r>
        <w:rPr>
          <w:rFonts w:ascii="Times New Roman" w:cs="Times New Roman" w:eastAsia="Times New Roman" w:hAnsi="Times New Roman"/>
          <w:sz w:val="22"/>
          <w:szCs w:val="22"/>
        </w:rPr>
        <w:t xml:space="preserve">Supplementary Methods 1 — Reanalysis data and layer-mean fields</w:t>
      </w:r>
    </w:p>
    <w:p>
      <w:pPr>
        <w:pStyle w:val="ListParagraph"/>
        <w:numPr>
          <w:ilvl w:val="0"/>
          <w:numId w:val="2"/>
        </w:numPr>
        <w:spacing w:after="60"/>
      </w:pPr>
      <w:r>
        <w:rPr>
          <w:rFonts w:ascii="Times New Roman" w:cs="Times New Roman" w:eastAsia="Times New Roman" w:hAnsi="Times New Roman"/>
          <w:sz w:val="22"/>
          <w:szCs w:val="22"/>
        </w:rPr>
        <w:t xml:space="preserve">Supplementary Methods 2 — Event detection and object construction</w:t>
      </w:r>
    </w:p>
    <w:p>
      <w:pPr>
        <w:pStyle w:val="ListParagraph"/>
        <w:numPr>
          <w:ilvl w:val="0"/>
          <w:numId w:val="2"/>
        </w:numPr>
        <w:spacing w:after="60"/>
      </w:pPr>
      <w:r>
        <w:rPr>
          <w:rFonts w:ascii="Times New Roman" w:cs="Times New Roman" w:eastAsia="Times New Roman" w:hAnsi="Times New Roman"/>
          <w:sz w:val="22"/>
          <w:szCs w:val="22"/>
        </w:rPr>
        <w:t xml:space="preserve">Supplementary Methods 3 — Object catalogue, filters and sample sizes</w:t>
      </w:r>
    </w:p>
    <w:p>
      <w:pPr>
        <w:pStyle w:val="ListParagraph"/>
        <w:numPr>
          <w:ilvl w:val="0"/>
          <w:numId w:val="2"/>
        </w:numPr>
        <w:spacing w:after="60"/>
      </w:pPr>
      <w:r>
        <w:rPr>
          <w:rFonts w:ascii="Times New Roman" w:cs="Times New Roman" w:eastAsia="Times New Roman" w:hAnsi="Times New Roman"/>
          <w:sz w:val="22"/>
          <w:szCs w:val="22"/>
        </w:rPr>
        <w:t xml:space="preserve">Supplementary Methods 4 — Peak definitions, normalized life-cycle time and windows</w:t>
      </w:r>
    </w:p>
    <w:p>
      <w:pPr>
        <w:pStyle w:val="ListParagraph"/>
        <w:numPr>
          <w:ilvl w:val="0"/>
          <w:numId w:val="2"/>
        </w:numPr>
        <w:spacing w:after="60"/>
      </w:pPr>
      <w:r>
        <w:rPr>
          <w:rFonts w:ascii="Times New Roman" w:cs="Times New Roman" w:eastAsia="Times New Roman" w:hAnsi="Times New Roman"/>
          <w:sz w:val="22"/>
          <w:szCs w:val="22"/>
        </w:rPr>
        <w:t xml:space="preserve">Supplementary Methods 5 — The layer anomaly heat budget in flux form</w:t>
      </w:r>
    </w:p>
    <w:p>
      <w:pPr>
        <w:pStyle w:val="ListParagraph"/>
        <w:numPr>
          <w:ilvl w:val="0"/>
          <w:numId w:val="2"/>
        </w:numPr>
        <w:spacing w:after="60"/>
      </w:pPr>
      <w:r>
        <w:rPr>
          <w:rFonts w:ascii="Times New Roman" w:cs="Times New Roman" w:eastAsia="Times New Roman" w:hAnsi="Times New Roman"/>
          <w:sz w:val="22"/>
          <w:szCs w:val="22"/>
        </w:rPr>
        <w:t xml:space="preserve">Supplementary Methods 6 — Network construction</w:t>
      </w:r>
    </w:p>
    <w:p>
      <w:pPr>
        <w:pStyle w:val="ListParagraph"/>
        <w:numPr>
          <w:ilvl w:val="0"/>
          <w:numId w:val="2"/>
        </w:numPr>
        <w:spacing w:after="60"/>
      </w:pPr>
      <w:r>
        <w:rPr>
          <w:rFonts w:ascii="Times New Roman" w:cs="Times New Roman" w:eastAsia="Times New Roman" w:hAnsi="Times New Roman"/>
          <w:sz w:val="22"/>
          <w:szCs w:val="22"/>
        </w:rPr>
        <w:t xml:space="preserve">Supplementary Methods 7 — Network metrics</w:t>
      </w:r>
    </w:p>
    <w:p>
      <w:pPr>
        <w:pStyle w:val="ListParagraph"/>
        <w:numPr>
          <w:ilvl w:val="0"/>
          <w:numId w:val="2"/>
        </w:numPr>
        <w:spacing w:after="60"/>
      </w:pPr>
      <w:r>
        <w:rPr>
          <w:rFonts w:ascii="Times New Roman" w:cs="Times New Roman" w:eastAsia="Times New Roman" w:hAnsi="Times New Roman"/>
          <w:sz w:val="22"/>
          <w:szCs w:val="22"/>
        </w:rPr>
        <w:t xml:space="preserve">Supplementary Methods 8 — Direction-randomized null model</w:t>
      </w:r>
    </w:p>
    <w:p>
      <w:pPr>
        <w:pStyle w:val="ListParagraph"/>
        <w:numPr>
          <w:ilvl w:val="0"/>
          <w:numId w:val="2"/>
        </w:numPr>
        <w:spacing w:after="60"/>
      </w:pPr>
      <w:r>
        <w:rPr>
          <w:rFonts w:ascii="Times New Roman" w:cs="Times New Roman" w:eastAsia="Times New Roman" w:hAnsi="Times New Roman"/>
          <w:sz w:val="22"/>
          <w:szCs w:val="22"/>
        </w:rPr>
        <w:t xml:space="preserve">Supplementary Methods 9 — Per-object features and statistical methods</w:t>
      </w:r>
    </w:p>
    <w:p>
      <w:pPr>
        <w:pStyle w:val="ListParagraph"/>
        <w:numPr>
          <w:ilvl w:val="0"/>
          <w:numId w:val="2"/>
        </w:numPr>
        <w:spacing w:after="60"/>
      </w:pPr>
      <w:r>
        <w:rPr>
          <w:rFonts w:ascii="Times New Roman" w:cs="Times New Roman" w:eastAsia="Times New Roman" w:hAnsi="Times New Roman"/>
          <w:sz w:val="22"/>
          <w:szCs w:val="22"/>
        </w:rPr>
        <w:t xml:space="preserve">Supplementary Methods 10 — Kinematic and directional diagnostics</w:t>
      </w:r>
    </w:p>
    <w:p>
      <w:pPr>
        <w:pStyle w:val="ListParagraph"/>
        <w:numPr>
          <w:ilvl w:val="0"/>
          <w:numId w:val="2"/>
        </w:numPr>
        <w:spacing w:after="60"/>
      </w:pPr>
      <w:r>
        <w:rPr>
          <w:rFonts w:ascii="Times New Roman" w:cs="Times New Roman" w:eastAsia="Times New Roman" w:hAnsi="Times New Roman"/>
          <w:sz w:val="22"/>
          <w:szCs w:val="22"/>
        </w:rPr>
        <w:t xml:space="preserve">Supplementary Methods 11 — Software, reproducibility and validation against the four-event Letter</w:t>
      </w:r>
    </w:p>
    <w:p>
      <w:pPr>
        <w:pStyle w:val="ListParagraph"/>
        <w:numPr>
          <w:ilvl w:val="0"/>
          <w:numId w:val="2"/>
        </w:numPr>
        <w:spacing w:after="60"/>
      </w:pPr>
      <w:r>
        <w:rPr>
          <w:rFonts w:ascii="Times New Roman" w:cs="Times New Roman" w:eastAsia="Times New Roman" w:hAnsi="Times New Roman"/>
          <w:sz w:val="22"/>
          <w:szCs w:val="22"/>
        </w:rPr>
        <w:t xml:space="preserve">Supplementary Note 1 — Budget closure and its limitations</w:t>
      </w:r>
    </w:p>
    <w:p>
      <w:pPr>
        <w:pStyle w:val="ListParagraph"/>
        <w:numPr>
          <w:ilvl w:val="0"/>
          <w:numId w:val="2"/>
        </w:numPr>
        <w:spacing w:after="60"/>
      </w:pPr>
      <w:r>
        <w:rPr>
          <w:rFonts w:ascii="Times New Roman" w:cs="Times New Roman" w:eastAsia="Times New Roman" w:hAnsi="Times New Roman"/>
          <w:sz w:val="22"/>
          <w:szCs w:val="22"/>
        </w:rPr>
        <w:t xml:space="preserve">Supplementary Note 2 — The class of the edge-weight distribution</w:t>
      </w:r>
    </w:p>
    <w:p>
      <w:pPr>
        <w:pStyle w:val="ListParagraph"/>
        <w:numPr>
          <w:ilvl w:val="0"/>
          <w:numId w:val="2"/>
        </w:numPr>
        <w:spacing w:after="60"/>
      </w:pPr>
      <w:r>
        <w:rPr>
          <w:rFonts w:ascii="Times New Roman" w:cs="Times New Roman" w:eastAsia="Times New Roman" w:hAnsi="Times New Roman"/>
          <w:sz w:val="22"/>
          <w:szCs w:val="22"/>
        </w:rPr>
        <w:t xml:space="preserve">Supplementary Note 3 — Example networks at the peak</w:t>
      </w:r>
    </w:p>
    <w:p>
      <w:pPr>
        <w:pStyle w:val="ListParagraph"/>
        <w:numPr>
          <w:ilvl w:val="0"/>
          <w:numId w:val="2"/>
        </w:numPr>
        <w:spacing w:after="60"/>
      </w:pPr>
      <w:r>
        <w:rPr>
          <w:rFonts w:ascii="Times New Roman" w:cs="Times New Roman" w:eastAsia="Times New Roman" w:hAnsi="Times New Roman"/>
          <w:sz w:val="22"/>
          <w:szCs w:val="22"/>
        </w:rPr>
        <w:t xml:space="preserve">Supplementary Note 4 — Size dependence and the largest events</w:t>
      </w:r>
    </w:p>
    <w:p>
      <w:pPr>
        <w:pStyle w:val="ListParagraph"/>
        <w:numPr>
          <w:ilvl w:val="0"/>
          <w:numId w:val="2"/>
        </w:numPr>
        <w:spacing w:after="60"/>
      </w:pPr>
      <w:r>
        <w:rPr>
          <w:rFonts w:ascii="Times New Roman" w:cs="Times New Roman" w:eastAsia="Times New Roman" w:hAnsi="Times New Roman"/>
          <w:sz w:val="22"/>
          <w:szCs w:val="22"/>
        </w:rPr>
        <w:t xml:space="preserve">Supplementary Note 5 — Equivalence of the three peak definitions</w:t>
      </w:r>
    </w:p>
    <w:p>
      <w:pPr>
        <w:pStyle w:val="ListParagraph"/>
        <w:numPr>
          <w:ilvl w:val="0"/>
          <w:numId w:val="2"/>
        </w:numPr>
        <w:spacing w:after="60"/>
      </w:pPr>
      <w:r>
        <w:rPr>
          <w:rFonts w:ascii="Times New Roman" w:cs="Times New Roman" w:eastAsia="Times New Roman" w:hAnsi="Times New Roman"/>
          <w:sz w:val="22"/>
          <w:szCs w:val="22"/>
        </w:rPr>
        <w:t xml:space="preserve">Supplementary Note 6 — Geometric baseline of the external inflow fraction and the flux per boundary face</w:t>
      </w:r>
    </w:p>
    <w:p>
      <w:pPr>
        <w:pStyle w:val="ListParagraph"/>
        <w:numPr>
          <w:ilvl w:val="0"/>
          <w:numId w:val="2"/>
        </w:numPr>
        <w:spacing w:after="60"/>
      </w:pPr>
      <w:r>
        <w:rPr>
          <w:rFonts w:ascii="Times New Roman" w:cs="Times New Roman" w:eastAsia="Times New Roman" w:hAnsi="Times New Roman"/>
          <w:sz w:val="22"/>
          <w:szCs w:val="22"/>
        </w:rPr>
        <w:t xml:space="preserve">Supplementary Note 7 — Sensitivity to the definition of node strength and opposite-sign anomalies</w:t>
      </w:r>
    </w:p>
    <w:p>
      <w:pPr>
        <w:pStyle w:val="ListParagraph"/>
        <w:numPr>
          <w:ilvl w:val="0"/>
          <w:numId w:val="2"/>
        </w:numPr>
        <w:spacing w:after="60"/>
      </w:pPr>
      <w:r>
        <w:rPr>
          <w:rFonts w:ascii="Times New Roman" w:cs="Times New Roman" w:eastAsia="Times New Roman" w:hAnsi="Times New Roman"/>
          <w:sz w:val="22"/>
          <w:szCs w:val="22"/>
        </w:rPr>
        <w:t xml:space="preserve">Supplementary Figs. 1–12</w:t>
      </w:r>
    </w:p>
    <w:p>
      <w:pPr>
        <w:pStyle w:val="ListParagraph"/>
        <w:numPr>
          <w:ilvl w:val="0"/>
          <w:numId w:val="2"/>
        </w:numPr>
        <w:spacing w:after="60"/>
      </w:pPr>
      <w:r>
        <w:rPr>
          <w:rFonts w:ascii="Times New Roman" w:cs="Times New Roman" w:eastAsia="Times New Roman" w:hAnsi="Times New Roman"/>
          <w:sz w:val="22"/>
          <w:szCs w:val="22"/>
        </w:rPr>
        <w:t xml:space="preserve">Supplementary Tables 1–17</w:t>
      </w:r>
    </w:p>
    <w:p>
      <w:pPr>
        <w:pStyle w:val="ListParagraph"/>
        <w:numPr>
          <w:ilvl w:val="0"/>
          <w:numId w:val="2"/>
        </w:numPr>
        <w:spacing w:after="60"/>
      </w:pPr>
      <w:r>
        <w:rPr>
          <w:rFonts w:ascii="Times New Roman" w:cs="Times New Roman" w:eastAsia="Times New Roman" w:hAnsi="Times New Roman"/>
          <w:sz w:val="22"/>
          <w:szCs w:val="22"/>
        </w:rPr>
        <w:t xml:space="preserve">Supplementary References</w:t>
      </w:r>
    </w:p>
    <w:p>
      <w:r>
        <w:br w:type="page"/>
      </w:r>
    </w:p>
    <w:p>
      <w:pPr>
        <w:pStyle w:val="Heading1"/>
        <w:spacing w:after="120" w:before="240"/>
      </w:pPr>
      <w:r>
        <w:rPr>
          <w:rFonts w:ascii="Times New Roman" w:cs="Times New Roman" w:eastAsia="Times New Roman" w:hAnsi="Times New Roman"/>
          <w:b/>
          <w:bCs/>
          <w:sz w:val="26"/>
          <w:szCs w:val="26"/>
        </w:rPr>
        <w:t xml:space="preserve">Supplementary Methods</w:t>
      </w:r>
    </w:p>
    <w:p>
      <w:pPr>
        <w:pStyle w:val="Heading2"/>
        <w:spacing w:after="80" w:before="200"/>
      </w:pPr>
      <w:r>
        <w:rPr>
          <w:rFonts w:ascii="Times New Roman" w:cs="Times New Roman" w:eastAsia="Times New Roman" w:hAnsi="Times New Roman"/>
          <w:b/>
          <w:bCs/>
          <w:sz w:val="24"/>
          <w:szCs w:val="24"/>
        </w:rPr>
        <w:t xml:space="preserve">Supplementary Methods 1 — Reanalysis data and layer-mean fields</w:t>
      </w:r>
    </w:p>
    <w:p>
      <w:pPr>
        <w:spacing w:after="120" w:line="300"/>
        <w:jc w:val="both"/>
      </w:pPr>
      <w:r>
        <w:rPr>
          <w:rFonts w:ascii="Times New Roman" w:cs="Times New Roman" w:eastAsia="Times New Roman" w:hAnsi="Times New Roman"/>
          <w:b/>
          <w:bCs/>
          <w:sz w:val="22"/>
          <w:szCs w:val="22"/>
        </w:rPr>
        <w:t xml:space="preserve">Fields.</w:t>
      </w:r>
      <w:r>
        <w:rPr>
          <w:rFonts w:ascii="Times New Roman" w:cs="Times New Roman" w:eastAsia="Times New Roman" w:hAnsi="Times New Roman"/>
          <w:sz w:val="22"/>
          <w:szCs w:val="22"/>
        </w:rPr>
        <w:t xml:space="preserve"> We use daily mean potential temperature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and horizontal velocity (</w:t>
      </w:r>
      <w:r>
        <w:rPr>
          <w:rFonts w:ascii="Times New Roman" w:cs="Times New Roman" w:eastAsia="Times New Roman" w:hAnsi="Times New Roman"/>
          <w:i/>
          <w:iCs/>
          <w:sz w:val="22"/>
          <w:szCs w:val="22"/>
        </w:rPr>
        <w:t xml:space="preserve">u</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v</w:t>
      </w:r>
      <w:r>
        <w:rPr>
          <w:rFonts w:ascii="Times New Roman" w:cs="Times New Roman" w:eastAsia="Times New Roman" w:hAnsi="Times New Roman"/>
          <w:sz w:val="22"/>
          <w:szCs w:val="22"/>
        </w:rPr>
        <w:t xml:space="preserve">) of the Copernicus GLORYS12V1 global ocean reanalysis</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(1/12° grid, 50 vertical levels, of which the 18 uppermost, 0.49–47.4 m, intersect the 0–50 m layer) and daily net surface heat flux from ERA5</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(sum of net shortwave, net longwave, sensible and latent heat fluxes, positive into the ocean) over 34–45°N, 127–144°E for 1 January 1993 to 31 December 2022 (10,957 days). ERA5 fluxes (0.25°) are regridded to the GLORYS grid by bilinear interpolation (</w:t>
      </w:r>
      <w:r>
        <w:rPr>
          <w:rFonts w:ascii="Consolas" w:cs="Consolas" w:eastAsia="Consolas" w:hAnsi="Consolas"/>
          <w:sz w:val="20"/>
          <w:szCs w:val="20"/>
        </w:rPr>
        <w:t xml:space="preserve">interp2</w:t>
      </w:r>
      <w:r>
        <w:rPr>
          <w:rFonts w:ascii="Times New Roman" w:cs="Times New Roman" w:eastAsia="Times New Roman" w:hAnsi="Times New Roman"/>
          <w:sz w:val="22"/>
          <w:szCs w:val="22"/>
        </w:rPr>
        <w:t xml:space="preserve">, method </w:t>
      </w:r>
      <w:r>
        <w:rPr>
          <w:rFonts w:ascii="Consolas" w:cs="Consolas" w:eastAsia="Consolas" w:hAnsi="Consolas"/>
          <w:sz w:val="20"/>
          <w:szCs w:val="20"/>
        </w:rPr>
        <w:t xml:space="preserve">linear</w:t>
      </w:r>
      <w:r>
        <w:rPr>
          <w:rFonts w:ascii="Times New Roman" w:cs="Times New Roman" w:eastAsia="Times New Roman" w:hAnsi="Times New Roman"/>
          <w:sz w:val="22"/>
          <w:szCs w:val="22"/>
        </w:rPr>
        <w:t xml:space="preserve">, in </w:t>
      </w:r>
      <w:r>
        <w:rPr>
          <w:rFonts w:ascii="Consolas" w:cs="Consolas" w:eastAsia="Consolas" w:hAnsi="Consolas"/>
          <w:sz w:val="20"/>
          <w:szCs w:val="20"/>
        </w:rPr>
        <w:t xml:space="preserve">e02b_add_nhf.m</w:t>
      </w:r>
      <w:r>
        <w:rPr>
          <w:rFonts w:ascii="Times New Roman" w:cs="Times New Roman" w:eastAsia="Times New Roman" w:hAnsi="Times New Roman"/>
          <w:sz w:val="22"/>
          <w:szCs w:val="22"/>
        </w:rPr>
        <w:t xml:space="preserve"> of the Sci. Rep. pipeline). The East/Japan Sea basin mask of ref.</w:t>
      </w: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2"/>
          <w:szCs w:val="22"/>
        </w:rPr>
        <w:t xml:space="preserve"> removes the Pacific side of the Tsushima/Korea, Tsugaru and Soya straits and the Okhotsk Sea; the GLORYS land–sea mask defines land.</w:t>
      </w:r>
    </w:p>
    <w:p>
      <w:pPr>
        <w:spacing w:after="120" w:line="300"/>
        <w:jc w:val="both"/>
      </w:pPr>
      <w:r>
        <w:rPr>
          <w:rFonts w:ascii="Times New Roman" w:cs="Times New Roman" w:eastAsia="Times New Roman" w:hAnsi="Times New Roman"/>
          <w:b/>
          <w:bCs/>
          <w:sz w:val="22"/>
          <w:szCs w:val="22"/>
        </w:rPr>
        <w:t xml:space="preserve">Layer means.</w:t>
      </w:r>
      <w:r>
        <w:rPr>
          <w:rFonts w:ascii="Times New Roman" w:cs="Times New Roman" w:eastAsia="Times New Roman" w:hAnsi="Times New Roman"/>
          <w:sz w:val="22"/>
          <w:szCs w:val="22"/>
        </w:rPr>
        <w:t xml:space="preserve"> For any field </w:t>
      </w:r>
      <w:r>
        <w:rPr>
          <w:rFonts w:ascii="Times New Roman" w:cs="Times New Roman" w:eastAsia="Times New Roman" w:hAnsi="Times New Roman"/>
          <w:i/>
          <w:iCs/>
          <w:sz w:val="22"/>
          <w:szCs w:val="22"/>
        </w:rPr>
        <w:t xml:space="preserve">X</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z</w:t>
      </w:r>
      <w:r>
        <w:rPr>
          <w:rFonts w:ascii="Times New Roman" w:cs="Times New Roman" w:eastAsia="Times New Roman" w:hAnsi="Times New Roman"/>
          <w:sz w:val="22"/>
          <w:szCs w:val="22"/>
        </w:rPr>
        <w:t xml:space="preserve">), the 0–</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layer mean with </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 50 m is the thickness-weighted average</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X̄ = (1/H) ∫</w:t>
      </w:r>
      <w:r>
        <w:rPr>
          <w:rFonts w:ascii="Times New Roman" w:cs="Times New Roman" w:eastAsia="Times New Roman" w:hAnsi="Times New Roman"/>
          <w:i w:val="false"/>
          <w:iCs w:val="false"/>
          <w:sz w:val="22"/>
          <w:szCs w:val="22"/>
          <w:vertAlign w:val="subscript"/>
        </w:rPr>
        <w:t xml:space="preserve">−H</w:t>
      </w:r>
      <w:r>
        <w:rPr>
          <w:rFonts w:ascii="Times New Roman" w:cs="Times New Roman" w:eastAsia="Times New Roman" w:hAnsi="Times New Roman"/>
          <w:i w:val="false"/>
          <w:iCs w:val="false"/>
          <w:sz w:val="22"/>
          <w:szCs w:val="22"/>
          <w:vertAlign w:val="superscript"/>
        </w:rPr>
        <w:t xml:space="preserve">0</w:t>
      </w:r>
      <w:r>
        <w:rPr>
          <w:rFonts w:ascii="Times New Roman" w:cs="Times New Roman" w:eastAsia="Times New Roman" w:hAnsi="Times New Roman"/>
          <w:i w:val="false"/>
          <w:iCs w:val="false"/>
          <w:sz w:val="22"/>
          <w:szCs w:val="22"/>
        </w:rPr>
        <w:t xml:space="preserve"> X dz ≈ Σ</w:t>
      </w:r>
      <w:r>
        <w:rPr>
          <w:rFonts w:ascii="Times New Roman" w:cs="Times New Roman" w:eastAsia="Times New Roman" w:hAnsi="Times New Roman"/>
          <w:i w:val="false"/>
          <w:iCs w:val="false"/>
          <w:sz w:val="22"/>
          <w:szCs w:val="22"/>
          <w:vertAlign w:val="subscript"/>
        </w:rPr>
        <w:t xml:space="preserve">k</w:t>
      </w:r>
      <w:r>
        <w:rPr>
          <w:rFonts w:ascii="Times New Roman" w:cs="Times New Roman" w:eastAsia="Times New Roman" w:hAnsi="Times New Roman"/>
          <w:i w:val="false"/>
          <w:iCs w:val="false"/>
          <w:sz w:val="22"/>
          <w:szCs w:val="22"/>
        </w:rPr>
        <w:t xml:space="preserve"> w</w:t>
      </w:r>
      <w:r>
        <w:rPr>
          <w:rFonts w:ascii="Times New Roman" w:cs="Times New Roman" w:eastAsia="Times New Roman" w:hAnsi="Times New Roman"/>
          <w:i w:val="false"/>
          <w:iCs w:val="false"/>
          <w:sz w:val="22"/>
          <w:szCs w:val="22"/>
          <w:vertAlign w:val="subscript"/>
        </w:rPr>
        <w:t xml:space="preserve">k</w:t>
      </w:r>
      <w:r>
        <w:rPr>
          <w:rFonts w:ascii="Times New Roman" w:cs="Times New Roman" w:eastAsia="Times New Roman" w:hAnsi="Times New Roman"/>
          <w:i w:val="false"/>
          <w:iCs w:val="false"/>
          <w:sz w:val="22"/>
          <w:szCs w:val="22"/>
        </w:rPr>
        <w:t xml:space="preserve"> X</w:t>
      </w:r>
      <w:r>
        <w:rPr>
          <w:rFonts w:ascii="Times New Roman" w:cs="Times New Roman" w:eastAsia="Times New Roman" w:hAnsi="Times New Roman"/>
          <w:i w:val="false"/>
          <w:iCs w:val="false"/>
          <w:sz w:val="22"/>
          <w:szCs w:val="22"/>
          <w:vertAlign w:val="subscript"/>
        </w:rPr>
        <w:t xml:space="preserve">k</w:t>
      </w:r>
      <w:r>
        <w:rPr>
          <w:rFonts w:ascii="Times New Roman" w:cs="Times New Roman" w:eastAsia="Times New Roman" w:hAnsi="Times New Roman"/>
          <w:i w:val="false"/>
          <w:iCs w:val="false"/>
          <w:sz w:val="22"/>
          <w:szCs w:val="22"/>
        </w:rPr>
        <w:t xml:space="preserve"> / Σ</w:t>
      </w:r>
      <w:r>
        <w:rPr>
          <w:rFonts w:ascii="Times New Roman" w:cs="Times New Roman" w:eastAsia="Times New Roman" w:hAnsi="Times New Roman"/>
          <w:i w:val="false"/>
          <w:iCs w:val="false"/>
          <w:sz w:val="22"/>
          <w:szCs w:val="22"/>
          <w:vertAlign w:val="subscript"/>
        </w:rPr>
        <w:t xml:space="preserve">k</w:t>
      </w:r>
      <w:r>
        <w:rPr>
          <w:rFonts w:ascii="Times New Roman" w:cs="Times New Roman" w:eastAsia="Times New Roman" w:hAnsi="Times New Roman"/>
          <w:i w:val="false"/>
          <w:iCs w:val="false"/>
          <w:sz w:val="22"/>
          <w:szCs w:val="22"/>
        </w:rPr>
        <w:t xml:space="preserve"> w</w:t>
      </w:r>
      <w:r>
        <w:rPr>
          <w:rFonts w:ascii="Times New Roman" w:cs="Times New Roman" w:eastAsia="Times New Roman" w:hAnsi="Times New Roman"/>
          <w:i w:val="false"/>
          <w:iCs w:val="false"/>
          <w:sz w:val="22"/>
          <w:szCs w:val="22"/>
          <w:vertAlign w:val="subscript"/>
        </w:rPr>
        <w:t xml:space="preserve">k</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(S1)</w:t>
      </w:r>
    </w:p>
    <w:p>
      <w:pPr>
        <w:spacing w:after="120" w:line="300"/>
        <w:jc w:val="both"/>
      </w:pPr>
      <w:r>
        <w:rPr>
          <w:rFonts w:ascii="Times New Roman" w:cs="Times New Roman" w:eastAsia="Times New Roman" w:hAnsi="Times New Roman"/>
          <w:sz w:val="22"/>
          <w:szCs w:val="22"/>
        </w:rPr>
        <w:t xml:space="preserve">where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k</w:t>
      </w:r>
      <w:r>
        <w:rPr>
          <w:rFonts w:ascii="Times New Roman" w:cs="Times New Roman" w:eastAsia="Times New Roman" w:hAnsi="Times New Roman"/>
          <w:sz w:val="22"/>
          <w:szCs w:val="22"/>
        </w:rPr>
        <w:t xml:space="preserve"> is the part of the thickness of level </w:t>
      </w:r>
      <w:r>
        <w:rPr>
          <w:rFonts w:ascii="Times New Roman" w:cs="Times New Roman" w:eastAsia="Times New Roman" w:hAnsi="Times New Roman"/>
          <w:i/>
          <w:iCs/>
          <w:sz w:val="22"/>
          <w:szCs w:val="22"/>
        </w:rPr>
        <w:t xml:space="preserve">k</w:t>
      </w:r>
      <w:r>
        <w:rPr>
          <w:rFonts w:ascii="Times New Roman" w:cs="Times New Roman" w:eastAsia="Times New Roman" w:hAnsi="Times New Roman"/>
          <w:sz w:val="22"/>
          <w:szCs w:val="22"/>
        </w:rPr>
        <w:t xml:space="preserve"> (bounded by the mid-points between adjacent GLORYS levels) that lies above 50 m; levels below the deepest wet level are excluded and the mean is set to missing where the wet thickness is below 90% of </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(i.e. in water shallower than about 45 m). This is the Tm50 definition of refs.</w:t>
      </w:r>
      <w:r>
        <w:rPr>
          <w:rFonts w:ascii="Times New Roman" w:cs="Times New Roman" w:eastAsia="Times New Roman" w:hAnsi="Times New Roman"/>
          <w:sz w:val="22"/>
          <w:szCs w:val="22"/>
          <w:vertAlign w:val="superscript"/>
        </w:rPr>
        <w:t xml:space="preserve">3,4</w:t>
      </w:r>
      <w:r>
        <w:rPr>
          <w:rFonts w:ascii="Times New Roman" w:cs="Times New Roman" w:eastAsia="Times New Roman" w:hAnsi="Times New Roman"/>
          <w:sz w:val="22"/>
          <w:szCs w:val="22"/>
        </w:rPr>
        <w:t xml:space="preserve">. The temperature at the base of the layer,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(−50 m), is obtained by linear interpolation between the levels at 47.4 and 55.8 m. The layer-mean velocity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v̄</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were produced once for the whole period and stored as a compressed cache (</w:t>
      </w:r>
      <w:r>
        <w:rPr>
          <w:rFonts w:ascii="Consolas" w:cs="Consolas" w:eastAsia="Consolas" w:hAnsi="Consolas"/>
          <w:sz w:val="20"/>
          <w:szCs w:val="20"/>
        </w:rPr>
        <w:t xml:space="preserve">make_layer_cache.m</w:t>
      </w:r>
      <w:r>
        <w:rPr>
          <w:rFonts w:ascii="Times New Roman" w:cs="Times New Roman" w:eastAsia="Times New Roman" w:hAnsi="Times New Roman"/>
          <w:sz w:val="22"/>
          <w:szCs w:val="22"/>
        </w:rPr>
        <w:t xml:space="preserve"> / </w:t>
      </w:r>
      <w:r>
        <w:rPr>
          <w:rFonts w:ascii="Consolas" w:cs="Consolas" w:eastAsia="Consolas" w:hAnsi="Consolas"/>
          <w:sz w:val="20"/>
          <w:szCs w:val="20"/>
        </w:rPr>
        <w:t xml:space="preserve">f01_make_layer_cache.py</w:t>
      </w:r>
      <w:r>
        <w:rPr>
          <w:rFonts w:ascii="Times New Roman" w:cs="Times New Roman" w:eastAsia="Times New Roman" w:hAnsi="Times New Roman"/>
          <w:sz w:val="22"/>
          <w:szCs w:val="22"/>
        </w:rPr>
        <w:t xml:space="preserve">; int16 with 10</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m s</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and 10</w:t>
      </w: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2"/>
          <w:szCs w:val="22"/>
        </w:rPr>
        <w:t xml:space="preserve"> K precision), which limits the velocity round-off to below 0.1% of typical layer speeds.</w:t>
      </w:r>
    </w:p>
    <w:p>
      <w:pPr>
        <w:spacing w:after="120" w:line="300"/>
        <w:jc w:val="both"/>
      </w:pPr>
      <w:r>
        <w:rPr>
          <w:rFonts w:ascii="Times New Roman" w:cs="Times New Roman" w:eastAsia="Times New Roman" w:hAnsi="Times New Roman"/>
          <w:b/>
          <w:bCs/>
          <w:sz w:val="22"/>
          <w:szCs w:val="22"/>
        </w:rPr>
        <w:t xml:space="preserve">Background and anomalies.</w:t>
      </w:r>
      <w:r>
        <w:rPr>
          <w:rFonts w:ascii="Times New Roman" w:cs="Times New Roman" w:eastAsia="Times New Roman" w:hAnsi="Times New Roman"/>
          <w:sz w:val="22"/>
          <w:szCs w:val="22"/>
        </w:rPr>
        <w:t xml:space="preserve"> For every cell the Tm50 time series is decomposed as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with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seas</w:t>
      </w:r>
      <w:r>
        <w:rPr>
          <w:rFonts w:ascii="Times New Roman" w:cs="Times New Roman" w:eastAsia="Times New Roman" w:hAnsi="Times New Roman"/>
          <w:sz w:val="22"/>
          <w:szCs w:val="22"/>
        </w:rPr>
        <w:t xml:space="preserve">(doy)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where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is the least-squares linear trend over 1993–2022 (mean-preserving, so that the seasonal climatology is unchanged) and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seas</w:t>
      </w:r>
      <w:r>
        <w:rPr>
          <w:rFonts w:ascii="Times New Roman" w:cs="Times New Roman" w:eastAsia="Times New Roman" w:hAnsi="Times New Roman"/>
          <w:sz w:val="22"/>
          <w:szCs w:val="22"/>
        </w:rPr>
        <w:t xml:space="preserve"> is the day-of-year climatology of the detrended series computed from a ±5-day window and smoothed with a 31-day running mean</w:t>
      </w:r>
      <w:r>
        <w:rPr>
          <w:rFonts w:ascii="Times New Roman" w:cs="Times New Roman" w:eastAsia="Times New Roman" w:hAnsi="Times New Roman"/>
          <w:sz w:val="22"/>
          <w:szCs w:val="22"/>
          <w:vertAlign w:val="superscript"/>
        </w:rPr>
        <w:t xml:space="preserve">5</w:t>
      </w:r>
      <w:r>
        <w:rPr>
          <w:rFonts w:ascii="Times New Roman" w:cs="Times New Roman" w:eastAsia="Times New Roman" w:hAnsi="Times New Roman"/>
          <w:sz w:val="22"/>
          <w:szCs w:val="22"/>
        </w:rPr>
        <w:t xml:space="preserve">; 29 February is folded into the 365-day calendar. The same decomposition, with the same window and smoothing, is applied to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(giving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i/>
          <w:iCs/>
          <w:sz w:val="22"/>
          <w:szCs w:val="22"/>
        </w:rPr>
        <w:t xml:space="preserve">′</w:t>
      </w:r>
      <w:r>
        <w:rPr>
          <w:rFonts w:ascii="Times New Roman" w:cs="Times New Roman" w:eastAsia="Times New Roman" w:hAnsi="Times New Roman"/>
          <w:sz w:val="22"/>
          <w:szCs w:val="22"/>
        </w:rPr>
        <w:t xml:space="preserve">, with the trend of the base temperature estimated separately). The surface net heat flux is decomposed with the seasonal climatology only (same window and smoothing, no trend term), so that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is not detrended; the climatological flux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c</w:t>
      </w:r>
      <w:r>
        <w:rPr>
          <w:rFonts w:ascii="Times New Roman" w:cs="Times New Roman" w:eastAsia="Times New Roman" w:hAnsi="Times New Roman"/>
          <w:sz w:val="22"/>
          <w:szCs w:val="22"/>
        </w:rPr>
        <w:t xml:space="preserve"> enters the residual term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of Supplementary Methods 5. Velocities are not decomposed: the network uses the full layer velocity, because the anomaly is carried by the total flow.</w:t>
      </w:r>
    </w:p>
    <w:p>
      <w:pPr>
        <w:spacing w:after="120" w:line="300"/>
        <w:jc w:val="both"/>
      </w:pPr>
      <w:r>
        <w:rPr>
          <w:rFonts w:ascii="Times New Roman" w:cs="Times New Roman" w:eastAsia="Times New Roman" w:hAnsi="Times New Roman"/>
          <w:b/>
          <w:bCs/>
          <w:sz w:val="22"/>
          <w:szCs w:val="22"/>
        </w:rPr>
        <w:t xml:space="preserve">Grid metrics.</w:t>
      </w:r>
      <w:r>
        <w:rPr>
          <w:rFonts w:ascii="Times New Roman" w:cs="Times New Roman" w:eastAsia="Times New Roman" w:hAnsi="Times New Roman"/>
          <w:sz w:val="22"/>
          <w:szCs w:val="22"/>
        </w:rPr>
        <w:t xml:space="preserve"> Cell areas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 face lengths </w:t>
      </w:r>
      <w:r>
        <w:rPr>
          <w:rFonts w:ascii="Times New Roman" w:cs="Times New Roman" w:eastAsia="Times New Roman" w:hAnsi="Times New Roman"/>
          <w:i/>
          <w:iCs/>
          <w:sz w:val="22"/>
          <w:szCs w:val="22"/>
        </w:rPr>
        <w:t xml:space="preserve">L</w:t>
      </w:r>
      <w:r>
        <w:rPr>
          <w:rFonts w:ascii="Times New Roman" w:cs="Times New Roman" w:eastAsia="Times New Roman" w:hAnsi="Times New Roman"/>
          <w:sz w:val="22"/>
          <w:szCs w:val="22"/>
        </w:rPr>
        <w:t xml:space="preserve"> (east faces: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Δφ; north faces: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cos φ</w:t>
      </w:r>
      <w:r>
        <w:rPr>
          <w:rFonts w:ascii="Times New Roman" w:cs="Times New Roman" w:eastAsia="Times New Roman" w:hAnsi="Times New Roman"/>
          <w:sz w:val="22"/>
          <w:szCs w:val="22"/>
          <w:vertAlign w:val="subscript"/>
        </w:rPr>
        <w:t xml:space="preserve">face</w:t>
      </w:r>
      <w:r>
        <w:rPr>
          <w:rFonts w:ascii="Times New Roman" w:cs="Times New Roman" w:eastAsia="Times New Roman" w:hAnsi="Times New Roman"/>
          <w:sz w:val="22"/>
          <w:szCs w:val="22"/>
        </w:rPr>
        <w:t xml:space="preserve"> Δλ), the spherical divergence and gradient operators and the distance of every cell to the nearest land cell (Euclidean distance transform on the GLORYS mask, in km) are computed on the 1/12° grid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 6,371 km).</w:t>
      </w:r>
    </w:p>
    <w:p>
      <w:pPr>
        <w:pStyle w:val="Heading2"/>
        <w:spacing w:after="80" w:before="200"/>
      </w:pPr>
      <w:r>
        <w:rPr>
          <w:rFonts w:ascii="Times New Roman" w:cs="Times New Roman" w:eastAsia="Times New Roman" w:hAnsi="Times New Roman"/>
          <w:b/>
          <w:bCs/>
          <w:sz w:val="24"/>
          <w:szCs w:val="24"/>
        </w:rPr>
        <w:t xml:space="preserve">Supplementary Methods 2 — Event detection and object construction</w:t>
      </w:r>
    </w:p>
    <w:p>
      <w:pPr>
        <w:spacing w:after="120" w:line="300"/>
        <w:jc w:val="both"/>
      </w:pPr>
      <w:r>
        <w:rPr>
          <w:rFonts w:ascii="Times New Roman" w:cs="Times New Roman" w:eastAsia="Times New Roman" w:hAnsi="Times New Roman"/>
          <w:b/>
          <w:bCs/>
          <w:sz w:val="22"/>
          <w:szCs w:val="22"/>
        </w:rPr>
        <w:t xml:space="preserve">Cell events.</w:t>
      </w:r>
      <w:r>
        <w:rPr>
          <w:rFonts w:ascii="Times New Roman" w:cs="Times New Roman" w:eastAsia="Times New Roman" w:hAnsi="Times New Roman"/>
          <w:sz w:val="22"/>
          <w:szCs w:val="22"/>
        </w:rPr>
        <w:t xml:space="preserve"> Following Hobday et al.</w:t>
      </w:r>
      <w:r>
        <w:rPr>
          <w:rFonts w:ascii="Times New Roman" w:cs="Times New Roman" w:eastAsia="Times New Roman" w:hAnsi="Times New Roman"/>
          <w:sz w:val="22"/>
          <w:szCs w:val="22"/>
          <w:vertAlign w:val="superscript"/>
        </w:rPr>
        <w:t xml:space="preserve">5</w:t>
      </w:r>
      <w:r>
        <w:rPr>
          <w:rFonts w:ascii="Times New Roman" w:cs="Times New Roman" w:eastAsia="Times New Roman" w:hAnsi="Times New Roman"/>
          <w:sz w:val="22"/>
          <w:szCs w:val="22"/>
        </w:rPr>
        <w:t xml:space="preserve">, a cell is in an MHW (MCS) state on days when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exceeds (falls below) the 90th (10th) percentile of the detrended day-of-year distribution (±5-day window, 31-day smoothing) for at least 5 consecutive days, with gaps of at most 2 days merged. These </w:t>
      </w:r>
      <w:r>
        <w:rPr>
          <w:rFonts w:ascii="Times New Roman" w:cs="Times New Roman" w:eastAsia="Times New Roman" w:hAnsi="Times New Roman"/>
          <w:i/>
          <w:iCs/>
          <w:sz w:val="22"/>
          <w:szCs w:val="22"/>
        </w:rPr>
        <w:t xml:space="preserve">exceedance</w:t>
      </w:r>
      <w:r>
        <w:rPr>
          <w:rFonts w:ascii="Times New Roman" w:cs="Times New Roman" w:eastAsia="Times New Roman" w:hAnsi="Times New Roman"/>
          <w:sz w:val="22"/>
          <w:szCs w:val="22"/>
        </w:rPr>
        <w:t xml:space="preserve"> days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s0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e0</w:t>
      </w:r>
      <w:r>
        <w:rPr>
          <w:rFonts w:ascii="Times New Roman" w:cs="Times New Roman" w:eastAsia="Times New Roman" w:hAnsi="Times New Roman"/>
          <w:sz w:val="22"/>
          <w:szCs w:val="22"/>
        </w:rPr>
        <w:t xml:space="preserve">] define the standard event duration.</w:t>
      </w:r>
    </w:p>
    <w:p>
      <w:pPr>
        <w:spacing w:after="120" w:line="300"/>
        <w:jc w:val="both"/>
      </w:pPr>
      <w:r>
        <w:rPr>
          <w:rFonts w:ascii="Times New Roman" w:cs="Times New Roman" w:eastAsia="Times New Roman" w:hAnsi="Times New Roman"/>
          <w:b/>
          <w:bCs/>
          <w:sz w:val="22"/>
          <w:szCs w:val="22"/>
        </w:rPr>
        <w:t xml:space="preserve">Life-cycle extension.</w:t>
      </w:r>
      <w:r>
        <w:rPr>
          <w:rFonts w:ascii="Times New Roman" w:cs="Times New Roman" w:eastAsia="Times New Roman" w:hAnsi="Times New Roman"/>
          <w:sz w:val="22"/>
          <w:szCs w:val="22"/>
        </w:rPr>
        <w:t xml:space="preserve"> As in ref.</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each cell event is extended backward from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s0</w:t>
      </w:r>
      <w:r>
        <w:rPr>
          <w:rFonts w:ascii="Times New Roman" w:cs="Times New Roman" w:eastAsia="Times New Roman" w:hAnsi="Times New Roman"/>
          <w:sz w:val="22"/>
          <w:szCs w:val="22"/>
        </w:rPr>
        <w:t xml:space="preserve"> and forward from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e0</w:t>
      </w:r>
      <w:r>
        <w:rPr>
          <w:rFonts w:ascii="Times New Roman" w:cs="Times New Roman" w:eastAsia="Times New Roman" w:hAnsi="Times New Roman"/>
          <w:sz w:val="22"/>
          <w:szCs w:val="22"/>
        </w:rPr>
        <w:t xml:space="preserve"> to the nearest local extremum of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(minimum for MHWs, maximum for MCSs) within 20 days, giving the </w:t>
      </w:r>
      <w:r>
        <w:rPr>
          <w:rFonts w:ascii="Times New Roman" w:cs="Times New Roman" w:eastAsia="Times New Roman" w:hAnsi="Times New Roman"/>
          <w:i/>
          <w:iCs/>
          <w:sz w:val="22"/>
          <w:szCs w:val="22"/>
        </w:rPr>
        <w:t xml:space="preserve">extended membership</w:t>
      </w:r>
      <w:r>
        <w:rPr>
          <w:rFonts w:ascii="Times New Roman" w:cs="Times New Roman" w:eastAsia="Times New Roman" w:hAnsi="Times New Roman"/>
          <w:sz w:val="22"/>
          <w:szCs w:val="22"/>
        </w:rPr>
        <w:t xml:space="preserve"> interval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s</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s0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e0</w:t>
      </w:r>
      <w:r>
        <w:rPr>
          <w:rFonts w:ascii="Times New Roman" w:cs="Times New Roman" w:eastAsia="Times New Roman" w:hAnsi="Times New Roman"/>
          <w:sz w:val="22"/>
          <w:szCs w:val="22"/>
        </w:rPr>
        <w:t xml:space="preserve">]. The extension captures the growth of the anomaly before it crosses the threshold and its decay after it falls below it, which is where the network changes from externally fed to internally redistributing (main text Fig. 2).</w:t>
      </w:r>
    </w:p>
    <w:p>
      <w:pPr>
        <w:spacing w:after="120" w:line="300"/>
        <w:jc w:val="both"/>
      </w:pPr>
      <w:r>
        <w:rPr>
          <w:rFonts w:ascii="Times New Roman" w:cs="Times New Roman" w:eastAsia="Times New Roman" w:hAnsi="Times New Roman"/>
          <w:b/>
          <w:bCs/>
          <w:sz w:val="22"/>
          <w:szCs w:val="22"/>
        </w:rPr>
        <w:t xml:space="preserve">Objects.</w:t>
      </w:r>
      <w:r>
        <w:rPr>
          <w:rFonts w:ascii="Times New Roman" w:cs="Times New Roman" w:eastAsia="Times New Roman" w:hAnsi="Times New Roman"/>
          <w:sz w:val="22"/>
          <w:szCs w:val="22"/>
        </w:rPr>
        <w:t xml:space="preserve"> Cell events in eight-connected cells whose exceedance (standard) intervals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s0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e0</w:t>
      </w:r>
      <w:r>
        <w:rPr>
          <w:rFonts w:ascii="Times New Roman" w:cs="Times New Roman" w:eastAsia="Times New Roman" w:hAnsi="Times New Roman"/>
          <w:sz w:val="22"/>
          <w:szCs w:val="22"/>
        </w:rPr>
        <w:t xml:space="preserve">] overlap or are adjacent in time are united into a space–time object by connected-component labeling</w:t>
      </w: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2"/>
          <w:szCs w:val="22"/>
        </w:rPr>
        <w:t xml:space="preserve">; the extended intervals determine only the daily membership of a cell within its object, not the linking of cells into objects. The whole catalogue contains 4,377 MHW and 4,968 MCS objects. On day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the </w:t>
      </w:r>
      <w:r>
        <w:rPr>
          <w:rFonts w:ascii="Times New Roman" w:cs="Times New Roman" w:eastAsia="Times New Roman" w:hAnsi="Times New Roman"/>
          <w:i/>
          <w:iCs/>
          <w:sz w:val="22"/>
          <w:szCs w:val="22"/>
        </w:rPr>
        <w:t xml:space="preserve">members</w:t>
      </w:r>
      <w:r>
        <w:rPr>
          <w:rFonts w:ascii="Times New Roman" w:cs="Times New Roman" w:eastAsia="Times New Roman" w:hAnsi="Times New Roman"/>
          <w:sz w:val="22"/>
          <w:szCs w:val="22"/>
        </w:rPr>
        <w:t xml:space="preserve"> of an object are the cells whose extended interval contains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the </w:t>
      </w:r>
      <w:r>
        <w:rPr>
          <w:rFonts w:ascii="Times New Roman" w:cs="Times New Roman" w:eastAsia="Times New Roman" w:hAnsi="Times New Roman"/>
          <w:i/>
          <w:iCs/>
          <w:sz w:val="22"/>
          <w:szCs w:val="22"/>
        </w:rPr>
        <w:t xml:space="preserve">exceeding</w:t>
      </w:r>
      <w:r>
        <w:rPr>
          <w:rFonts w:ascii="Times New Roman" w:cs="Times New Roman" w:eastAsia="Times New Roman" w:hAnsi="Times New Roman"/>
          <w:sz w:val="22"/>
          <w:szCs w:val="22"/>
        </w:rPr>
        <w:t xml:space="preserve"> cells are those whose exceedance interval contains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The daily membership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is the number of member cells; it rises from a few cells at onset to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and falls back at termination (Supplementary Fig. 1c).</w:t>
      </w:r>
    </w:p>
    <w:p>
      <w:pPr>
        <w:pStyle w:val="Heading2"/>
        <w:spacing w:after="80" w:before="200"/>
      </w:pPr>
      <w:r>
        <w:rPr>
          <w:rFonts w:ascii="Times New Roman" w:cs="Times New Roman" w:eastAsia="Times New Roman" w:hAnsi="Times New Roman"/>
          <w:b/>
          <w:bCs/>
          <w:sz w:val="24"/>
          <w:szCs w:val="24"/>
        </w:rPr>
        <w:t xml:space="preserve">Supplementary Methods 3 — Object catalogue, filters and sample sizes</w:t>
      </w:r>
    </w:p>
    <w:p>
      <w:pPr>
        <w:spacing w:after="120" w:line="300"/>
        <w:jc w:val="both"/>
      </w:pPr>
      <w:r>
        <w:rPr>
          <w:rFonts w:ascii="Times New Roman" w:cs="Times New Roman" w:eastAsia="Times New Roman" w:hAnsi="Times New Roman"/>
          <w:sz w:val="22"/>
          <w:szCs w:val="22"/>
        </w:rPr>
        <w:t xml:space="preserve">For every object we record the first and last extended days (life-cycle length), the first and last exceedance days (exceedance duration),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 max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and its day, the footprint (all cells ever members) and its area, the distance to the coast of the peak cell of ref.</w:t>
      </w: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2"/>
          <w:szCs w:val="22"/>
        </w:rPr>
        <w:t xml:space="preserve"> (the cell with the largest anomaly amplitude) and the fraction of footprint cells farther than 50 km from the coast (Supplementary Data 1, sheet </w:t>
      </w:r>
      <w:r>
        <w:rPr>
          <w:rFonts w:ascii="Consolas" w:cs="Consolas" w:eastAsia="Consolas" w:hAnsi="Consolas"/>
          <w:sz w:val="20"/>
          <w:szCs w:val="20"/>
        </w:rPr>
        <w:t xml:space="preserve">catalog_summary</w:t>
      </w:r>
      <w:r>
        <w:rPr>
          <w:rFonts w:ascii="Times New Roman" w:cs="Times New Roman" w:eastAsia="Times New Roman" w:hAnsi="Times New Roman"/>
          <w:sz w:val="22"/>
          <w:szCs w:val="22"/>
        </w:rPr>
        <w:t xml:space="preserve">; the per-object catalogue is in </w:t>
      </w:r>
      <w:r>
        <w:rPr>
          <w:rFonts w:ascii="Consolas" w:cs="Consolas" w:eastAsia="Consolas" w:hAnsi="Consolas"/>
          <w:sz w:val="20"/>
          <w:szCs w:val="20"/>
        </w:rPr>
        <w:t xml:space="preserve">output/catalog_all.csv</w:t>
      </w:r>
      <w:r>
        <w:rPr>
          <w:rFonts w:ascii="Times New Roman" w:cs="Times New Roman" w:eastAsia="Times New Roman" w:hAnsi="Times New Roman"/>
          <w:sz w:val="22"/>
          <w:szCs w:val="22"/>
        </w:rPr>
        <w:t xml:space="preserve">).</w:t>
      </w:r>
    </w:p>
    <w:p>
      <w:pPr>
        <w:spacing w:after="120" w:line="300"/>
        <w:jc w:val="both"/>
      </w:pPr>
      <w:r>
        <w:rPr>
          <w:rFonts w:ascii="Times New Roman" w:cs="Times New Roman" w:eastAsia="Times New Roman" w:hAnsi="Times New Roman"/>
          <w:b/>
          <w:bCs/>
          <w:sz w:val="22"/>
          <w:szCs w:val="22"/>
        </w:rPr>
        <w:t xml:space="preserve">Main filter.</w:t>
      </w:r>
      <w:r>
        <w:rPr>
          <w:rFonts w:ascii="Times New Roman" w:cs="Times New Roman" w:eastAsia="Times New Roman" w:hAnsi="Times New Roman"/>
          <w:sz w:val="22"/>
          <w:szCs w:val="22"/>
        </w:rPr>
        <w:t xml:space="preserve"> Objects enter the main set if (i) the peak cell is at least 50 km from the nearest land cell, so that neither the coastal wall nor the shelf affects the network; (ii)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 50 cells (≈ 3,600 km</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so that the daily graphs have enough nodes for the topological metrics to be meaningful and the null model to have a non-degenerate distribution; (iii) the life cycle lasts at least 15 days, so that early-growth, near-peak and late-decay windows each contain several days; and (iv) the exceedance duration is at most 200 days, which removes 24 MHW and 21 MCS objects that are multi-year chains of merged events. This gives 375 MHWs and 297 MCSs; every phenomenon × season class contains at least 64 objects (Supplementary Table 1).</w:t>
      </w:r>
    </w:p>
    <w:p>
      <w:pPr>
        <w:spacing w:after="120" w:line="300"/>
        <w:jc w:val="both"/>
      </w:pPr>
      <w:r>
        <w:rPr>
          <w:rFonts w:ascii="Times New Roman" w:cs="Times New Roman" w:eastAsia="Times New Roman" w:hAnsi="Times New Roman"/>
          <w:b/>
          <w:bCs/>
          <w:sz w:val="22"/>
          <w:szCs w:val="22"/>
        </w:rPr>
        <w:t xml:space="preserve">Processing set.</w:t>
      </w:r>
      <w:r>
        <w:rPr>
          <w:rFonts w:ascii="Times New Roman" w:cs="Times New Roman" w:eastAsia="Times New Roman" w:hAnsi="Times New Roman"/>
          <w:sz w:val="22"/>
          <w:szCs w:val="22"/>
        </w:rPr>
        <w:t xml:space="preserve"> Networks were computed for the union of all filter settings used in the sensitivity analysis (offshore ≥ 30 km,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 20, life cycle ≥ 10 d, exceedance ≤ 365 d; 849 MHWs and 784 MCSs), so that the sensitivity analysis (Supplementary Methods 9.9) selects subsets of an identical set of daily graphs.</w:t>
      </w:r>
    </w:p>
    <w:p>
      <w:pPr>
        <w:pStyle w:val="Heading2"/>
        <w:spacing w:after="80" w:before="200"/>
      </w:pPr>
      <w:r>
        <w:rPr>
          <w:rFonts w:ascii="Times New Roman" w:cs="Times New Roman" w:eastAsia="Times New Roman" w:hAnsi="Times New Roman"/>
          <w:b/>
          <w:bCs/>
          <w:sz w:val="24"/>
          <w:szCs w:val="24"/>
        </w:rPr>
        <w:t xml:space="preserve">Supplementary Methods 4 — Peak definitions, normalized life-cycle time and windows</w:t>
      </w:r>
    </w:p>
    <w:p>
      <w:pPr>
        <w:spacing w:after="120" w:line="300"/>
        <w:jc w:val="both"/>
      </w:pPr>
      <w:r>
        <w:rPr>
          <w:rFonts w:ascii="Times New Roman" w:cs="Times New Roman" w:eastAsia="Times New Roman" w:hAnsi="Times New Roman"/>
          <w:sz w:val="22"/>
          <w:szCs w:val="22"/>
        </w:rPr>
        <w:t xml:space="preserve">Three peak days are defined for every object from its daily graphs (Supplementary Fig. 1c):</w:t>
      </w:r>
    </w:p>
    <w:p>
      <w:pPr>
        <w:pStyle w:val="ListParagraph"/>
        <w:numPr>
          <w:ilvl w:val="0"/>
          <w:numId w:val="2"/>
        </w:numPr>
        <w:spacing w:after="60"/>
      </w:pP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the day of maximum membership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(the "largest single object" definition);</w:t>
      </w:r>
    </w:p>
    <w:p>
      <w:pPr>
        <w:pStyle w:val="ListParagraph"/>
        <w:numPr>
          <w:ilvl w:val="0"/>
          <w:numId w:val="2"/>
        </w:numPr>
        <w:spacing w:after="60"/>
      </w:pP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the day of maximum area-integrated anomaly of the exceeding member cells, </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Σ</w:t>
      </w:r>
      <w:r>
        <w:rPr>
          <w:rFonts w:ascii="Times New Roman" w:cs="Times New Roman" w:eastAsia="Times New Roman" w:hAnsi="Times New Roman"/>
          <w:sz w:val="22"/>
          <w:szCs w:val="22"/>
          <w:vertAlign w:val="subscript"/>
        </w:rPr>
        <w:t xml:space="preserve">exceeding</w:t>
      </w:r>
      <w:r>
        <w:rPr>
          <w:rFonts w:ascii="Times New Roman" w:cs="Times New Roman" w:eastAsia="Times New Roman" w:hAnsi="Times New Roman"/>
          <w:sz w:val="22"/>
          <w:szCs w:val="22"/>
        </w:rPr>
        <w:t xml:space="preserve"> max(</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0)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 (in K km</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i.e. the day of maximum "day × temperature" content; this is the main definition;</w:t>
      </w:r>
    </w:p>
    <w:p>
      <w:pPr>
        <w:pStyle w:val="ListParagraph"/>
        <w:numPr>
          <w:ilvl w:val="0"/>
          <w:numId w:val="2"/>
        </w:numPr>
        <w:spacing w:after="60"/>
      </w:pP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the day on which the peak cell of the object attains its maximum anomaly</w:t>
      </w: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2"/>
          <w:szCs w:val="22"/>
        </w:rPr>
        <w:t xml:space="preserve">.</w:t>
      </w:r>
    </w:p>
    <w:p>
      <w:pPr>
        <w:spacing w:after="120" w:line="300"/>
        <w:jc w:val="both"/>
      </w:pPr>
      <w:r>
        <w:rPr>
          <w:rFonts w:ascii="Times New Roman" w:cs="Times New Roman" w:eastAsia="Times New Roman" w:hAnsi="Times New Roman"/>
          <w:sz w:val="22"/>
          <w:szCs w:val="22"/>
        </w:rPr>
        <w:t xml:space="preserve">The normalized life-cycle time is defined separately in the two phases,</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τ = (k − k</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)/k</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 for k ≤ k</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   τ = (k − k</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)/(K − 1 − k</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 for k &gt; k</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(S2)</w:t>
      </w:r>
    </w:p>
    <w:p>
      <w:pPr>
        <w:spacing w:after="120" w:line="300"/>
        <w:jc w:val="both"/>
      </w:pPr>
      <w:r>
        <w:rPr>
          <w:rFonts w:ascii="Times New Roman" w:cs="Times New Roman" w:eastAsia="Times New Roman" w:hAnsi="Times New Roman"/>
          <w:sz w:val="22"/>
          <w:szCs w:val="22"/>
        </w:rPr>
        <w:t xml:space="preserve">where </w:t>
      </w:r>
      <w:r>
        <w:rPr>
          <w:rFonts w:ascii="Times New Roman" w:cs="Times New Roman" w:eastAsia="Times New Roman" w:hAnsi="Times New Roman"/>
          <w:i/>
          <w:iCs/>
          <w:sz w:val="22"/>
          <w:szCs w:val="22"/>
        </w:rPr>
        <w:t xml:space="preserve">k</w:t>
      </w:r>
      <w:r>
        <w:rPr>
          <w:rFonts w:ascii="Times New Roman" w:cs="Times New Roman" w:eastAsia="Times New Roman" w:hAnsi="Times New Roman"/>
          <w:sz w:val="22"/>
          <w:szCs w:val="22"/>
        </w:rPr>
        <w:t xml:space="preserve"> = 0, …, </w:t>
      </w:r>
      <w:r>
        <w:rPr>
          <w:rFonts w:ascii="Times New Roman" w:cs="Times New Roman" w:eastAsia="Times New Roman" w:hAnsi="Times New Roman"/>
          <w:i/>
          <w:iCs/>
          <w:sz w:val="22"/>
          <w:szCs w:val="22"/>
        </w:rPr>
        <w:t xml:space="preserve">K</w:t>
      </w:r>
      <w:r>
        <w:rPr>
          <w:rFonts w:ascii="Times New Roman" w:cs="Times New Roman" w:eastAsia="Times New Roman" w:hAnsi="Times New Roman"/>
          <w:sz w:val="22"/>
          <w:szCs w:val="22"/>
        </w:rPr>
        <w:t xml:space="preserve"> − 1 indexes the days of the life cycle and </w:t>
      </w:r>
      <w:r>
        <w:rPr>
          <w:rFonts w:ascii="Times New Roman" w:cs="Times New Roman" w:eastAsia="Times New Roman" w:hAnsi="Times New Roman"/>
          <w:i/>
          <w:iCs/>
          <w:sz w:val="22"/>
          <w:szCs w:val="22"/>
        </w:rPr>
        <w:t xml:space="preserve">k</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sz w:val="22"/>
          <w:szCs w:val="22"/>
        </w:rPr>
        <w:t xml:space="preserve"> the peak day, so that τ = −1 at onset, 0 at the peak and +1 at the end. The three windows are early growth (τ &lt; −0.25), near peak (|τ| ≤ 0.25) and late decay (τ &gt; 0.25); "onset" and "end" are the first and last three days. Topological metrics are evaluated only on days with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10 member cells; objects with fewer than 8 life-cycle days or with max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&lt; 10 have no features. Season is assigned by the calendar month of the peak day (DJF, MAM, JJA, SON). The lags between the three definitions and the equivalence of the results are documented in Supplementary Note 5, Supplementary Fig. 9 and Supplementary Table 8.</w:t>
      </w:r>
    </w:p>
    <w:p>
      <w:pPr>
        <w:pStyle w:val="Heading2"/>
        <w:spacing w:after="80" w:before="200"/>
      </w:pPr>
      <w:r>
        <w:rPr>
          <w:rFonts w:ascii="Times New Roman" w:cs="Times New Roman" w:eastAsia="Times New Roman" w:hAnsi="Times New Roman"/>
          <w:b/>
          <w:bCs/>
          <w:sz w:val="24"/>
          <w:szCs w:val="24"/>
        </w:rPr>
        <w:t xml:space="preserve">Supplementary Methods 5 — The layer anomaly heat budget in flux form</w:t>
      </w:r>
    </w:p>
    <w:p>
      <w:pPr>
        <w:spacing w:after="120" w:line="300"/>
        <w:jc w:val="both"/>
      </w:pPr>
      <w:r>
        <w:rPr>
          <w:rFonts w:ascii="Times New Roman" w:cs="Times New Roman" w:eastAsia="Times New Roman" w:hAnsi="Times New Roman"/>
          <w:b/>
          <w:bCs/>
          <w:sz w:val="22"/>
          <w:szCs w:val="22"/>
        </w:rPr>
        <w:t xml:space="preserve">Layer budget.</w:t>
      </w:r>
      <w:r>
        <w:rPr>
          <w:rFonts w:ascii="Times New Roman" w:cs="Times New Roman" w:eastAsia="Times New Roman" w:hAnsi="Times New Roman"/>
          <w:sz w:val="22"/>
          <w:szCs w:val="22"/>
        </w:rPr>
        <w:t xml:space="preserve"> Integrating the temperature equation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sz w:val="22"/>
          <w:szCs w:val="22"/>
          <w:vertAlign w:val="subscript"/>
        </w:rPr>
        <w:t xml:space="preserve">h</w:t>
      </w:r>
      <w:r>
        <w:rPr>
          <w:rFonts w:ascii="Times New Roman" w:cs="Times New Roman" w:eastAsia="Times New Roman" w:hAnsi="Times New Roman"/>
          <w:sz w:val="22"/>
          <w:szCs w:val="22"/>
        </w:rPr>
        <w:t xml:space="preserve">·(</w:t>
      </w:r>
      <w:r>
        <w:rPr>
          <w:rFonts w:ascii="Times New Roman" w:cs="Times New Roman" w:eastAsia="Times New Roman" w:hAnsi="Times New Roman"/>
          <w:b/>
          <w:bCs/>
          <w:sz w:val="22"/>
          <w:szCs w:val="22"/>
        </w:rPr>
        <w:t xml:space="preserve">u</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wT</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z</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D</w:t>
      </w:r>
      <w:r>
        <w:rPr>
          <w:rFonts w:ascii="Times New Roman" w:cs="Times New Roman" w:eastAsia="Times New Roman" w:hAnsi="Times New Roman"/>
          <w:sz w:val="22"/>
          <w:szCs w:val="22"/>
        </w:rPr>
        <w:t xml:space="preserve"> over the layer −</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z</w:t>
      </w:r>
      <w:r>
        <w:rPr>
          <w:rFonts w:ascii="Times New Roman" w:cs="Times New Roman" w:eastAsia="Times New Roman" w:hAnsi="Times New Roman"/>
          <w:sz w:val="22"/>
          <w:szCs w:val="22"/>
        </w:rPr>
        <w:t xml:space="preserve"> ≤ 0, with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 = 0 at the surface and the retained surface heat flux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r</w:t>
      </w:r>
      <w:r>
        <w:rPr>
          <w:rFonts w:ascii="Times New Roman" w:cs="Times New Roman" w:eastAsia="Times New Roman" w:hAnsi="Times New Roman"/>
          <w:sz w:val="22"/>
          <w:szCs w:val="22"/>
        </w:rPr>
        <w:t xml:space="preserve"> entering at the top, gives for the layer-mean temperature</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∂T̄/∂t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w:t>
      </w:r>
      <w:r>
        <w:rPr>
          <w:rFonts w:ascii="Times New Roman" w:cs="Times New Roman" w:eastAsia="Times New Roman" w:hAnsi="Times New Roman"/>
          <w:i w:val="false"/>
          <w:iCs w:val="false"/>
          <w:sz w:val="22"/>
          <w:szCs w:val="22"/>
          <w:vertAlign w:val="subscript"/>
        </w:rPr>
        <w:t xml:space="preserve">h</w:t>
      </w:r>
      <w:r>
        <w:rPr>
          <w:rFonts w:ascii="Times New Roman" w:cs="Times New Roman" w:eastAsia="Times New Roman" w:hAnsi="Times New Roman"/>
          <w:i w:val="false"/>
          <w:iCs w:val="false"/>
          <w:sz w:val="22"/>
          <w:szCs w:val="22"/>
        </w:rPr>
        <w:t xml:space="preserve">·(ū T̄)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w:t>
      </w:r>
      <w:r>
        <w:rPr>
          <w:rFonts w:ascii="Times New Roman" w:cs="Times New Roman" w:eastAsia="Times New Roman" w:hAnsi="Times New Roman"/>
          <w:i w:val="false"/>
          <w:iCs w:val="false"/>
          <w:sz w:val="22"/>
          <w:szCs w:val="22"/>
          <w:vertAlign w:val="subscript"/>
        </w:rPr>
        <w:t xml:space="preserve">h</w:t>
      </w:r>
      <w:r>
        <w:rPr>
          <w:rFonts w:ascii="Times New Roman" w:cs="Times New Roman" w:eastAsia="Times New Roman" w:hAnsi="Times New Roman"/>
          <w:i w:val="false"/>
          <w:iCs w:val="false"/>
          <w:sz w:val="22"/>
          <w:szCs w:val="22"/>
        </w:rPr>
        <w:t xml:space="preserve">·⟨u″T″⟩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 w</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T</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 Q</w:t>
      </w:r>
      <w:r>
        <w:rPr>
          <w:rFonts w:ascii="Times New Roman" w:cs="Times New Roman" w:eastAsia="Times New Roman" w:hAnsi="Times New Roman"/>
          <w:i w:val="false"/>
          <w:iCs w:val="false"/>
          <w:sz w:val="22"/>
          <w:szCs w:val="22"/>
          <w:vertAlign w:val="subscript"/>
        </w:rPr>
        <w:t xml:space="preserve">r</w:t>
      </w:r>
      <w:r>
        <w:rPr>
          <w:rFonts w:ascii="Times New Roman" w:cs="Times New Roman" w:eastAsia="Times New Roman" w:hAnsi="Times New Roman"/>
          <w:i w:val="false"/>
          <w:iCs w:val="false"/>
          <w:sz w:val="22"/>
          <w:szCs w:val="22"/>
        </w:rPr>
        <w:t xml:space="preserve">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D̄,</w:t>
      </w:r>
      <w:r>
        <w:rPr>
          <w:rFonts w:ascii="Times New Roman" w:cs="Times New Roman" w:eastAsia="Times New Roman" w:hAnsi="Times New Roman"/>
          <w:sz w:val="22"/>
          <w:szCs w:val="22"/>
        </w:rPr>
        <w:t xml:space="preserve">	(S3)</w:t>
      </w:r>
    </w:p>
    <w:p>
      <w:pPr>
        <w:spacing w:after="120" w:line="300"/>
        <w:jc w:val="both"/>
      </w:pPr>
      <w:r>
        <w:rPr>
          <w:rFonts w:ascii="Times New Roman" w:cs="Times New Roman" w:eastAsia="Times New Roman" w:hAnsi="Times New Roman"/>
          <w:sz w:val="22"/>
          <w:szCs w:val="22"/>
        </w:rPr>
        <w:t xml:space="preserve">where ⟨</w:t>
      </w:r>
      <w:r>
        <w:rPr>
          <w:rFonts w:ascii="Times New Roman" w:cs="Times New Roman" w:eastAsia="Times New Roman" w:hAnsi="Times New Roman"/>
          <w:i/>
          <w:iCs/>
          <w:sz w:val="22"/>
          <w:szCs w:val="22"/>
        </w:rPr>
        <w:t xml:space="preserve">u″T″</w:t>
      </w:r>
      <w:r>
        <w:rPr>
          <w:rFonts w:ascii="Times New Roman" w:cs="Times New Roman" w:eastAsia="Times New Roman" w:hAnsi="Times New Roman"/>
          <w:sz w:val="22"/>
          <w:szCs w:val="22"/>
        </w:rPr>
        <w:t xml:space="preserve">⟩ is the covariance of the vertical deviations of velocity and temperature from their layer means (the shear–stratification covariance),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is the vertical velocity at the base of the layer (positive upward) and </w:t>
      </w:r>
      <w:r>
        <w:rPr>
          <w:rFonts w:ascii="Times New Roman" w:cs="Times New Roman" w:eastAsia="Times New Roman" w:hAnsi="Times New Roman"/>
          <w:i/>
          <w:iCs/>
          <w:sz w:val="22"/>
          <w:szCs w:val="22"/>
        </w:rPr>
        <w:t xml:space="preserve">D̄</w:t>
      </w:r>
      <w:r>
        <w:rPr>
          <w:rFonts w:ascii="Times New Roman" w:cs="Times New Roman" w:eastAsia="Times New Roman" w:hAnsi="Times New Roman"/>
          <w:sz w:val="22"/>
          <w:szCs w:val="22"/>
        </w:rPr>
        <w:t xml:space="preserve"> collects diffusion and mixing. Vertically integrating the continuity equation over the layer gives</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w</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 H ∇</w:t>
      </w:r>
      <w:r>
        <w:rPr>
          <w:rFonts w:ascii="Times New Roman" w:cs="Times New Roman" w:eastAsia="Times New Roman" w:hAnsi="Times New Roman"/>
          <w:i w:val="false"/>
          <w:iCs w:val="false"/>
          <w:sz w:val="22"/>
          <w:szCs w:val="22"/>
          <w:vertAlign w:val="subscript"/>
        </w:rPr>
        <w:t xml:space="preserve">h</w:t>
      </w:r>
      <w:r>
        <w:rPr>
          <w:rFonts w:ascii="Times New Roman" w:cs="Times New Roman" w:eastAsia="Times New Roman" w:hAnsi="Times New Roman"/>
          <w:i w:val="false"/>
          <w:iCs w:val="false"/>
          <w:sz w:val="22"/>
          <w:szCs w:val="22"/>
        </w:rPr>
        <w:t xml:space="preserve">·ū,</w:t>
      </w:r>
      <w:r>
        <w:rPr>
          <w:rFonts w:ascii="Times New Roman" w:cs="Times New Roman" w:eastAsia="Times New Roman" w:hAnsi="Times New Roman"/>
          <w:sz w:val="22"/>
          <w:szCs w:val="22"/>
        </w:rPr>
        <w:t xml:space="preserve">	(S4)</w:t>
      </w:r>
    </w:p>
    <w:p>
      <w:pPr>
        <w:spacing w:after="120" w:line="300"/>
        <w:jc w:val="both"/>
      </w:pPr>
      <w:r>
        <w:rPr>
          <w:rFonts w:ascii="Times New Roman" w:cs="Times New Roman" w:eastAsia="Times New Roman" w:hAnsi="Times New Roman"/>
          <w:sz w:val="22"/>
          <w:szCs w:val="22"/>
        </w:rPr>
        <w:t xml:space="preserve">so that the base velocity is diagnosed from the divergence of the layer-mean flow; it is positive (upwelling into the layer) where the layer flow is divergent. The surface heat flux retained in the layer is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r</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net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SW</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SW</w:t>
      </w:r>
      <w:r>
        <w:rPr>
          <w:rFonts w:ascii="Times New Roman" w:cs="Times New Roman" w:eastAsia="Times New Roman" w:hAnsi="Times New Roman"/>
          <w:sz w:val="22"/>
          <w:szCs w:val="22"/>
        </w:rPr>
        <w:t xml:space="preserve">, where the fraction of net shortwave radiation that penetrates below 50 m,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SW</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e</w:t>
      </w:r>
      <w:r>
        <w:rPr>
          <w:rFonts w:ascii="Times New Roman" w:cs="Times New Roman" w:eastAsia="Times New Roman" w:hAnsi="Times New Roman"/>
          <w:sz w:val="22"/>
          <w:szCs w:val="22"/>
          <w:vertAlign w:val="superscript"/>
        </w:rPr>
        <w:t xml:space="preserve">−H/ζ1</w:t>
      </w:r>
      <w:r>
        <w:rPr>
          <w:rFonts w:ascii="Times New Roman" w:cs="Times New Roman" w:eastAsia="Times New Roman" w:hAnsi="Times New Roman"/>
          <w:sz w:val="22"/>
          <w:szCs w:val="22"/>
        </w:rPr>
        <w:t xml:space="preserve"> + (1 −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e</w:t>
      </w:r>
      <w:r>
        <w:rPr>
          <w:rFonts w:ascii="Times New Roman" w:cs="Times New Roman" w:eastAsia="Times New Roman" w:hAnsi="Times New Roman"/>
          <w:sz w:val="22"/>
          <w:szCs w:val="22"/>
          <w:vertAlign w:val="superscript"/>
        </w:rPr>
        <w:t xml:space="preserve">−H/ζ2</w:t>
      </w:r>
      <w:r>
        <w:rPr>
          <w:rFonts w:ascii="Times New Roman" w:cs="Times New Roman" w:eastAsia="Times New Roman" w:hAnsi="Times New Roman"/>
          <w:sz w:val="22"/>
          <w:szCs w:val="22"/>
        </w:rPr>
        <w:t xml:space="preserve"> = 0.048 for the Jerlov type-I water of Paulson and Simpson</w:t>
      </w:r>
      <w:r>
        <w:rPr>
          <w:rFonts w:ascii="Times New Roman" w:cs="Times New Roman" w:eastAsia="Times New Roman" w:hAnsi="Times New Roman"/>
          <w:sz w:val="22"/>
          <w:szCs w:val="22"/>
          <w:vertAlign w:val="superscript"/>
        </w:rPr>
        <w:t xml:space="preserve">6</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 0.58, ζ</w:t>
      </w:r>
      <w:r>
        <w:rPr>
          <w:rFonts w:ascii="Times New Roman" w:cs="Times New Roman" w:eastAsia="Times New Roman" w:hAnsi="Times New Roman"/>
          <w:sz w:val="22"/>
          <w:szCs w:val="22"/>
          <w:vertAlign w:val="subscript"/>
        </w:rPr>
        <w:t xml:space="preserve">1</w:t>
      </w:r>
      <w:r>
        <w:rPr>
          <w:rFonts w:ascii="Times New Roman" w:cs="Times New Roman" w:eastAsia="Times New Roman" w:hAnsi="Times New Roman"/>
          <w:sz w:val="22"/>
          <w:szCs w:val="22"/>
        </w:rPr>
        <w:t xml:space="preserve"> = 0.35 m, ζ</w:t>
      </w:r>
      <w:r>
        <w:rPr>
          <w:rFonts w:ascii="Times New Roman" w:cs="Times New Roman" w:eastAsia="Times New Roman" w:hAnsi="Times New Roman"/>
          <w:sz w:val="22"/>
          <w:szCs w:val="22"/>
          <w:vertAlign w:val="subscript"/>
        </w:rPr>
        <w:t xml:space="preserve">2</w:t>
      </w:r>
      <w:r>
        <w:rPr>
          <w:rFonts w:ascii="Times New Roman" w:cs="Times New Roman" w:eastAsia="Times New Roman" w:hAnsi="Times New Roman"/>
          <w:sz w:val="22"/>
          <w:szCs w:val="22"/>
        </w:rPr>
        <w:t xml:space="preserve"> = 23 m), is removed before the climatology and the anomaly are formed (the anomaly of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r</w:t>
      </w:r>
      <w:r>
        <w:rPr>
          <w:rFonts w:ascii="Times New Roman" w:cs="Times New Roman" w:eastAsia="Times New Roman" w:hAnsi="Times New Roman"/>
          <w:sz w:val="22"/>
          <w:szCs w:val="22"/>
        </w:rPr>
        <w:t xml:space="preserve"> is denoted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w:t>
      </w:r>
    </w:p>
    <w:p>
      <w:pPr>
        <w:spacing w:after="120" w:line="300"/>
        <w:jc w:val="both"/>
      </w:pPr>
      <w:r>
        <w:rPr>
          <w:rFonts w:ascii="Times New Roman" w:cs="Times New Roman" w:eastAsia="Times New Roman" w:hAnsi="Times New Roman"/>
          <w:b/>
          <w:bCs/>
          <w:sz w:val="22"/>
          <w:szCs w:val="22"/>
        </w:rPr>
        <w:t xml:space="preserve">Anomaly budget in closed form.</w:t>
      </w:r>
      <w:r>
        <w:rPr>
          <w:rFonts w:ascii="Times New Roman" w:cs="Times New Roman" w:eastAsia="Times New Roman" w:hAnsi="Times New Roman"/>
          <w:sz w:val="22"/>
          <w:szCs w:val="22"/>
        </w:rPr>
        <w:t xml:space="preserve"> Let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where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is the cell-wise background (day-of-year climatology plus linear trend, both fixed for 1993–2022) and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the anomaly; similarly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i/>
          <w:iCs/>
          <w:sz w:val="22"/>
          <w:szCs w:val="22"/>
        </w:rPr>
        <w:t xml:space="preserve">′</w:t>
      </w:r>
      <w:r>
        <w:rPr>
          <w:rFonts w:ascii="Times New Roman" w:cs="Times New Roman" w:eastAsia="Times New Roman" w:hAnsi="Times New Roman"/>
          <w:sz w:val="22"/>
          <w:szCs w:val="22"/>
        </w:rPr>
        <w:t xml:space="preserve"> at the base and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r</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c</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where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c</w:t>
      </w:r>
      <w:r>
        <w:rPr>
          <w:rFonts w:ascii="Times New Roman" w:cs="Times New Roman" w:eastAsia="Times New Roman" w:hAnsi="Times New Roman"/>
          <w:sz w:val="22"/>
          <w:szCs w:val="22"/>
        </w:rPr>
        <w:t xml:space="preserve"> is the day-of-year climatology of the retained surface flux (the surface flux is not detrended). Substituting into (S3) and collecting on the right every term that is not an anomaly flux gives, without approximation,</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∂T′/∂t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w:t>
      </w:r>
      <w:r>
        <w:rPr>
          <w:rFonts w:ascii="Times New Roman" w:cs="Times New Roman" w:eastAsia="Times New Roman" w:hAnsi="Times New Roman"/>
          <w:i w:val="false"/>
          <w:iCs w:val="false"/>
          <w:sz w:val="22"/>
          <w:szCs w:val="22"/>
          <w:vertAlign w:val="subscript"/>
        </w:rPr>
        <w:t xml:space="preserve">h</w:t>
      </w:r>
      <w:r>
        <w:rPr>
          <w:rFonts w:ascii="Times New Roman" w:cs="Times New Roman" w:eastAsia="Times New Roman" w:hAnsi="Times New Roman"/>
          <w:i w:val="false"/>
          <w:iCs w:val="false"/>
          <w:sz w:val="22"/>
          <w:szCs w:val="22"/>
        </w:rPr>
        <w:t xml:space="preserve">·(ū T′)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 w</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T</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 Q′ + R</w:t>
      </w:r>
      <w:r>
        <w:rPr>
          <w:rFonts w:ascii="Times New Roman" w:cs="Times New Roman" w:eastAsia="Times New Roman" w:hAnsi="Times New Roman"/>
          <w:i w:val="false"/>
          <w:iCs w:val="false"/>
          <w:sz w:val="22"/>
          <w:szCs w:val="22"/>
          <w:vertAlign w:val="subscript"/>
        </w:rPr>
        <w:t xml:space="preserve">bg</w:t>
      </w:r>
      <w:r>
        <w:rPr>
          <w:rFonts w:ascii="Times New Roman" w:cs="Times New Roman" w:eastAsia="Times New Roman" w:hAnsi="Times New Roman"/>
          <w:i w:val="false"/>
          <w:iCs w:val="false"/>
          <w:sz w:val="22"/>
          <w:szCs w:val="22"/>
        </w:rPr>
        <w:t xml:space="preserve"> + R</w:t>
      </w:r>
      <w:r>
        <w:rPr>
          <w:rFonts w:ascii="Times New Roman" w:cs="Times New Roman" w:eastAsia="Times New Roman" w:hAnsi="Times New Roman"/>
          <w:i w:val="false"/>
          <w:iCs w:val="false"/>
          <w:sz w:val="22"/>
          <w:szCs w:val="22"/>
          <w:vertAlign w:val="subscript"/>
        </w:rPr>
        <w:t xml:space="preserve">cov</w:t>
      </w:r>
      <w:r>
        <w:rPr>
          <w:rFonts w:ascii="Times New Roman" w:cs="Times New Roman" w:eastAsia="Times New Roman" w:hAnsi="Times New Roman"/>
          <w:i w:val="false"/>
          <w:iCs w:val="false"/>
          <w:sz w:val="22"/>
          <w:szCs w:val="22"/>
        </w:rPr>
        <w:t xml:space="preserve"> + R</w:t>
      </w:r>
      <w:r>
        <w:rPr>
          <w:rFonts w:ascii="Times New Roman" w:cs="Times New Roman" w:eastAsia="Times New Roman" w:hAnsi="Times New Roman"/>
          <w:i w:val="false"/>
          <w:iCs w:val="false"/>
          <w:sz w:val="22"/>
          <w:szCs w:val="22"/>
          <w:vertAlign w:val="subscript"/>
        </w:rPr>
        <w:t xml:space="preserve">mix</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(S5)</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R</w:t>
      </w:r>
      <w:r>
        <w:rPr>
          <w:rFonts w:ascii="Times New Roman" w:cs="Times New Roman" w:eastAsia="Times New Roman" w:hAnsi="Times New Roman"/>
          <w:i w:val="false"/>
          <w:iCs w:val="false"/>
          <w:sz w:val="22"/>
          <w:szCs w:val="22"/>
          <w:vertAlign w:val="subscript"/>
        </w:rPr>
        <w:t xml:space="preserve">bg</w:t>
      </w:r>
      <w:r>
        <w:rPr>
          <w:rFonts w:ascii="Times New Roman" w:cs="Times New Roman" w:eastAsia="Times New Roman" w:hAnsi="Times New Roman"/>
          <w:i w:val="false"/>
          <w:iCs w:val="false"/>
          <w:sz w:val="22"/>
          <w:szCs w:val="22"/>
        </w:rPr>
        <w:t xml:space="preserve">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ū·∇</w:t>
      </w:r>
      <w:r>
        <w:rPr>
          <w:rFonts w:ascii="Times New Roman" w:cs="Times New Roman" w:eastAsia="Times New Roman" w:hAnsi="Times New Roman"/>
          <w:i w:val="false"/>
          <w:iCs w:val="false"/>
          <w:sz w:val="22"/>
          <w:szCs w:val="22"/>
          <w:vertAlign w:val="subscript"/>
        </w:rPr>
        <w:t xml:space="preserve">h</w:t>
      </w:r>
      <w:r>
        <w:rPr>
          <w:rFonts w:ascii="Times New Roman" w:cs="Times New Roman" w:eastAsia="Times New Roman" w:hAnsi="Times New Roman"/>
          <w:i w:val="false"/>
          <w:iCs w:val="false"/>
          <w:sz w:val="22"/>
          <w:szCs w:val="22"/>
        </w:rPr>
        <w:t xml:space="preserve">B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 w</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(B</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 B) + Q</w:t>
      </w:r>
      <w:r>
        <w:rPr>
          <w:rFonts w:ascii="Times New Roman" w:cs="Times New Roman" w:eastAsia="Times New Roman" w:hAnsi="Times New Roman"/>
          <w:i w:val="false"/>
          <w:iCs w:val="false"/>
          <w:sz w:val="22"/>
          <w:szCs w:val="22"/>
          <w:vertAlign w:val="subscript"/>
        </w:rPr>
        <w:t xml:space="preserve">c</w:t>
      </w:r>
      <w:r>
        <w:rPr>
          <w:rFonts w:ascii="Times New Roman" w:cs="Times New Roman" w:eastAsia="Times New Roman" w:hAnsi="Times New Roman"/>
          <w:i w:val="false"/>
          <w:iCs w:val="false"/>
          <w:sz w:val="22"/>
          <w:szCs w:val="22"/>
        </w:rPr>
        <w:t xml:space="preserve">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 ∂B/∂t,</w:t>
      </w:r>
      <w:r>
        <w:rPr>
          <w:rFonts w:ascii="Times New Roman" w:cs="Times New Roman" w:eastAsia="Times New Roman" w:hAnsi="Times New Roman"/>
          <w:sz w:val="22"/>
          <w:szCs w:val="22"/>
        </w:rPr>
        <w:t xml:space="preserve">	(S5a)</w:t>
      </w:r>
    </w:p>
    <w:p>
      <w:pPr>
        <w:spacing w:after="120" w:line="300"/>
        <w:jc w:val="both"/>
      </w:pPr>
      <w:r>
        <w:rPr>
          <w:rFonts w:ascii="Times New Roman" w:cs="Times New Roman" w:eastAsia="Times New Roman" w:hAnsi="Times New Roman"/>
          <w:sz w:val="22"/>
          <w:szCs w:val="22"/>
        </w:rPr>
        <w:t xml:space="preserve">where (S4) has been used to write −∇</w:t>
      </w:r>
      <w:r>
        <w:rPr>
          <w:rFonts w:ascii="Times New Roman" w:cs="Times New Roman" w:eastAsia="Times New Roman" w:hAnsi="Times New Roman"/>
          <w:sz w:val="22"/>
          <w:szCs w:val="22"/>
          <w:vertAlign w:val="subscript"/>
        </w:rPr>
        <w:t xml:space="preserve">h</w:t>
      </w:r>
      <w:r>
        <w:rPr>
          <w:rFonts w:ascii="Times New Roman" w:cs="Times New Roman" w:eastAsia="Times New Roman" w:hAnsi="Times New Roman"/>
          <w:sz w:val="22"/>
          <w:szCs w:val="22"/>
        </w:rPr>
        <w:t xml:space="preserve">·(</w:t>
      </w:r>
      <w:r>
        <w:rPr>
          <w:rFonts w:ascii="Times New Roman" w:cs="Times New Roman" w:eastAsia="Times New Roman" w:hAnsi="Times New Roman"/>
          <w:b/>
          <w:bCs/>
          <w:sz w:val="22"/>
          <w:szCs w:val="22"/>
        </w:rPr>
        <w:t xml:space="preserve">ū</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 −</w:t>
      </w:r>
      <w:r>
        <w:rPr>
          <w:rFonts w:ascii="Times New Roman" w:cs="Times New Roman" w:eastAsia="Times New Roman" w:hAnsi="Times New Roman"/>
          <w:b/>
          <w:bCs/>
          <w:sz w:val="22"/>
          <w:szCs w:val="22"/>
        </w:rPr>
        <w:t xml:space="preserve">ū</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vertAlign w:val="subscript"/>
        </w:rPr>
        <w:t xml:space="preserve">h</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B</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up to the </w:t>
      </w:r>
      <w:r>
        <w:rPr>
          <w:rFonts w:ascii="Times New Roman" w:cs="Times New Roman" w:eastAsia="Times New Roman" w:hAnsi="Times New Roman"/>
          <w:i/>
          <w:iCs/>
          <w:sz w:val="22"/>
          <w:szCs w:val="22"/>
        </w:rPr>
        <w:t xml:space="preserve">B</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term that appears explicitly,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cov</w:t>
      </w:r>
      <w:r>
        <w:rPr>
          <w:rFonts w:ascii="Times New Roman" w:cs="Times New Roman" w:eastAsia="Times New Roman" w:hAnsi="Times New Roman"/>
          <w:sz w:val="22"/>
          <w:szCs w:val="22"/>
        </w:rPr>
        <w:t xml:space="preserve"> =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vertAlign w:val="subscript"/>
        </w:rPr>
        <w:t xml:space="preserve">h</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u″T″</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mix</w:t>
      </w:r>
      <w:r>
        <w:rPr>
          <w:rFonts w:ascii="Times New Roman" w:cs="Times New Roman" w:eastAsia="Times New Roman" w:hAnsi="Times New Roman"/>
          <w:sz w:val="22"/>
          <w:szCs w:val="22"/>
        </w:rPr>
        <w:t xml:space="preserve"> =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 D̄</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is the budget of the background field under the actual flow of the day: the advection of the background gradient by the total flow (the anomalous part of which, −</w:t>
      </w:r>
      <w:r>
        <w:rPr>
          <w:rFonts w:ascii="Times New Roman" w:cs="Times New Roman" w:eastAsia="Times New Roman" w:hAnsi="Times New Roman"/>
          <w:b/>
          <w:bCs/>
          <w:sz w:val="22"/>
          <w:szCs w:val="22"/>
        </w:rPr>
        <w:t xml:space="preserve">ū</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vertAlign w:val="subscript"/>
        </w:rPr>
        <w:t xml:space="preserve">h</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was previously denoted </w:t>
      </w:r>
      <w:r>
        <w:rPr>
          <w:rFonts w:ascii="Times New Roman" w:cs="Times New Roman" w:eastAsia="Times New Roman" w:hAnsi="Times New Roman"/>
          <w:i/>
          <w:iCs/>
          <w:sz w:val="22"/>
          <w:szCs w:val="22"/>
        </w:rPr>
        <w:t xml:space="preserve">G′</w:t>
      </w:r>
      <w:r>
        <w:rPr>
          <w:rFonts w:ascii="Times New Roman" w:cs="Times New Roman" w:eastAsia="Times New Roman" w:hAnsi="Times New Roman"/>
          <w:sz w:val="22"/>
          <w:szCs w:val="22"/>
        </w:rPr>
        <w:t xml:space="preserve">), the vertical exchange of background temperature, the climatological surface flux and the seasonal tendency of the background. Because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is a smooth fit and not a solution of (S3),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does not vanish; its climatological-mean parts balance only on average. Multiplying (S5) by the cell area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 and by the sign </w:t>
      </w:r>
      <w:r>
        <w:rPr>
          <w:rFonts w:ascii="Times New Roman" w:cs="Times New Roman" w:eastAsia="Times New Roman" w:hAnsi="Times New Roman"/>
          <w:i/>
          <w:iCs/>
          <w:sz w:val="22"/>
          <w:szCs w:val="22"/>
        </w:rPr>
        <w:t xml:space="preserve">s</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s</w:t>
      </w:r>
      <w:r>
        <w:rPr>
          <w:rFonts w:ascii="Times New Roman" w:cs="Times New Roman" w:eastAsia="Times New Roman" w:hAnsi="Times New Roman"/>
          <w:sz w:val="22"/>
          <w:szCs w:val="22"/>
        </w:rPr>
        <w:t xml:space="preserve"> = +1 for MHWs and −1 for MCSs, so that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sT′</w:t>
      </w:r>
      <w:r>
        <w:rPr>
          <w:rFonts w:ascii="Times New Roman" w:cs="Times New Roman" w:eastAsia="Times New Roman" w:hAnsi="Times New Roman"/>
          <w:sz w:val="22"/>
          <w:szCs w:val="22"/>
        </w:rPr>
        <w:t xml:space="preserve">) converts it into a statement about the heat content anomaly </w:t>
      </w:r>
      <w:r>
        <w:rPr>
          <w:rFonts w:ascii="Times New Roman" w:cs="Times New Roman" w:eastAsia="Times New Roman" w:hAnsi="Times New Roman"/>
          <w:i/>
          <w:iCs/>
          <w:sz w:val="22"/>
          <w:szCs w:val="22"/>
        </w:rPr>
        <w:t xml:space="preserve">ρ</w:t>
      </w:r>
      <w:r>
        <w:rPr>
          <w:rFonts w:ascii="Times New Roman" w:cs="Times New Roman" w:eastAsia="Times New Roman" w:hAnsi="Times New Roman"/>
          <w:i/>
          <w:iCs/>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HAq</w:t>
      </w:r>
      <w:r>
        <w:rPr>
          <w:rFonts w:ascii="Times New Roman" w:cs="Times New Roman" w:eastAsia="Times New Roman" w:hAnsi="Times New Roman"/>
          <w:sz w:val="22"/>
          <w:szCs w:val="22"/>
        </w:rPr>
        <w:t xml:space="preserve"> of a cell (in J) and the fluxes across its faces (in W):</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HA dq/dt = Σ</w:t>
      </w:r>
      <w:r>
        <w:rPr>
          <w:rFonts w:ascii="Times New Roman" w:cs="Times New Roman" w:eastAsia="Times New Roman" w:hAnsi="Times New Roman"/>
          <w:i w:val="false"/>
          <w:iCs w:val="false"/>
          <w:sz w:val="22"/>
          <w:szCs w:val="22"/>
          <w:vertAlign w:val="subscript"/>
        </w:rPr>
        <w:t xml:space="preserve">faces</w:t>
      </w:r>
      <w:r>
        <w:rPr>
          <w:rFonts w:ascii="Times New Roman" w:cs="Times New Roman" w:eastAsia="Times New Roman" w:hAnsi="Times New Roman"/>
          <w:i w:val="false"/>
          <w:iCs w:val="false"/>
          <w:sz w:val="22"/>
          <w:szCs w:val="22"/>
        </w:rPr>
        <w:t xml:space="preserve"> F</w:t>
      </w:r>
      <w:r>
        <w:rPr>
          <w:rFonts w:ascii="Times New Roman" w:cs="Times New Roman" w:eastAsia="Times New Roman" w:hAnsi="Times New Roman"/>
          <w:i w:val="false"/>
          <w:iCs w:val="false"/>
          <w:sz w:val="22"/>
          <w:szCs w:val="22"/>
          <w:vertAlign w:val="subscript"/>
        </w:rPr>
        <w:t xml:space="preserve">in</w:t>
      </w:r>
      <w:r>
        <w:rPr>
          <w:rFonts w:ascii="Times New Roman" w:cs="Times New Roman" w:eastAsia="Times New Roman" w:hAnsi="Times New Roman"/>
          <w:i w:val="false"/>
          <w:iCs w:val="false"/>
          <w:sz w:val="22"/>
          <w:szCs w:val="22"/>
        </w:rPr>
        <w:t xml:space="preserve"> − Σ</w:t>
      </w:r>
      <w:r>
        <w:rPr>
          <w:rFonts w:ascii="Times New Roman" w:cs="Times New Roman" w:eastAsia="Times New Roman" w:hAnsi="Times New Roman"/>
          <w:i w:val="false"/>
          <w:iCs w:val="false"/>
          <w:sz w:val="22"/>
          <w:szCs w:val="22"/>
          <w:vertAlign w:val="subscript"/>
        </w:rPr>
        <w:t xml:space="preserve">faces</w:t>
      </w:r>
      <w:r>
        <w:rPr>
          <w:rFonts w:ascii="Times New Roman" w:cs="Times New Roman" w:eastAsia="Times New Roman" w:hAnsi="Times New Roman"/>
          <w:i w:val="false"/>
          <w:iCs w:val="false"/>
          <w:sz w:val="22"/>
          <w:szCs w:val="22"/>
        </w:rPr>
        <w:t xml:space="preserve"> F</w:t>
      </w:r>
      <w:r>
        <w:rPr>
          <w:rFonts w:ascii="Times New Roman" w:cs="Times New Roman" w:eastAsia="Times New Roman" w:hAnsi="Times New Roman"/>
          <w:i w:val="false"/>
          <w:iCs w:val="false"/>
          <w:sz w:val="22"/>
          <w:szCs w:val="22"/>
          <w:vertAlign w:val="subscript"/>
        </w:rPr>
        <w:t xml:space="preserve">out</w:t>
      </w:r>
      <w:r>
        <w:rPr>
          <w:rFonts w:ascii="Times New Roman" w:cs="Times New Roman" w:eastAsia="Times New Roman" w:hAnsi="Times New Roman"/>
          <w:i w:val="false"/>
          <w:iCs w:val="false"/>
          <w:sz w:val="22"/>
          <w:szCs w:val="22"/>
        </w:rPr>
        <w:t xml:space="preserve"> + F</w:t>
      </w:r>
      <w:r>
        <w:rPr>
          <w:rFonts w:ascii="Times New Roman" w:cs="Times New Roman" w:eastAsia="Times New Roman" w:hAnsi="Times New Roman"/>
          <w:i w:val="false"/>
          <w:iCs w:val="false"/>
          <w:sz w:val="22"/>
          <w:szCs w:val="22"/>
          <w:vertAlign w:val="subscript"/>
        </w:rPr>
        <w:t xml:space="preserve">SUB</w:t>
      </w:r>
      <w:r>
        <w:rPr>
          <w:rFonts w:ascii="Times New Roman" w:cs="Times New Roman" w:eastAsia="Times New Roman" w:hAnsi="Times New Roman"/>
          <w:i w:val="false"/>
          <w:iCs w:val="false"/>
          <w:sz w:val="22"/>
          <w:szCs w:val="22"/>
        </w:rPr>
        <w:t xml:space="preserve"> + F</w:t>
      </w:r>
      <w:r>
        <w:rPr>
          <w:rFonts w:ascii="Times New Roman" w:cs="Times New Roman" w:eastAsia="Times New Roman" w:hAnsi="Times New Roman"/>
          <w:i w:val="false"/>
          <w:iCs w:val="false"/>
          <w:sz w:val="22"/>
          <w:szCs w:val="22"/>
          <w:vertAlign w:val="subscript"/>
        </w:rPr>
        <w:t xml:space="preserve">ATM</w:t>
      </w:r>
      <w:r>
        <w:rPr>
          <w:rFonts w:ascii="Times New Roman" w:cs="Times New Roman" w:eastAsia="Times New Roman" w:hAnsi="Times New Roman"/>
          <w:i w:val="false"/>
          <w:iCs w:val="false"/>
          <w:sz w:val="22"/>
          <w:szCs w:val="22"/>
        </w:rPr>
        <w:t xml:space="preserve"> + R,</w:t>
      </w:r>
      <w:r>
        <w:rPr>
          <w:rFonts w:ascii="Times New Roman" w:cs="Times New Roman" w:eastAsia="Times New Roman" w:hAnsi="Times New Roman"/>
          <w:sz w:val="22"/>
          <w:szCs w:val="22"/>
        </w:rPr>
        <w:t xml:space="preserve">	(S6)</w:t>
      </w:r>
    </w:p>
    <w:p>
      <w:pPr>
        <w:spacing w:after="120" w:line="300"/>
        <w:jc w:val="both"/>
      </w:pPr>
      <w:r>
        <w:rPr>
          <w:rFonts w:ascii="Times New Roman" w:cs="Times New Roman" w:eastAsia="Times New Roman" w:hAnsi="Times New Roman"/>
          <w:sz w:val="22"/>
          <w:szCs w:val="22"/>
        </w:rPr>
        <w:t xml:space="preserve">where the horizontal, subsurface and atmospheric fluxes are defined in Supplementary Methods 6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 A</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cov</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mix</w:t>
      </w:r>
      <w:r>
        <w:rPr>
          <w:rFonts w:ascii="Times New Roman" w:cs="Times New Roman" w:eastAsia="Times New Roman" w:hAnsi="Times New Roman"/>
          <w:sz w:val="22"/>
          <w:szCs w:val="22"/>
        </w:rPr>
        <w:t xml:space="preserve">), with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mix</w:t>
      </w:r>
      <w:r>
        <w:rPr>
          <w:rFonts w:ascii="Times New Roman" w:cs="Times New Roman" w:eastAsia="Times New Roman" w:hAnsi="Times New Roman"/>
          <w:sz w:val="22"/>
          <w:szCs w:val="22"/>
        </w:rPr>
        <w:t xml:space="preserve"> also containing the data-assimilation increments of the reanalysis and any mismatch between the ERA5 forcing and the surface fluxes seen by GLORYS12. The network represents the first four terms exactly. The residual is not computed term by term: it is defined diagnostically as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diag</w:t>
      </w:r>
      <w:r>
        <w:rPr>
          <w:rFonts w:ascii="Times New Roman" w:cs="Times New Roman" w:eastAsia="Times New Roman" w:hAnsi="Times New Roman"/>
          <w:sz w:val="22"/>
          <w:szCs w:val="22"/>
        </w:rPr>
        <w:t xml:space="preserve"> =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HA</w:t>
      </w:r>
      <w:r>
        <w:rPr>
          <w:rFonts w:ascii="Times New Roman" w:cs="Times New Roman" w:eastAsia="Times New Roman" w:hAnsi="Times New Roman"/>
          <w:sz w:val="22"/>
          <w:szCs w:val="22"/>
        </w:rPr>
        <w:t xml:space="preserve"> d</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in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out</w:t>
      </w:r>
      <w:r>
        <w:rPr>
          <w:rFonts w:ascii="Times New Roman" w:cs="Times New Roman" w:eastAsia="Times New Roman" w:hAnsi="Times New Roman"/>
          <w:sz w:val="22"/>
          <w:szCs w:val="22"/>
        </w:rPr>
        <w:t xml:space="preserve">), which makes (S6) an identity, so that the closure analysis of Supplementary Note 1 measures how much of the tendency the resolved transport reproduces rather than testing a closed model. For MCSs,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and a positive net convergence in K day</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denotes a strengthening of the cold anomaly.</w:t>
      </w:r>
    </w:p>
    <w:p>
      <w:pPr>
        <w:spacing w:after="120" w:line="300"/>
        <w:jc w:val="both"/>
      </w:pPr>
      <w:r>
        <w:rPr>
          <w:rFonts w:ascii="Times New Roman" w:cs="Times New Roman" w:eastAsia="Times New Roman" w:hAnsi="Times New Roman"/>
          <w:b/>
          <w:bCs/>
          <w:sz w:val="22"/>
          <w:szCs w:val="22"/>
        </w:rPr>
        <w:t xml:space="preserve">Discretisation.</w:t>
      </w:r>
      <w:r>
        <w:rPr>
          <w:rFonts w:ascii="Times New Roman" w:cs="Times New Roman" w:eastAsia="Times New Roman" w:hAnsi="Times New Roman"/>
          <w:sz w:val="22"/>
          <w:szCs w:val="22"/>
        </w:rPr>
        <w:t xml:space="preserve"> The divergence of the flux of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is discretized in flux form on the C-like arrangement of cell faces: the flux across the east face of cell (</w:t>
      </w:r>
      <w:r>
        <w:rPr>
          <w:rFonts w:ascii="Times New Roman" w:cs="Times New Roman" w:eastAsia="Times New Roman" w:hAnsi="Times New Roman"/>
          <w:i/>
          <w:iCs/>
          <w:sz w:val="22"/>
          <w:szCs w:val="22"/>
        </w:rPr>
        <w:t xml:space="preserve">j</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 is evaluated from the arithmetic means of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in the two cells sharing the face, and similarly for north faces (Supplementary Methods 6). Summing the face fluxes of a cell reproduces the spherical finite-volume divergence used in the heat-budget analyses of refs.</w:t>
      </w:r>
      <w:r>
        <w:rPr>
          <w:rFonts w:ascii="Times New Roman" w:cs="Times New Roman" w:eastAsia="Times New Roman" w:hAnsi="Times New Roman"/>
          <w:sz w:val="22"/>
          <w:szCs w:val="22"/>
          <w:vertAlign w:val="superscript"/>
        </w:rPr>
        <w:t xml:space="preserve">3,4</w:t>
      </w:r>
      <w:r>
        <w:rPr>
          <w:rFonts w:ascii="Times New Roman" w:cs="Times New Roman" w:eastAsia="Times New Roman" w:hAnsi="Times New Roman"/>
          <w:sz w:val="22"/>
          <w:szCs w:val="22"/>
        </w:rPr>
        <w:t xml:space="preserve"> exactly, so that the net strength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in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out</w:t>
      </w:r>
      <w:r>
        <w:rPr>
          <w:rFonts w:ascii="Times New Roman" w:cs="Times New Roman" w:eastAsia="Times New Roman" w:hAnsi="Times New Roman"/>
          <w:sz w:val="22"/>
          <w:szCs w:val="22"/>
        </w:rPr>
        <w:t xml:space="preserve"> of a node equals the discretized heat-flux convergence (the incident strength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in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out</w:t>
      </w:r>
      <w:r>
        <w:rPr>
          <w:rFonts w:ascii="Times New Roman" w:cs="Times New Roman" w:eastAsia="Times New Roman" w:hAnsi="Times New Roman"/>
          <w:sz w:val="22"/>
          <w:szCs w:val="22"/>
        </w:rPr>
        <w:t xml:space="preserve"> used for hubs is a different quantity; Supplementary Methods 7). The divergence in (S4) is computed with the GLORYS land mask (no-flux through land faces) </w:t>
      </w:r>
      <w:r>
        <w:rPr>
          <w:rFonts w:ascii="Times New Roman" w:cs="Times New Roman" w:eastAsia="Times New Roman" w:hAnsi="Times New Roman"/>
          <w:i/>
          <w:iCs/>
          <w:sz w:val="22"/>
          <w:szCs w:val="22"/>
        </w:rPr>
        <w:t xml:space="preserve">before</w:t>
      </w:r>
      <w:r>
        <w:rPr>
          <w:rFonts w:ascii="Times New Roman" w:cs="Times New Roman" w:eastAsia="Times New Roman" w:hAnsi="Times New Roman"/>
          <w:sz w:val="22"/>
          <w:szCs w:val="22"/>
        </w:rPr>
        <w:t xml:space="preserve"> the basin mask is applied, so that the straits are not treated as walls.</w:t>
      </w:r>
    </w:p>
    <w:p>
      <w:pPr>
        <w:spacing w:after="120" w:line="300"/>
        <w:jc w:val="both"/>
      </w:pPr>
      <w:r>
        <w:rPr>
          <w:rFonts w:ascii="Times New Roman" w:cs="Times New Roman" w:eastAsia="Times New Roman" w:hAnsi="Times New Roman"/>
          <w:b/>
          <w:bCs/>
          <w:sz w:val="22"/>
          <w:szCs w:val="22"/>
        </w:rPr>
        <w:t xml:space="preserve">Dependence on the background field.</w:t>
      </w:r>
      <w:r>
        <w:rPr>
          <w:rFonts w:ascii="Times New Roman" w:cs="Times New Roman" w:eastAsia="Times New Roman" w:hAnsi="Times New Roman"/>
          <w:sz w:val="22"/>
          <w:szCs w:val="22"/>
        </w:rPr>
        <w:t xml:space="preserve"> The network is built from the anomaly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sT′</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depends on the background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that is subtracted. A change δ</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of the background changes the anomaly to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δ</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and its tendency to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∂δ</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the physical temperature budget (S3) is unchanged, while the anomaly tendency, the anomaly fluxes on the edges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transform together so that the anomaly budget remains exact with the new background. Nothing in the graph is invariant, however: every edge weight changes with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and an edge reverses wherever the old and the new face anomaly have opposite signs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vertAlign w:val="subscript"/>
        </w:rPr>
        <w:t xml:space="preserve">old</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vertAlign w:val="subscript"/>
        </w:rPr>
        <w:t xml:space="preserve">new</w:t>
      </w:r>
      <w:r>
        <w:rPr>
          <w:rFonts w:ascii="Times New Roman" w:cs="Times New Roman" w:eastAsia="Times New Roman" w:hAnsi="Times New Roman"/>
          <w:sz w:val="22"/>
          <w:szCs w:val="22"/>
        </w:rPr>
        <w:t xml:space="preserve"> &lt; 0). We tested one perturbation numerically: the daily networks of the four events of the companion Letter and of 59 further objects drawn at random from the main set (29 MHWs, 30 MCSs) were recomputed with anomalies defined relative to the seasonal climatology alone, so that the 30-year linear trend of each cell is retained in the anomaly instead of being part of the background, on the fixed catalogue and with the fixed life-cycle windows. This changes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by a median of 0.35 K (up to 1.2 K), about one third of the median anomaly of the member cells (1.1 K). The daily metrics are empirically stable under this perturbation (Supplementary Fig. 10, Supplementary Table 12): the correlation across the life cycle between the two versions has a median of 0.99 for the external inflow fraction, 0.95 for the largest-SCC fraction, 0.94 for the flow hierarchy, 0.95 for the top-10% share and 0.998 for the net convergence; the near-peak window means differ by a median of 0.000–0.007 and, for 90% of the objects, by less than 0.013 (SCC fraction), 0.018 (hierarchy), 0.010 (external fraction) and 0.013 (top-10% share), an order of magnitude below the spread between objects (standard deviation 0.05–0.18), whereas the quantities that depend on the ranking of individual nodes and edges are more sensitive (90th-percentile differences of 0.032 for the Gini coefficient, 0.111 for the daily σ</w:t>
      </w:r>
      <w:r>
        <w:rPr>
          <w:rFonts w:ascii="Times New Roman" w:cs="Times New Roman" w:eastAsia="Times New Roman" w:hAnsi="Times New Roman"/>
          <w:sz w:val="22"/>
          <w:szCs w:val="22"/>
          <w:vertAlign w:val="subscript"/>
        </w:rPr>
        <w:t xml:space="preserve">log w</w:t>
      </w:r>
      <w:r>
        <w:rPr>
          <w:rFonts w:ascii="Times New Roman" w:cs="Times New Roman" w:eastAsia="Times New Roman" w:hAnsi="Times New Roman"/>
          <w:sz w:val="22"/>
          <w:szCs w:val="22"/>
        </w:rPr>
        <w:t xml:space="preserve"> and 0.112 for the hub persistence; median day-to-day correlation 0.71 for the latter). For the four Letter events the near-peak external fraction, SCC fraction, hierarchy and top-10% share agree to within 0.02 and the closure correlations to within 0.01, whereas the daily σ</w:t>
      </w:r>
      <w:r>
        <w:rPr>
          <w:rFonts w:ascii="Times New Roman" w:cs="Times New Roman" w:eastAsia="Times New Roman" w:hAnsi="Times New Roman"/>
          <w:sz w:val="22"/>
          <w:szCs w:val="22"/>
          <w:vertAlign w:val="subscript"/>
        </w:rPr>
        <w:t xml:space="preserve">log w</w:t>
      </w:r>
      <w:r>
        <w:rPr>
          <w:rFonts w:ascii="Times New Roman" w:cs="Times New Roman" w:eastAsia="Times New Roman" w:hAnsi="Times New Roman"/>
          <w:sz w:val="22"/>
          <w:szCs w:val="22"/>
        </w:rPr>
        <w:t xml:space="preserve"> changes by up to 0.06 and the hub persistence by up to 0.03. The detrended anomaly is used throughout because the catalogue of ref.</w:t>
      </w: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2"/>
          <w:szCs w:val="22"/>
        </w:rPr>
        <w:t xml:space="preserve"> is defined on it. Other choices of the climatological window or smoothing, and a re-detection of the catalogue under a different background, were not tested; the stability reported here is an empirical result for the one perturbation tested, not a mathematical invariance.</w:t>
      </w:r>
    </w:p>
    <w:p>
      <w:pPr>
        <w:pStyle w:val="Heading2"/>
        <w:spacing w:after="80" w:before="200"/>
      </w:pPr>
      <w:r>
        <w:rPr>
          <w:rFonts w:ascii="Times New Roman" w:cs="Times New Roman" w:eastAsia="Times New Roman" w:hAnsi="Times New Roman"/>
          <w:b/>
          <w:bCs/>
          <w:sz w:val="24"/>
          <w:szCs w:val="24"/>
        </w:rPr>
        <w:t xml:space="preserve">Supplementary Methods 6 — Network construction</w:t>
      </w:r>
    </w:p>
    <w:p>
      <w:pPr>
        <w:spacing w:after="120" w:line="300"/>
        <w:jc w:val="both"/>
      </w:pPr>
      <w:r>
        <w:rPr>
          <w:rFonts w:ascii="Times New Roman" w:cs="Times New Roman" w:eastAsia="Times New Roman" w:hAnsi="Times New Roman"/>
          <w:sz w:val="22"/>
          <w:szCs w:val="22"/>
        </w:rPr>
        <w:t xml:space="preserve">For every day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of every processed object a weighted directed graph </w:t>
      </w:r>
      <w:r>
        <w:rPr>
          <w:rFonts w:ascii="Times New Roman" w:cs="Times New Roman" w:eastAsia="Times New Roman" w:hAnsi="Times New Roman"/>
          <w:i/>
          <w:iCs/>
          <w:sz w:val="22"/>
          <w:szCs w:val="22"/>
        </w:rPr>
        <w:t xml:space="preserve">G</w:t>
      </w:r>
      <w:r>
        <w:rPr>
          <w:rFonts w:ascii="Times New Roman" w:cs="Times New Roman" w:eastAsia="Times New Roman" w:hAnsi="Times New Roman"/>
          <w:i/>
          <w:iCs/>
          <w:sz w:val="22"/>
          <w:szCs w:val="22"/>
          <w:vertAlign w:val="subscript"/>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V</w:t>
      </w:r>
      <w:r>
        <w:rPr>
          <w:rFonts w:ascii="Times New Roman" w:cs="Times New Roman" w:eastAsia="Times New Roman" w:hAnsi="Times New Roman"/>
          <w:i/>
          <w:iCs/>
          <w:sz w:val="22"/>
          <w:szCs w:val="22"/>
          <w:vertAlign w:val="subscript"/>
        </w:rPr>
        <w:t xml:space="preserve">t</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E</w:t>
      </w:r>
      <w:r>
        <w:rPr>
          <w:rFonts w:ascii="Times New Roman" w:cs="Times New Roman" w:eastAsia="Times New Roman" w:hAnsi="Times New Roman"/>
          <w:i/>
          <w:iCs/>
          <w:sz w:val="22"/>
          <w:szCs w:val="22"/>
          <w:vertAlign w:val="subscript"/>
        </w:rPr>
        <w:t xml:space="preserve">t</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 is built (Supplementary Fig. 1a, b).</w:t>
      </w:r>
    </w:p>
    <w:p>
      <w:pPr>
        <w:spacing w:after="120" w:line="300"/>
        <w:jc w:val="both"/>
      </w:pPr>
      <w:r>
        <w:rPr>
          <w:rFonts w:ascii="Times New Roman" w:cs="Times New Roman" w:eastAsia="Times New Roman" w:hAnsi="Times New Roman"/>
          <w:b/>
          <w:bCs/>
          <w:sz w:val="22"/>
          <w:szCs w:val="22"/>
        </w:rPr>
        <w:t xml:space="preserve">Nodes.</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V</w:t>
      </w:r>
      <w:r>
        <w:rPr>
          <w:rFonts w:ascii="Times New Roman" w:cs="Times New Roman" w:eastAsia="Times New Roman" w:hAnsi="Times New Roman"/>
          <w:i/>
          <w:iCs/>
          <w:sz w:val="22"/>
          <w:szCs w:val="22"/>
          <w:vertAlign w:val="subscript"/>
        </w:rPr>
        <w:t xml:space="preserve">t</w:t>
      </w:r>
      <w:r>
        <w:rPr>
          <w:rFonts w:ascii="Times New Roman" w:cs="Times New Roman" w:eastAsia="Times New Roman" w:hAnsi="Times New Roman"/>
          <w:sz w:val="22"/>
          <w:szCs w:val="22"/>
        </w:rPr>
        <w:t xml:space="preserve"> consists of (i) the member cells on day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(the </w:t>
      </w:r>
      <w:r>
        <w:rPr>
          <w:rFonts w:ascii="Times New Roman" w:cs="Times New Roman" w:eastAsia="Times New Roman" w:hAnsi="Times New Roman"/>
          <w:i/>
          <w:iCs/>
          <w:sz w:val="22"/>
          <w:szCs w:val="22"/>
        </w:rPr>
        <w:t xml:space="preserve">member</w:t>
      </w:r>
      <w:r>
        <w:rPr>
          <w:rFonts w:ascii="Times New Roman" w:cs="Times New Roman" w:eastAsia="Times New Roman" w:hAnsi="Times New Roman"/>
          <w:sz w:val="22"/>
          <w:szCs w:val="22"/>
        </w:rPr>
        <w:t xml:space="preserve"> nodes, of which there are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(ii) all ocean cells of the basin that are eight-connected neighbors of a member cell but are not members (the </w:t>
      </w:r>
      <w:r>
        <w:rPr>
          <w:rFonts w:ascii="Times New Roman" w:cs="Times New Roman" w:eastAsia="Times New Roman" w:hAnsi="Times New Roman"/>
          <w:i/>
          <w:iCs/>
          <w:sz w:val="22"/>
          <w:szCs w:val="22"/>
        </w:rPr>
        <w:t xml:space="preserve">ring</w:t>
      </w:r>
      <w:r>
        <w:rPr>
          <w:rFonts w:ascii="Times New Roman" w:cs="Times New Roman" w:eastAsia="Times New Roman" w:hAnsi="Times New Roman"/>
          <w:sz w:val="22"/>
          <w:szCs w:val="22"/>
        </w:rPr>
        <w:t xml:space="preserve"> nodes), and (iii) two reservoir nodes ATM and SUB representing the atmosphere above and the ocean below 50 m. Member and ring cells for which </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sz w:val="22"/>
          <w:szCs w:val="22"/>
        </w:rPr>
        <w:t xml:space="preserve"> or </w:t>
      </w:r>
      <w:r>
        <w:rPr>
          <w:rFonts w:ascii="Times New Roman" w:cs="Times New Roman" w:eastAsia="Times New Roman" w:hAnsi="Times New Roman"/>
          <w:i/>
          <w:iCs/>
          <w:sz w:val="22"/>
          <w:szCs w:val="22"/>
        </w:rPr>
        <w:t xml:space="preserve">v̄</w:t>
      </w:r>
      <w:r>
        <w:rPr>
          <w:rFonts w:ascii="Times New Roman" w:cs="Times New Roman" w:eastAsia="Times New Roman" w:hAnsi="Times New Roman"/>
          <w:sz w:val="22"/>
          <w:szCs w:val="22"/>
        </w:rPr>
        <w:t xml:space="preserve"> is missing are dropped.</w:t>
      </w:r>
    </w:p>
    <w:p>
      <w:pPr>
        <w:spacing w:after="120" w:line="300"/>
        <w:jc w:val="both"/>
      </w:pPr>
      <w:r>
        <w:rPr>
          <w:rFonts w:ascii="Times New Roman" w:cs="Times New Roman" w:eastAsia="Times New Roman" w:hAnsi="Times New Roman"/>
          <w:b/>
          <w:bCs/>
          <w:sz w:val="22"/>
          <w:szCs w:val="22"/>
        </w:rPr>
        <w:t xml:space="preserve">Horizontal edges.</w:t>
      </w:r>
      <w:r>
        <w:rPr>
          <w:rFonts w:ascii="Times New Roman" w:cs="Times New Roman" w:eastAsia="Times New Roman" w:hAnsi="Times New Roman"/>
          <w:sz w:val="22"/>
          <w:szCs w:val="22"/>
        </w:rPr>
        <w:t xml:space="preserve"> For every pair of adjacent cells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that are both nodes and of which at least one is a member, the anomaly heat flux across their common face is</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F</w:t>
      </w:r>
      <w:r>
        <w:rPr>
          <w:rFonts w:ascii="Times New Roman" w:cs="Times New Roman" w:eastAsia="Times New Roman" w:hAnsi="Times New Roman"/>
          <w:i w:val="false"/>
          <w:iCs w:val="false"/>
          <w:sz w:val="22"/>
          <w:szCs w:val="22"/>
          <w:vertAlign w:val="subscript"/>
        </w:rPr>
        <w:t xml:space="preserve">ab</w:t>
      </w:r>
      <w:r>
        <w:rPr>
          <w:rFonts w:ascii="Times New Roman" w:cs="Times New Roman" w:eastAsia="Times New Roman" w:hAnsi="Times New Roman"/>
          <w:i w:val="false"/>
          <w:iCs w:val="false"/>
          <w:sz w:val="22"/>
          <w:szCs w:val="22"/>
        </w:rPr>
        <w:t xml:space="preserve"> = 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 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 H ū</w:t>
      </w:r>
      <w:r>
        <w:rPr>
          <w:rFonts w:ascii="Times New Roman" w:cs="Times New Roman" w:eastAsia="Times New Roman" w:hAnsi="Times New Roman"/>
          <w:i w:val="false"/>
          <w:iCs w:val="false"/>
          <w:sz w:val="22"/>
          <w:szCs w:val="22"/>
          <w:vertAlign w:val="subscript"/>
        </w:rPr>
        <w:t xml:space="preserve">face</w:t>
      </w:r>
      <w:r>
        <w:rPr>
          <w:rFonts w:ascii="Times New Roman" w:cs="Times New Roman" w:eastAsia="Times New Roman" w:hAnsi="Times New Roman"/>
          <w:i w:val="false"/>
          <w:iCs w:val="false"/>
          <w:sz w:val="22"/>
          <w:szCs w:val="22"/>
        </w:rPr>
        <w:t xml:space="preserve"> q</w:t>
      </w:r>
      <w:r>
        <w:rPr>
          <w:rFonts w:ascii="Times New Roman" w:cs="Times New Roman" w:eastAsia="Times New Roman" w:hAnsi="Times New Roman"/>
          <w:i w:val="false"/>
          <w:iCs w:val="false"/>
          <w:sz w:val="22"/>
          <w:szCs w:val="22"/>
          <w:vertAlign w:val="subscript"/>
        </w:rPr>
        <w:t xml:space="preserve">face</w:t>
      </w:r>
      <w:r>
        <w:rPr>
          <w:rFonts w:ascii="Times New Roman" w:cs="Times New Roman" w:eastAsia="Times New Roman" w:hAnsi="Times New Roman"/>
          <w:i w:val="false"/>
          <w:iCs w:val="false"/>
          <w:sz w:val="22"/>
          <w:szCs w:val="22"/>
        </w:rPr>
        <w:t xml:space="preserve"> L</w:t>
      </w:r>
      <w:r>
        <w:rPr>
          <w:rFonts w:ascii="Times New Roman" w:cs="Times New Roman" w:eastAsia="Times New Roman" w:hAnsi="Times New Roman"/>
          <w:i w:val="false"/>
          <w:iCs w:val="false"/>
          <w:sz w:val="22"/>
          <w:szCs w:val="22"/>
          <w:vertAlign w:val="subscript"/>
        </w:rPr>
        <w:t xml:space="preserve">face</w:t>
      </w:r>
      <w:r>
        <w:rPr>
          <w:rFonts w:ascii="Times New Roman" w:cs="Times New Roman" w:eastAsia="Times New Roman" w:hAnsi="Times New Roman"/>
          <w:i w:val="false"/>
          <w:iCs w:val="false"/>
          <w:sz w:val="22"/>
          <w:szCs w:val="22"/>
        </w:rPr>
        <w:t xml:space="preserve">,   ū</w:t>
      </w:r>
      <w:r>
        <w:rPr>
          <w:rFonts w:ascii="Times New Roman" w:cs="Times New Roman" w:eastAsia="Times New Roman" w:hAnsi="Times New Roman"/>
          <w:i w:val="false"/>
          <w:iCs w:val="false"/>
          <w:sz w:val="22"/>
          <w:szCs w:val="22"/>
          <w:vertAlign w:val="subscript"/>
        </w:rPr>
        <w:t xml:space="preserve">face</w:t>
      </w:r>
      <w:r>
        <w:rPr>
          <w:rFonts w:ascii="Times New Roman" w:cs="Times New Roman" w:eastAsia="Times New Roman" w:hAnsi="Times New Roman"/>
          <w:i w:val="false"/>
          <w:iCs w:val="false"/>
          <w:sz w:val="22"/>
          <w:szCs w:val="22"/>
        </w:rPr>
        <w:t xml:space="preserve"> = ½(ū</w:t>
      </w:r>
      <w:r>
        <w:rPr>
          <w:rFonts w:ascii="Times New Roman" w:cs="Times New Roman" w:eastAsia="Times New Roman" w:hAnsi="Times New Roman"/>
          <w:i w:val="false"/>
          <w:iCs w:val="false"/>
          <w:sz w:val="22"/>
          <w:szCs w:val="22"/>
          <w:vertAlign w:val="subscript"/>
        </w:rPr>
        <w:t xml:space="preserve">a</w:t>
      </w:r>
      <w:r>
        <w:rPr>
          <w:rFonts w:ascii="Times New Roman" w:cs="Times New Roman" w:eastAsia="Times New Roman" w:hAnsi="Times New Roman"/>
          <w:i w:val="false"/>
          <w:iCs w:val="false"/>
          <w:sz w:val="22"/>
          <w:szCs w:val="22"/>
        </w:rPr>
        <w:t xml:space="preserve"> + ū</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   q</w:t>
      </w:r>
      <w:r>
        <w:rPr>
          <w:rFonts w:ascii="Times New Roman" w:cs="Times New Roman" w:eastAsia="Times New Roman" w:hAnsi="Times New Roman"/>
          <w:i w:val="false"/>
          <w:iCs w:val="false"/>
          <w:sz w:val="22"/>
          <w:szCs w:val="22"/>
          <w:vertAlign w:val="subscript"/>
        </w:rPr>
        <w:t xml:space="preserve">face</w:t>
      </w:r>
      <w:r>
        <w:rPr>
          <w:rFonts w:ascii="Times New Roman" w:cs="Times New Roman" w:eastAsia="Times New Roman" w:hAnsi="Times New Roman"/>
          <w:i w:val="false"/>
          <w:iCs w:val="false"/>
          <w:sz w:val="22"/>
          <w:szCs w:val="22"/>
        </w:rPr>
        <w:t xml:space="preserve"> = ½(q</w:t>
      </w:r>
      <w:r>
        <w:rPr>
          <w:rFonts w:ascii="Times New Roman" w:cs="Times New Roman" w:eastAsia="Times New Roman" w:hAnsi="Times New Roman"/>
          <w:i w:val="false"/>
          <w:iCs w:val="false"/>
          <w:sz w:val="22"/>
          <w:szCs w:val="22"/>
          <w:vertAlign w:val="subscript"/>
        </w:rPr>
        <w:t xml:space="preserve">a</w:t>
      </w:r>
      <w:r>
        <w:rPr>
          <w:rFonts w:ascii="Times New Roman" w:cs="Times New Roman" w:eastAsia="Times New Roman" w:hAnsi="Times New Roman"/>
          <w:i w:val="false"/>
          <w:iCs w:val="false"/>
          <w:sz w:val="22"/>
          <w:szCs w:val="22"/>
        </w:rPr>
        <w:t xml:space="preserve"> + q</w:t>
      </w:r>
      <w:r>
        <w:rPr>
          <w:rFonts w:ascii="Times New Roman" w:cs="Times New Roman" w:eastAsia="Times New Roman" w:hAnsi="Times New Roman"/>
          <w:i w:val="false"/>
          <w:iCs w:val="false"/>
          <w:sz w:val="22"/>
          <w:szCs w:val="22"/>
          <w:vertAlign w:val="subscript"/>
        </w:rPr>
        <w:t xml:space="preserve">b</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(S7)</w:t>
      </w:r>
    </w:p>
    <w:p>
      <w:pPr>
        <w:spacing w:after="120" w:line="300"/>
        <w:jc w:val="both"/>
      </w:pPr>
      <w:r>
        <w:rPr>
          <w:rFonts w:ascii="Times New Roman" w:cs="Times New Roman" w:eastAsia="Times New Roman" w:hAnsi="Times New Roman"/>
          <w:sz w:val="22"/>
          <w:szCs w:val="22"/>
        </w:rPr>
        <w:t xml:space="preserve">with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i/>
          <w:iCs/>
          <w:sz w:val="22"/>
          <w:szCs w:val="22"/>
          <w:vertAlign w:val="subscript"/>
        </w:rPr>
        <w:t xml:space="preserve">face</w:t>
      </w:r>
      <w:r>
        <w:rPr>
          <w:rFonts w:ascii="Times New Roman" w:cs="Times New Roman" w:eastAsia="Times New Roman" w:hAnsi="Times New Roman"/>
          <w:sz w:val="22"/>
          <w:szCs w:val="22"/>
        </w:rPr>
        <w:t xml:space="preserve"> the face-normal component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sz w:val="22"/>
          <w:szCs w:val="22"/>
        </w:rPr>
        <w:t xml:space="preserve"> for east faces, </w:t>
      </w:r>
      <w:r>
        <w:rPr>
          <w:rFonts w:ascii="Times New Roman" w:cs="Times New Roman" w:eastAsia="Times New Roman" w:hAnsi="Times New Roman"/>
          <w:i/>
          <w:iCs/>
          <w:sz w:val="22"/>
          <w:szCs w:val="22"/>
        </w:rPr>
        <w:t xml:space="preserve">v̄</w:t>
      </w:r>
      <w:r>
        <w:rPr>
          <w:rFonts w:ascii="Times New Roman" w:cs="Times New Roman" w:eastAsia="Times New Roman" w:hAnsi="Times New Roman"/>
          <w:sz w:val="22"/>
          <w:szCs w:val="22"/>
        </w:rPr>
        <w:t xml:space="preserve"> for north faces), </w:t>
      </w:r>
      <w:r>
        <w:rPr>
          <w:rFonts w:ascii="Times New Roman" w:cs="Times New Roman" w:eastAsia="Times New Roman" w:hAnsi="Times New Roman"/>
          <w:i/>
          <w:iCs/>
          <w:sz w:val="22"/>
          <w:szCs w:val="22"/>
        </w:rPr>
        <w:t xml:space="preserve">L</w:t>
      </w:r>
      <w:r>
        <w:rPr>
          <w:rFonts w:ascii="Times New Roman" w:cs="Times New Roman" w:eastAsia="Times New Roman" w:hAnsi="Times New Roman"/>
          <w:i/>
          <w:iCs/>
          <w:sz w:val="22"/>
          <w:szCs w:val="22"/>
          <w:vertAlign w:val="subscript"/>
        </w:rPr>
        <w:t xml:space="preserve">face</w:t>
      </w:r>
      <w:r>
        <w:rPr>
          <w:rFonts w:ascii="Times New Roman" w:cs="Times New Roman" w:eastAsia="Times New Roman" w:hAnsi="Times New Roman"/>
          <w:sz w:val="22"/>
          <w:szCs w:val="22"/>
        </w:rPr>
        <w:t xml:space="preserve"> the spherical face length,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sz w:val="22"/>
          <w:szCs w:val="22"/>
        </w:rPr>
        <w:t xml:space="preserve"> = 1,026 kg m</w:t>
      </w: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sz w:val="22"/>
          <w:szCs w:val="22"/>
        </w:rPr>
        <w:t xml:space="preserve"> = 4,000 J kg</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K</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If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ab</w:t>
      </w:r>
      <w:r>
        <w:rPr>
          <w:rFonts w:ascii="Times New Roman" w:cs="Times New Roman" w:eastAsia="Times New Roman" w:hAnsi="Times New Roman"/>
          <w:sz w:val="22"/>
          <w:szCs w:val="22"/>
        </w:rPr>
        <w:t xml:space="preserve"> &gt; 0 the edge is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otherwise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 with weight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ab</w:t>
      </w:r>
      <w:r>
        <w:rPr>
          <w:rFonts w:ascii="Times New Roman" w:cs="Times New Roman" w:eastAsia="Times New Roman" w:hAnsi="Times New Roman"/>
          <w:sz w:val="22"/>
          <w:szCs w:val="22"/>
        </w:rPr>
        <w:t xml:space="preserve">|. Edges of weight below 1 kW are discarded (this removes only faces where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or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sz w:val="22"/>
          <w:szCs w:val="22"/>
        </w:rPr>
        <w:t xml:space="preserve"> vanishes). Ring–ring faces are not edges, so the ring nodes act as sources and sinks of the object and are not connected among themselves.</w:t>
      </w:r>
    </w:p>
    <w:p>
      <w:pPr>
        <w:spacing w:after="120" w:line="300"/>
        <w:jc w:val="both"/>
      </w:pPr>
      <w:r>
        <w:rPr>
          <w:rFonts w:ascii="Times New Roman" w:cs="Times New Roman" w:eastAsia="Times New Roman" w:hAnsi="Times New Roman"/>
          <w:b/>
          <w:bCs/>
          <w:sz w:val="22"/>
          <w:szCs w:val="22"/>
        </w:rPr>
        <w:t xml:space="preserve">Reservoir edges.</w:t>
      </w:r>
      <w:r>
        <w:rPr>
          <w:rFonts w:ascii="Times New Roman" w:cs="Times New Roman" w:eastAsia="Times New Roman" w:hAnsi="Times New Roman"/>
          <w:sz w:val="22"/>
          <w:szCs w:val="22"/>
        </w:rPr>
        <w:t xml:space="preserve"> For every member cell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the atmospheric edge carries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ATM</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 Q′</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i/>
          <w:iCs/>
          <w:sz w:val="22"/>
          <w:szCs w:val="22"/>
        </w:rPr>
        <w:t xml:space="preserve"> A</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 (ATM →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if positive,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 ATM otherwise) and the subsurface edge carries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SUB</w:t>
      </w:r>
      <w:r>
        <w:rPr>
          <w:rFonts w:ascii="Times New Roman" w:cs="Times New Roman" w:eastAsia="Times New Roman" w:hAnsi="Times New Roman"/>
          <w:sz w:val="22"/>
          <w:szCs w:val="22"/>
        </w:rPr>
        <w:t xml:space="preserve"> =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b,m</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s T</w:t>
      </w:r>
      <w:r>
        <w:rPr>
          <w:rFonts w:ascii="Times New Roman" w:cs="Times New Roman" w:eastAsia="Times New Roman" w:hAnsi="Times New Roman"/>
          <w:i/>
          <w:iCs/>
          <w:sz w:val="22"/>
          <w:szCs w:val="22"/>
          <w:vertAlign w:val="subscript"/>
        </w:rPr>
        <w:t xml:space="preserve">b,m</w:t>
      </w:r>
      <w:r>
        <w:rPr>
          <w:rFonts w:ascii="Times New Roman" w:cs="Times New Roman" w:eastAsia="Times New Roman" w:hAnsi="Times New Roman"/>
          <w:i/>
          <w:iCs/>
          <w:sz w:val="22"/>
          <w:szCs w:val="22"/>
        </w:rPr>
        <w:t xml:space="preserve">′</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A</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 (SUB →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if positive), with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b</w:t>
      </w:r>
      <w:r>
        <w:rPr>
          <w:rFonts w:ascii="Times New Roman" w:cs="Times New Roman" w:eastAsia="Times New Roman" w:hAnsi="Times New Roman"/>
          <w:sz w:val="22"/>
          <w:szCs w:val="22"/>
        </w:rPr>
        <w:t xml:space="preserve"> from (S4). Ring cells have no reservoir edges (their vertical and surface exchanges are outside the object budget).</w:t>
      </w:r>
    </w:p>
    <w:p>
      <w:pPr>
        <w:spacing w:after="120" w:line="300"/>
        <w:jc w:val="both"/>
      </w:pPr>
      <w:r>
        <w:rPr>
          <w:rFonts w:ascii="Times New Roman" w:cs="Times New Roman" w:eastAsia="Times New Roman" w:hAnsi="Times New Roman"/>
          <w:b/>
          <w:bCs/>
          <w:sz w:val="22"/>
          <w:szCs w:val="22"/>
        </w:rPr>
        <w:t xml:space="preserve">Node balance.</w:t>
      </w:r>
      <w:r>
        <w:rPr>
          <w:rFonts w:ascii="Times New Roman" w:cs="Times New Roman" w:eastAsia="Times New Roman" w:hAnsi="Times New Roman"/>
          <w:sz w:val="22"/>
          <w:szCs w:val="22"/>
        </w:rPr>
        <w:t xml:space="preserve"> With these definitions the in- and out-strengths of a member node,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in</w:t>
      </w:r>
      <w:r>
        <w:rPr>
          <w:rFonts w:ascii="Times New Roman" w:cs="Times New Roman" w:eastAsia="Times New Roman" w:hAnsi="Times New Roman"/>
          <w:sz w:val="22"/>
          <w:szCs w:val="22"/>
        </w:rPr>
        <w:t xml:space="preserve"> = Σ</w:t>
      </w:r>
      <w:r>
        <w:rPr>
          <w:rFonts w:ascii="Times New Roman" w:cs="Times New Roman" w:eastAsia="Times New Roman" w:hAnsi="Times New Roman"/>
          <w:sz w:val="22"/>
          <w:szCs w:val="22"/>
          <w:vertAlign w:val="subscript"/>
        </w:rPr>
        <w:t xml:space="preserve">e→m</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out</w:t>
      </w:r>
      <w:r>
        <w:rPr>
          <w:rFonts w:ascii="Times New Roman" w:cs="Times New Roman" w:eastAsia="Times New Roman" w:hAnsi="Times New Roman"/>
          <w:sz w:val="22"/>
          <w:szCs w:val="22"/>
        </w:rPr>
        <w:t xml:space="preserve"> = Σ</w:t>
      </w:r>
      <w:r>
        <w:rPr>
          <w:rFonts w:ascii="Times New Roman" w:cs="Times New Roman" w:eastAsia="Times New Roman" w:hAnsi="Times New Roman"/>
          <w:sz w:val="22"/>
          <w:szCs w:val="22"/>
          <w:vertAlign w:val="subscript"/>
        </w:rPr>
        <w:t xml:space="preserve">m→e</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satisfy the discrete form of (S6),</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ρ</w:t>
      </w:r>
      <w:r>
        <w:rPr>
          <w:rFonts w:ascii="Times New Roman" w:cs="Times New Roman" w:eastAsia="Times New Roman" w:hAnsi="Times New Roman"/>
          <w:i w:val="false"/>
          <w:iCs w:val="false"/>
          <w:sz w:val="22"/>
          <w:szCs w:val="22"/>
          <w:vertAlign w:val="subscript"/>
        </w:rPr>
        <w:t xml:space="preserve">0</w:t>
      </w:r>
      <w:r>
        <w:rPr>
          <w:rFonts w:ascii="Times New Roman" w:cs="Times New Roman" w:eastAsia="Times New Roman" w:hAnsi="Times New Roman"/>
          <w:i w:val="false"/>
          <w:iCs w:val="false"/>
          <w:sz w:val="22"/>
          <w:szCs w:val="22"/>
        </w:rPr>
        <w:t xml:space="preserve">c</w:t>
      </w:r>
      <w:r>
        <w:rPr>
          <w:rFonts w:ascii="Times New Roman" w:cs="Times New Roman" w:eastAsia="Times New Roman" w:hAnsi="Times New Roman"/>
          <w:i w:val="false"/>
          <w:iCs w:val="false"/>
          <w:sz w:val="22"/>
          <w:szCs w:val="22"/>
          <w:vertAlign w:val="subscript"/>
        </w:rPr>
        <w:t xml:space="preserve">p</w:t>
      </w:r>
      <w:r>
        <w:rPr>
          <w:rFonts w:ascii="Times New Roman" w:cs="Times New Roman" w:eastAsia="Times New Roman" w:hAnsi="Times New Roman"/>
          <w:i w:val="false"/>
          <w:iCs w:val="false"/>
          <w:sz w:val="22"/>
          <w:szCs w:val="22"/>
        </w:rPr>
        <w:t xml:space="preserve">HA</w:t>
      </w:r>
      <w:r>
        <w:rPr>
          <w:rFonts w:ascii="Times New Roman" w:cs="Times New Roman" w:eastAsia="Times New Roman" w:hAnsi="Times New Roman"/>
          <w:i w:val="false"/>
          <w:iCs w:val="false"/>
          <w:sz w:val="22"/>
          <w:szCs w:val="22"/>
          <w:vertAlign w:val="subscript"/>
        </w:rPr>
        <w:t xml:space="preserve">m</w:t>
      </w:r>
      <w:r>
        <w:rPr>
          <w:rFonts w:ascii="Times New Roman" w:cs="Times New Roman" w:eastAsia="Times New Roman" w:hAnsi="Times New Roman"/>
          <w:i w:val="false"/>
          <w:iCs w:val="false"/>
          <w:sz w:val="22"/>
          <w:szCs w:val="22"/>
        </w:rPr>
        <w:t xml:space="preserve"> dq</w:t>
      </w:r>
      <w:r>
        <w:rPr>
          <w:rFonts w:ascii="Times New Roman" w:cs="Times New Roman" w:eastAsia="Times New Roman" w:hAnsi="Times New Roman"/>
          <w:i w:val="false"/>
          <w:iCs w:val="false"/>
          <w:sz w:val="22"/>
          <w:szCs w:val="22"/>
          <w:vertAlign w:val="subscript"/>
        </w:rPr>
        <w:t xml:space="preserve">m</w:t>
      </w:r>
      <w:r>
        <w:rPr>
          <w:rFonts w:ascii="Times New Roman" w:cs="Times New Roman" w:eastAsia="Times New Roman" w:hAnsi="Times New Roman"/>
          <w:i w:val="false"/>
          <w:iCs w:val="false"/>
          <w:sz w:val="22"/>
          <w:szCs w:val="22"/>
        </w:rPr>
        <w:t xml:space="preserve">/dt = s</w:t>
      </w:r>
      <w:r>
        <w:rPr>
          <w:rFonts w:ascii="Times New Roman" w:cs="Times New Roman" w:eastAsia="Times New Roman" w:hAnsi="Times New Roman"/>
          <w:i w:val="false"/>
          <w:iCs w:val="false"/>
          <w:sz w:val="22"/>
          <w:szCs w:val="22"/>
          <w:vertAlign w:val="subscript"/>
        </w:rPr>
        <w:t xml:space="preserve">in</w:t>
      </w:r>
      <w:r>
        <w:rPr>
          <w:rFonts w:ascii="Times New Roman" w:cs="Times New Roman" w:eastAsia="Times New Roman" w:hAnsi="Times New Roman"/>
          <w:i w:val="false"/>
          <w:iCs w:val="false"/>
          <w:sz w:val="22"/>
          <w:szCs w:val="22"/>
        </w:rPr>
        <w:t xml:space="preserve">(m) − s</w:t>
      </w:r>
      <w:r>
        <w:rPr>
          <w:rFonts w:ascii="Times New Roman" w:cs="Times New Roman" w:eastAsia="Times New Roman" w:hAnsi="Times New Roman"/>
          <w:i w:val="false"/>
          <w:iCs w:val="false"/>
          <w:sz w:val="22"/>
          <w:szCs w:val="22"/>
          <w:vertAlign w:val="subscript"/>
        </w:rPr>
        <w:t xml:space="preserve">out</w:t>
      </w:r>
      <w:r>
        <w:rPr>
          <w:rFonts w:ascii="Times New Roman" w:cs="Times New Roman" w:eastAsia="Times New Roman" w:hAnsi="Times New Roman"/>
          <w:i w:val="false"/>
          <w:iCs w:val="false"/>
          <w:sz w:val="22"/>
          <w:szCs w:val="22"/>
        </w:rPr>
        <w:t xml:space="preserve">(m) + R</w:t>
      </w:r>
      <w:r>
        <w:rPr>
          <w:rFonts w:ascii="Times New Roman" w:cs="Times New Roman" w:eastAsia="Times New Roman" w:hAnsi="Times New Roman"/>
          <w:i w:val="false"/>
          <w:iCs w:val="false"/>
          <w:sz w:val="22"/>
          <w:szCs w:val="22"/>
          <w:vertAlign w:val="subscript"/>
        </w:rPr>
        <w:t xml:space="preserve">m</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(S8)</w:t>
      </w:r>
    </w:p>
    <w:p>
      <w:pPr>
        <w:spacing w:after="120" w:line="300"/>
        <w:jc w:val="both"/>
      </w:pPr>
      <w:r>
        <w:rPr>
          <w:rFonts w:ascii="Times New Roman" w:cs="Times New Roman" w:eastAsia="Times New Roman" w:hAnsi="Times New Roman"/>
          <w:sz w:val="22"/>
          <w:szCs w:val="22"/>
        </w:rPr>
        <w:t xml:space="preserve">so that the </w:t>
      </w:r>
      <w:r>
        <w:rPr>
          <w:rFonts w:ascii="Times New Roman" w:cs="Times New Roman" w:eastAsia="Times New Roman" w:hAnsi="Times New Roman"/>
          <w:i/>
          <w:iCs/>
          <w:sz w:val="22"/>
          <w:szCs w:val="22"/>
        </w:rPr>
        <w:t xml:space="preserve">network convergence</w:t>
      </w:r>
      <w:r>
        <w:rPr>
          <w:rFonts w:ascii="Times New Roman" w:cs="Times New Roman" w:eastAsia="Times New Roman" w:hAnsi="Times New Roman"/>
          <w:sz w:val="22"/>
          <w:szCs w:val="22"/>
        </w:rPr>
        <w:t xml:space="preserve"> of a node, </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in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out</w:t>
      </w:r>
      <w:r>
        <w:rPr>
          <w:rFonts w:ascii="Times New Roman" w:cs="Times New Roman" w:eastAsia="Times New Roman" w:hAnsi="Times New Roman"/>
          <w:sz w:val="22"/>
          <w:szCs w:val="22"/>
        </w:rPr>
        <w:t xml:space="preserve">)/(ρ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HA</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 in K day</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is directly comparable with the observed tendency d</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(centred difference over the adjacent days). The object-mean network convergence </w:t>
      </w:r>
      <w:r>
        <w:rPr>
          <w:rFonts w:ascii="Times New Roman" w:cs="Times New Roman" w:eastAsia="Times New Roman" w:hAnsi="Times New Roman"/>
          <w:i/>
          <w:iCs/>
          <w:sz w:val="22"/>
          <w:szCs w:val="22"/>
        </w:rPr>
        <w:t xml:space="preserve">C</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vertAlign w:val="subscript"/>
        </w:rPr>
        <w:t xml:space="preserve">members</w:t>
      </w:r>
      <w:r>
        <w:rPr>
          <w:rFonts w:ascii="Times New Roman" w:cs="Times New Roman" w:eastAsia="Times New Roman" w:hAnsi="Times New Roman"/>
          <w:sz w:val="22"/>
          <w:szCs w:val="22"/>
        </w:rPr>
        <w:t xml:space="preserve"> and the object-mean tendency ⟨d</w:t>
      </w:r>
      <w:r>
        <w:rPr>
          <w:rFonts w:ascii="Times New Roman" w:cs="Times New Roman" w:eastAsia="Times New Roman" w:hAnsi="Times New Roman"/>
          <w:i/>
          <w:iCs/>
          <w:sz w:val="22"/>
          <w:szCs w:val="22"/>
        </w:rPr>
        <w:t xml:space="preserve">q</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vertAlign w:val="subscript"/>
        </w:rPr>
        <w:t xml:space="preserve">members</w:t>
      </w:r>
      <w:r>
        <w:rPr>
          <w:rFonts w:ascii="Times New Roman" w:cs="Times New Roman" w:eastAsia="Times New Roman" w:hAnsi="Times New Roman"/>
          <w:sz w:val="22"/>
          <w:szCs w:val="22"/>
        </w:rPr>
        <w:t xml:space="preserve"> are stored for every day; their correlation across the life cycle is the closure correlation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of an object and 1 − var(⟨d</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C</w:t>
      </w:r>
      <w:r>
        <w:rPr>
          <w:rFonts w:ascii="Times New Roman" w:cs="Times New Roman" w:eastAsia="Times New Roman" w:hAnsi="Times New Roman"/>
          <w:sz w:val="22"/>
          <w:szCs w:val="22"/>
        </w:rPr>
        <w:t xml:space="preserve">)/var(⟨d</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is the fraction of the tendency variance reproduced without any fitted coefficient (Supplementary Note 1).</w:t>
      </w:r>
    </w:p>
    <w:p>
      <w:pPr>
        <w:spacing w:after="120" w:line="300"/>
        <w:jc w:val="both"/>
      </w:pPr>
      <w:r>
        <w:rPr>
          <w:rFonts w:ascii="Times New Roman" w:cs="Times New Roman" w:eastAsia="Times New Roman" w:hAnsi="Times New Roman"/>
          <w:b/>
          <w:bCs/>
          <w:sz w:val="22"/>
          <w:szCs w:val="22"/>
        </w:rPr>
        <w:t xml:space="preserve">Relation to the four-event Letter.</w:t>
      </w:r>
      <w:r>
        <w:rPr>
          <w:rFonts w:ascii="Times New Roman" w:cs="Times New Roman" w:eastAsia="Times New Roman" w:hAnsi="Times New Roman"/>
          <w:sz w:val="22"/>
          <w:szCs w:val="22"/>
        </w:rPr>
        <w:t xml:space="preserve"> The construction is identical to that of the companion Letter</w:t>
      </w:r>
      <w:r>
        <w:rPr>
          <w:rFonts w:ascii="Times New Roman" w:cs="Times New Roman" w:eastAsia="Times New Roman" w:hAnsi="Times New Roman"/>
          <w:sz w:val="22"/>
          <w:szCs w:val="22"/>
          <w:vertAlign w:val="superscript"/>
        </w:rPr>
        <w:t xml:space="preserve">7</w:t>
      </w:r>
      <w:r>
        <w:rPr>
          <w:rFonts w:ascii="Times New Roman" w:cs="Times New Roman" w:eastAsia="Times New Roman" w:hAnsi="Times New Roman"/>
          <w:sz w:val="22"/>
          <w:szCs w:val="22"/>
        </w:rPr>
        <w:t xml:space="preserve">, which analyzed four representative events with the same code base; recomputing those events with the present pipeline reproduces their daily metrics to within 0.01 (the differences arise from the int16 storage of the layer velocities). The present pipeline adds the daily quantities needed for the three peak definitions, the direction-randomized null model and the gridded accumulators of Fig. 6.</w:t>
      </w:r>
    </w:p>
    <w:p>
      <w:pPr>
        <w:pStyle w:val="Heading2"/>
        <w:spacing w:after="80" w:before="200"/>
      </w:pPr>
      <w:r>
        <w:rPr>
          <w:rFonts w:ascii="Times New Roman" w:cs="Times New Roman" w:eastAsia="Times New Roman" w:hAnsi="Times New Roman"/>
          <w:b/>
          <w:bCs/>
          <w:sz w:val="24"/>
          <w:szCs w:val="24"/>
        </w:rPr>
        <w:t xml:space="preserve">Supplementary Methods 7 — Network metrics</w:t>
      </w:r>
    </w:p>
    <w:p>
      <w:pPr>
        <w:spacing w:after="120" w:line="300"/>
        <w:jc w:val="both"/>
      </w:pPr>
      <w:r>
        <w:rPr>
          <w:rFonts w:ascii="Times New Roman" w:cs="Times New Roman" w:eastAsia="Times New Roman" w:hAnsi="Times New Roman"/>
          <w:sz w:val="22"/>
          <w:szCs w:val="22"/>
        </w:rPr>
        <w:t xml:space="preserve">The topological metrics (SCC, hierarchy, betweenness, backbone, modularity) are evaluated on the </w:t>
      </w:r>
      <w:r>
        <w:rPr>
          <w:rFonts w:ascii="Times New Roman" w:cs="Times New Roman" w:eastAsia="Times New Roman" w:hAnsi="Times New Roman"/>
          <w:i/>
          <w:iCs/>
          <w:sz w:val="22"/>
          <w:szCs w:val="22"/>
        </w:rPr>
        <w:t xml:space="preserve">member subgraph</w:t>
      </w:r>
      <w:r>
        <w:rPr>
          <w:rFonts w:ascii="Times New Roman" w:cs="Times New Roman" w:eastAsia="Times New Roman" w:hAnsi="Times New Roman"/>
          <w:sz w:val="22"/>
          <w:szCs w:val="22"/>
        </w:rPr>
        <w:t xml:space="preserve">: the member nodes and the horizontal edges between them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edges, total internal flux Φ = Σ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 which counts the same heat each time it crosses a face). The strength-based metrics (Gini coefficient, hubs) use the </w:t>
      </w:r>
      <w:r>
        <w:rPr>
          <w:rFonts w:ascii="Times New Roman" w:cs="Times New Roman" w:eastAsia="Times New Roman" w:hAnsi="Times New Roman"/>
          <w:i/>
          <w:iCs/>
          <w:sz w:val="22"/>
          <w:szCs w:val="22"/>
        </w:rPr>
        <w:t xml:space="preserve">incident</w:t>
      </w:r>
      <w:r>
        <w:rPr>
          <w:rFonts w:ascii="Times New Roman" w:cs="Times New Roman" w:eastAsia="Times New Roman" w:hAnsi="Times New Roman"/>
          <w:sz w:val="22"/>
          <w:szCs w:val="22"/>
        </w:rPr>
        <w:t xml:space="preserve"> horizontal strength of a member node, which includes the faces it shares with ring cells; the two definitions are stated explicitly below and their difference is quantified in Supplementary Note 7. Metrics that require a graph are computed on days with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3 members and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 2 edges and used in the statistics only on days with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10.</w:t>
      </w:r>
    </w:p>
    <w:p>
      <w:pPr>
        <w:spacing w:after="120" w:line="300"/>
        <w:jc w:val="both"/>
      </w:pPr>
      <w:r>
        <w:rPr>
          <w:rFonts w:ascii="Times New Roman" w:cs="Times New Roman" w:eastAsia="Times New Roman" w:hAnsi="Times New Roman"/>
          <w:b/>
          <w:bCs/>
          <w:sz w:val="22"/>
          <w:szCs w:val="22"/>
        </w:rPr>
        <w:t xml:space="preserve">Internal flux and external inflow fraction.</w:t>
      </w:r>
      <w:r>
        <w:rPr>
          <w:rFonts w:ascii="Times New Roman" w:cs="Times New Roman" w:eastAsia="Times New Roman" w:hAnsi="Times New Roman"/>
          <w:sz w:val="22"/>
          <w:szCs w:val="22"/>
        </w:rPr>
        <w:t xml:space="preserve"> Φ is the sum of the weights of member–member edges. The gross inflow to the members from outside the object is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ext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ring</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ATM</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SUB</w:t>
      </w:r>
      <w:r>
        <w:rPr>
          <w:rFonts w:ascii="Times New Roman" w:cs="Times New Roman" w:eastAsia="Times New Roman" w:hAnsi="Times New Roman"/>
          <w:sz w:val="22"/>
          <w:szCs w:val="22"/>
        </w:rPr>
        <w:t xml:space="preserve">, the sums of the weights of edges from ring nodes, from ATM and from SUB into member nodes. The external inflow fraction is</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ε = I</w:t>
      </w:r>
      <w:r>
        <w:rPr>
          <w:rFonts w:ascii="Times New Roman" w:cs="Times New Roman" w:eastAsia="Times New Roman" w:hAnsi="Times New Roman"/>
          <w:i w:val="false"/>
          <w:iCs w:val="false"/>
          <w:sz w:val="22"/>
          <w:szCs w:val="22"/>
          <w:vertAlign w:val="subscript"/>
        </w:rPr>
        <w:t xml:space="preserve">ext</w:t>
      </w:r>
      <w:r>
        <w:rPr>
          <w:rFonts w:ascii="Times New Roman" w:cs="Times New Roman" w:eastAsia="Times New Roman" w:hAnsi="Times New Roman"/>
          <w:i w:val="false"/>
          <w:iCs w:val="false"/>
          <w:sz w:val="22"/>
          <w:szCs w:val="22"/>
        </w:rPr>
        <w:t xml:space="preserve"> / (Φ + I</w:t>
      </w:r>
      <w:r>
        <w:rPr>
          <w:rFonts w:ascii="Times New Roman" w:cs="Times New Roman" w:eastAsia="Times New Roman" w:hAnsi="Times New Roman"/>
          <w:i w:val="false"/>
          <w:iCs w:val="false"/>
          <w:sz w:val="22"/>
          <w:szCs w:val="22"/>
          <w:vertAlign w:val="subscript"/>
        </w:rPr>
        <w:t xml:space="preserve">ext</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(S9)</w:t>
      </w:r>
    </w:p>
    <w:p>
      <w:pPr>
        <w:spacing w:after="120" w:line="300"/>
        <w:jc w:val="both"/>
      </w:pPr>
      <w:r>
        <w:rPr>
          <w:rFonts w:ascii="Times New Roman" w:cs="Times New Roman" w:eastAsia="Times New Roman" w:hAnsi="Times New Roman"/>
          <w:sz w:val="22"/>
          <w:szCs w:val="22"/>
        </w:rPr>
        <w:t xml:space="preserve">the fraction of all heat transported </w:t>
      </w:r>
      <w:r>
        <w:rPr>
          <w:rFonts w:ascii="Times New Roman" w:cs="Times New Roman" w:eastAsia="Times New Roman" w:hAnsi="Times New Roman"/>
          <w:i/>
          <w:iCs/>
          <w:sz w:val="22"/>
          <w:szCs w:val="22"/>
        </w:rPr>
        <w:t xml:space="preserve">into</w:t>
      </w:r>
      <w:r>
        <w:rPr>
          <w:rFonts w:ascii="Times New Roman" w:cs="Times New Roman" w:eastAsia="Times New Roman" w:hAnsi="Times New Roman"/>
          <w:sz w:val="22"/>
          <w:szCs w:val="22"/>
        </w:rPr>
        <w:t xml:space="preserve"> member cells on that day that comes from outside the object rather than from other members. It is a share of gross inflow, not a net supply of heat and not a partition of the causes of the event. The complementary outflows (</w:t>
      </w:r>
      <w:r>
        <w:rPr>
          <w:rFonts w:ascii="Times New Roman" w:cs="Times New Roman" w:eastAsia="Times New Roman" w:hAnsi="Times New Roman"/>
          <w:i/>
          <w:iCs/>
          <w:sz w:val="22"/>
          <w:szCs w:val="22"/>
        </w:rPr>
        <w:t xml:space="preserve">O</w:t>
      </w:r>
      <w:r>
        <w:rPr>
          <w:rFonts w:ascii="Times New Roman" w:cs="Times New Roman" w:eastAsia="Times New Roman" w:hAnsi="Times New Roman"/>
          <w:i/>
          <w:iCs/>
          <w:sz w:val="22"/>
          <w:szCs w:val="22"/>
          <w:vertAlign w:val="subscript"/>
        </w:rPr>
        <w:t xml:space="preserve">ring</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O</w:t>
      </w:r>
      <w:r>
        <w:rPr>
          <w:rFonts w:ascii="Times New Roman" w:cs="Times New Roman" w:eastAsia="Times New Roman" w:hAnsi="Times New Roman"/>
          <w:i/>
          <w:iCs/>
          <w:sz w:val="22"/>
          <w:szCs w:val="22"/>
          <w:vertAlign w:val="subscript"/>
        </w:rPr>
        <w:t xml:space="preserve">ATM</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O</w:t>
      </w:r>
      <w:r>
        <w:rPr>
          <w:rFonts w:ascii="Times New Roman" w:cs="Times New Roman" w:eastAsia="Times New Roman" w:hAnsi="Times New Roman"/>
          <w:i/>
          <w:iCs/>
          <w:sz w:val="22"/>
          <w:szCs w:val="22"/>
          <w:vertAlign w:val="subscript"/>
        </w:rPr>
        <w:t xml:space="preserve">SUB</w:t>
      </w:r>
      <w:r>
        <w:rPr>
          <w:rFonts w:ascii="Times New Roman" w:cs="Times New Roman" w:eastAsia="Times New Roman" w:hAnsi="Times New Roman"/>
          <w:sz w:val="22"/>
          <w:szCs w:val="22"/>
        </w:rPr>
        <w:t xml:space="preserve">) are stored as well.</w:t>
      </w:r>
    </w:p>
    <w:p>
      <w:pPr>
        <w:spacing w:after="120" w:line="300"/>
        <w:jc w:val="both"/>
      </w:pPr>
      <w:r>
        <w:rPr>
          <w:rFonts w:ascii="Times New Roman" w:cs="Times New Roman" w:eastAsia="Times New Roman" w:hAnsi="Times New Roman"/>
          <w:b/>
          <w:bCs/>
          <w:sz w:val="22"/>
          <w:szCs w:val="22"/>
        </w:rPr>
        <w:t xml:space="preserve">Geometric baseline and per-face transport ratios.</w:t>
      </w:r>
      <w:r>
        <w:rPr>
          <w:rFonts w:ascii="Times New Roman" w:cs="Times New Roman" w:eastAsia="Times New Roman" w:hAnsi="Times New Roman"/>
          <w:sz w:val="22"/>
          <w:szCs w:val="22"/>
        </w:rPr>
        <w:t xml:space="preserve"> Because the interior faces of a compact object scale with its area and the boundary faces with its perimeter, ε decreases with size even for a spatially uniform flux. Let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be the number of boundary faces, i.e. of 4-neighbor faces between a member cell and an ocean cell outside the object, and </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the number of interior faces, i.e. of 4-neighbor faces between two member cells, both counted directly from the daily mask (</w:t>
      </w:r>
      <w:r>
        <w:rPr>
          <w:rFonts w:ascii="Consolas" w:cs="Consolas" w:eastAsia="Consolas" w:hAnsi="Consolas"/>
          <w:sz w:val="20"/>
          <w:szCs w:val="20"/>
        </w:rPr>
        <w:t xml:space="preserve">f16_geometry_faces.py</w:t>
      </w:r>
      <w:r>
        <w:rPr>
          <w:rFonts w:ascii="Times New Roman" w:cs="Times New Roman" w:eastAsia="Times New Roman" w:hAnsi="Times New Roman"/>
          <w:sz w:val="22"/>
          <w:szCs w:val="22"/>
        </w:rPr>
        <w:t xml:space="preserve">; the lattice identity 4</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2</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vertAlign w:val="subscript"/>
        </w:rPr>
        <w:t xml:space="preserve">land</w:t>
      </w:r>
      <w:r>
        <w:rPr>
          <w:rFonts w:ascii="Times New Roman" w:cs="Times New Roman" w:eastAsia="Times New Roman" w:hAnsi="Times New Roman"/>
          <w:sz w:val="22"/>
          <w:szCs w:val="22"/>
        </w:rPr>
        <w:t xml:space="preserve">, with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vertAlign w:val="subscript"/>
        </w:rPr>
        <w:t xml:space="preserve">land</w:t>
      </w:r>
      <w:r>
        <w:rPr>
          <w:rFonts w:ascii="Times New Roman" w:cs="Times New Roman" w:eastAsia="Times New Roman" w:hAnsi="Times New Roman"/>
          <w:sz w:val="22"/>
          <w:szCs w:val="22"/>
        </w:rPr>
        <w:t xml:space="preserve"> the faces against land, holds exactly on every object-day). The ring-only fraction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ring</w:t>
      </w:r>
      <w:r>
        <w:rPr>
          <w:rFonts w:ascii="Times New Roman" w:cs="Times New Roman" w:eastAsia="Times New Roman" w:hAnsi="Times New Roman"/>
          <w:sz w:val="22"/>
          <w:szCs w:val="22"/>
        </w:rPr>
        <w:t xml:space="preserve">/(Φ +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ring</w:t>
      </w:r>
      <w:r>
        <w:rPr>
          <w:rFonts w:ascii="Times New Roman" w:cs="Times New Roman" w:eastAsia="Times New Roman" w:hAnsi="Times New Roman"/>
          <w:sz w:val="22"/>
          <w:szCs w:val="22"/>
        </w:rPr>
        <w:t xml:space="preserve">) expected if every face carried the same flux with a random direction is obtained by noting that each interior face then contributes once to the gross inflow of some member and that half of the boundary faces bring inflow:</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ε</w:t>
      </w:r>
      <w:r>
        <w:rPr>
          <w:rFonts w:ascii="Times New Roman" w:cs="Times New Roman" w:eastAsia="Times New Roman" w:hAnsi="Times New Roman"/>
          <w:i w:val="false"/>
          <w:iCs w:val="false"/>
          <w:sz w:val="22"/>
          <w:szCs w:val="22"/>
          <w:vertAlign w:val="subscript"/>
        </w:rPr>
        <w:t xml:space="preserve">geo</w:t>
      </w:r>
      <w:r>
        <w:rPr>
          <w:rFonts w:ascii="Times New Roman" w:cs="Times New Roman" w:eastAsia="Times New Roman" w:hAnsi="Times New Roman"/>
          <w:i w:val="false"/>
          <w:iCs w:val="false"/>
          <w:sz w:val="22"/>
          <w:szCs w:val="22"/>
        </w:rPr>
        <w:t xml:space="preserve"> = (B/2) / (E</w:t>
      </w:r>
      <w:r>
        <w:rPr>
          <w:rFonts w:ascii="Times New Roman" w:cs="Times New Roman" w:eastAsia="Times New Roman" w:hAnsi="Times New Roman"/>
          <w:i w:val="false"/>
          <w:iCs w:val="false"/>
          <w:sz w:val="22"/>
          <w:szCs w:val="22"/>
          <w:vertAlign w:val="subscript"/>
        </w:rPr>
        <w:t xml:space="preserve">geo</w:t>
      </w:r>
      <w:r>
        <w:rPr>
          <w:rFonts w:ascii="Times New Roman" w:cs="Times New Roman" w:eastAsia="Times New Roman" w:hAnsi="Times New Roman"/>
          <w:i w:val="false"/>
          <w:iCs w:val="false"/>
          <w:sz w:val="22"/>
          <w:szCs w:val="22"/>
        </w:rPr>
        <w:t xml:space="preserve"> + B/2),</w:t>
      </w:r>
      <w:r>
        <w:rPr>
          <w:rFonts w:ascii="Times New Roman" w:cs="Times New Roman" w:eastAsia="Times New Roman" w:hAnsi="Times New Roman"/>
          <w:sz w:val="22"/>
          <w:szCs w:val="22"/>
        </w:rPr>
        <w:t xml:space="preserve">	(S9a)</w:t>
      </w:r>
    </w:p>
    <w:p>
      <w:pPr>
        <w:spacing w:after="120" w:line="300"/>
        <w:jc w:val="both"/>
      </w:pPr>
      <w:r>
        <w:rPr>
          <w:rFonts w:ascii="Times New Roman" w:cs="Times New Roman" w:eastAsia="Times New Roman" w:hAnsi="Times New Roman"/>
          <w:sz w:val="22"/>
          <w:szCs w:val="22"/>
        </w:rPr>
        <w:t xml:space="preserve">where </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is distinguished from the number of active member–member edges </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of the graph, which excludes faces with |</w:t>
      </w:r>
      <w:r>
        <w:rPr>
          <w:rFonts w:ascii="Times New Roman" w:cs="Times New Roman" w:eastAsia="Times New Roman" w:hAnsi="Times New Roman"/>
          <w:i/>
          <w:iCs/>
          <w:sz w:val="22"/>
          <w:szCs w:val="22"/>
        </w:rPr>
        <w:t xml:space="preserve">F</w:t>
      </w:r>
      <w:r>
        <w:rPr>
          <w:rFonts w:ascii="Times New Roman" w:cs="Times New Roman" w:eastAsia="Times New Roman" w:hAnsi="Times New Roman"/>
          <w:sz w:val="22"/>
          <w:szCs w:val="22"/>
        </w:rPr>
        <w:t xml:space="preserve">| &lt; 1 kW: the two are equal on 96.9% of the 46,650 object-days of the geometry file, and where they differ the threshold removes a median of 0.4% and at most 8.3% of the interior faces (object-days with ≥10 cells; the smallest objects, on which no graph is computed, are not counted as threshold losses). </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is used in all geometric quantities so that the denominators are defined on the same support for both phenomena. The number of ring cells, which an earlier version used as a proxy for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exceeds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by 8% at the median and differs from it by more than 4% on 77.4% of the object-days (ring/</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 1.5 for objects of fewer than 10 cells), because the 8-neighbor ring contains diagonal cells that share no face with the object. The ratio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is not a per-face quantity: with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/(2</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the ratio of the inflow per boundary face to the flux per interior face,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(1 + </w:t>
      </w:r>
      <w:r>
        <w:rPr>
          <w:rFonts w:ascii="Times New Roman" w:cs="Times New Roman" w:eastAsia="Times New Roman" w:hAnsi="Times New Roman"/>
          <w:i/>
          <w:iCs/>
          <w:sz w:val="22"/>
          <w:szCs w:val="22"/>
        </w:rPr>
        <w:t xml:space="preserve">a</w:t>
      </w:r>
      <w:r>
        <w:rPr>
          <w:rFonts w:ascii="Times New Roman" w:cs="Times New Roman" w:eastAsia="Times New Roman" w:hAnsi="Times New Roman"/>
          <w:sz w:val="22"/>
          <w:szCs w:val="22"/>
        </w:rPr>
        <w:t xml:space="preserve">)/(1 + </w:t>
      </w:r>
      <w:r>
        <w:rPr>
          <w:rFonts w:ascii="Times New Roman" w:cs="Times New Roman" w:eastAsia="Times New Roman" w:hAnsi="Times New Roman"/>
          <w:i/>
          <w:iCs/>
          <w:sz w:val="22"/>
          <w:szCs w:val="22"/>
        </w:rPr>
        <w:t xml:space="preserve">ar</w:t>
      </w:r>
      <w:r>
        <w:rPr>
          <w:rFonts w:ascii="Times New Roman" w:cs="Times New Roman" w:eastAsia="Times New Roman" w:hAnsi="Times New Roman"/>
          <w:sz w:val="22"/>
          <w:szCs w:val="22"/>
        </w:rPr>
        <w:t xml:space="preserve">), which varies with the object's geometry at constant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(Supplementary Note 6). The per-face ratio is the odds ratio</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r</w:t>
      </w:r>
      <w:r>
        <w:rPr>
          <w:rFonts w:ascii="Times New Roman" w:cs="Times New Roman" w:eastAsia="Times New Roman" w:hAnsi="Times New Roman"/>
          <w:i w:val="false"/>
          <w:iCs w:val="false"/>
          <w:sz w:val="22"/>
          <w:szCs w:val="22"/>
          <w:vertAlign w:val="subscript"/>
        </w:rPr>
        <w:t xml:space="preserve">in</w:t>
      </w:r>
      <w:r>
        <w:rPr>
          <w:rFonts w:ascii="Times New Roman" w:cs="Times New Roman" w:eastAsia="Times New Roman" w:hAnsi="Times New Roman"/>
          <w:i w:val="false"/>
          <w:iCs w:val="false"/>
          <w:sz w:val="22"/>
          <w:szCs w:val="22"/>
        </w:rPr>
        <w:t xml:space="preserve"> = [ε</w:t>
      </w:r>
      <w:r>
        <w:rPr>
          <w:rFonts w:ascii="Times New Roman" w:cs="Times New Roman" w:eastAsia="Times New Roman" w:hAnsi="Times New Roman"/>
          <w:i w:val="false"/>
          <w:iCs w:val="false"/>
          <w:sz w:val="22"/>
          <w:szCs w:val="22"/>
          <w:vertAlign w:val="subscript"/>
        </w:rPr>
        <w:t xml:space="preserve">ring</w:t>
      </w:r>
      <w:r>
        <w:rPr>
          <w:rFonts w:ascii="Times New Roman" w:cs="Times New Roman" w:eastAsia="Times New Roman" w:hAnsi="Times New Roman"/>
          <w:i w:val="false"/>
          <w:iCs w:val="false"/>
          <w:sz w:val="22"/>
          <w:szCs w:val="22"/>
        </w:rPr>
        <w:t xml:space="preserve">/(1 − ε</w:t>
      </w:r>
      <w:r>
        <w:rPr>
          <w:rFonts w:ascii="Times New Roman" w:cs="Times New Roman" w:eastAsia="Times New Roman" w:hAnsi="Times New Roman"/>
          <w:i w:val="false"/>
          <w:iCs w:val="false"/>
          <w:sz w:val="22"/>
          <w:szCs w:val="22"/>
          <w:vertAlign w:val="subscript"/>
        </w:rPr>
        <w:t xml:space="preserve">ring</w:t>
      </w:r>
      <w:r>
        <w:rPr>
          <w:rFonts w:ascii="Times New Roman" w:cs="Times New Roman" w:eastAsia="Times New Roman" w:hAnsi="Times New Roman"/>
          <w:i w:val="false"/>
          <w:iCs w:val="false"/>
          <w:sz w:val="22"/>
          <w:szCs w:val="22"/>
        </w:rPr>
        <w:t xml:space="preserve">)] / [ε</w:t>
      </w:r>
      <w:r>
        <w:rPr>
          <w:rFonts w:ascii="Times New Roman" w:cs="Times New Roman" w:eastAsia="Times New Roman" w:hAnsi="Times New Roman"/>
          <w:i w:val="false"/>
          <w:iCs w:val="false"/>
          <w:sz w:val="22"/>
          <w:szCs w:val="22"/>
          <w:vertAlign w:val="subscript"/>
        </w:rPr>
        <w:t xml:space="preserve">geo</w:t>
      </w:r>
      <w:r>
        <w:rPr>
          <w:rFonts w:ascii="Times New Roman" w:cs="Times New Roman" w:eastAsia="Times New Roman" w:hAnsi="Times New Roman"/>
          <w:i w:val="false"/>
          <w:iCs w:val="false"/>
          <w:sz w:val="22"/>
          <w:szCs w:val="22"/>
        </w:rPr>
        <w:t xml:space="preserve">/(1 − ε</w:t>
      </w:r>
      <w:r>
        <w:rPr>
          <w:rFonts w:ascii="Times New Roman" w:cs="Times New Roman" w:eastAsia="Times New Roman" w:hAnsi="Times New Roman"/>
          <w:i w:val="false"/>
          <w:iCs w:val="false"/>
          <w:sz w:val="22"/>
          <w:szCs w:val="22"/>
          <w:vertAlign w:val="subscript"/>
        </w:rPr>
        <w:t xml:space="preserve">geo</w:t>
      </w:r>
      <w:r>
        <w:rPr>
          <w:rFonts w:ascii="Times New Roman" w:cs="Times New Roman" w:eastAsia="Times New Roman" w:hAnsi="Times New Roman"/>
          <w:i w:val="false"/>
          <w:iCs w:val="false"/>
          <w:sz w:val="22"/>
          <w:szCs w:val="22"/>
        </w:rPr>
        <w:t xml:space="preserve">)] = (2 I</w:t>
      </w:r>
      <w:r>
        <w:rPr>
          <w:rFonts w:ascii="Times New Roman" w:cs="Times New Roman" w:eastAsia="Times New Roman" w:hAnsi="Times New Roman"/>
          <w:i w:val="false"/>
          <w:iCs w:val="false"/>
          <w:sz w:val="22"/>
          <w:szCs w:val="22"/>
          <w:vertAlign w:val="subscript"/>
        </w:rPr>
        <w:t xml:space="preserve">ring</w:t>
      </w:r>
      <w:r>
        <w:rPr>
          <w:rFonts w:ascii="Times New Roman" w:cs="Times New Roman" w:eastAsia="Times New Roman" w:hAnsi="Times New Roman"/>
          <w:i w:val="false"/>
          <w:iCs w:val="false"/>
          <w:sz w:val="22"/>
          <w:szCs w:val="22"/>
        </w:rPr>
        <w:t xml:space="preserve">/B) / (Φ/E</w:t>
      </w:r>
      <w:r>
        <w:rPr>
          <w:rFonts w:ascii="Times New Roman" w:cs="Times New Roman" w:eastAsia="Times New Roman" w:hAnsi="Times New Roman"/>
          <w:i w:val="false"/>
          <w:iCs w:val="false"/>
          <w:sz w:val="22"/>
          <w:szCs w:val="22"/>
          <w:vertAlign w:val="subscript"/>
        </w:rPr>
        <w:t xml:space="preserve">geo</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(S9b)</w:t>
      </w:r>
    </w:p>
    <w:p>
      <w:pPr>
        <w:spacing w:after="120" w:line="300"/>
        <w:jc w:val="both"/>
      </w:pPr>
      <w:r>
        <w:rPr>
          <w:rFonts w:ascii="Times New Roman" w:cs="Times New Roman" w:eastAsia="Times New Roman" w:hAnsi="Times New Roman"/>
          <w:sz w:val="22"/>
          <w:szCs w:val="22"/>
        </w:rPr>
        <w:t xml:space="preserve">which assumes that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/2 of the boundary faces carry inflow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 0.45–0.51 in the four Letter events), and the two-way exchange ratio</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r</w:t>
      </w:r>
      <w:r>
        <w:rPr>
          <w:rFonts w:ascii="Times New Roman" w:cs="Times New Roman" w:eastAsia="Times New Roman" w:hAnsi="Times New Roman"/>
          <w:i w:val="false"/>
          <w:iCs w:val="false"/>
          <w:sz w:val="22"/>
          <w:szCs w:val="22"/>
          <w:vertAlign w:val="subscript"/>
        </w:rPr>
        <w:t xml:space="preserve">ex</w:t>
      </w:r>
      <w:r>
        <w:rPr>
          <w:rFonts w:ascii="Times New Roman" w:cs="Times New Roman" w:eastAsia="Times New Roman" w:hAnsi="Times New Roman"/>
          <w:i w:val="false"/>
          <w:iCs w:val="false"/>
          <w:sz w:val="22"/>
          <w:szCs w:val="22"/>
        </w:rPr>
        <w:t xml:space="preserve"> = ((I</w:t>
      </w:r>
      <w:r>
        <w:rPr>
          <w:rFonts w:ascii="Times New Roman" w:cs="Times New Roman" w:eastAsia="Times New Roman" w:hAnsi="Times New Roman"/>
          <w:i w:val="false"/>
          <w:iCs w:val="false"/>
          <w:sz w:val="22"/>
          <w:szCs w:val="22"/>
          <w:vertAlign w:val="subscript"/>
        </w:rPr>
        <w:t xml:space="preserve">ring</w:t>
      </w:r>
      <w:r>
        <w:rPr>
          <w:rFonts w:ascii="Times New Roman" w:cs="Times New Roman" w:eastAsia="Times New Roman" w:hAnsi="Times New Roman"/>
          <w:i w:val="false"/>
          <w:iCs w:val="false"/>
          <w:sz w:val="22"/>
          <w:szCs w:val="22"/>
        </w:rPr>
        <w:t xml:space="preserve"> + O</w:t>
      </w:r>
      <w:r>
        <w:rPr>
          <w:rFonts w:ascii="Times New Roman" w:cs="Times New Roman" w:eastAsia="Times New Roman" w:hAnsi="Times New Roman"/>
          <w:i w:val="false"/>
          <w:iCs w:val="false"/>
          <w:sz w:val="22"/>
          <w:szCs w:val="22"/>
          <w:vertAlign w:val="subscript"/>
        </w:rPr>
        <w:t xml:space="preserve">ring</w:t>
      </w:r>
      <w:r>
        <w:rPr>
          <w:rFonts w:ascii="Times New Roman" w:cs="Times New Roman" w:eastAsia="Times New Roman" w:hAnsi="Times New Roman"/>
          <w:i w:val="false"/>
          <w:iCs w:val="false"/>
          <w:sz w:val="22"/>
          <w:szCs w:val="22"/>
        </w:rPr>
        <w:t xml:space="preserve">)/B) / (Φ/E</w:t>
      </w:r>
      <w:r>
        <w:rPr>
          <w:rFonts w:ascii="Times New Roman" w:cs="Times New Roman" w:eastAsia="Times New Roman" w:hAnsi="Times New Roman"/>
          <w:i w:val="false"/>
          <w:iCs w:val="false"/>
          <w:sz w:val="22"/>
          <w:szCs w:val="22"/>
          <w:vertAlign w:val="subscript"/>
        </w:rPr>
        <w:t xml:space="preserve">geo</w:t>
      </w:r>
      <w:r>
        <w:rPr>
          <w:rFonts w:ascii="Times New Roman" w:cs="Times New Roman" w:eastAsia="Times New Roman" w:hAnsi="Times New Roman"/>
          <w:i w:val="false"/>
          <w:iCs w:val="false"/>
          <w:sz w:val="22"/>
          <w:szCs w:val="22"/>
        </w:rPr>
        <w:t xml:space="preserve">),</w:t>
      </w:r>
      <w:r>
        <w:rPr>
          <w:rFonts w:ascii="Times New Roman" w:cs="Times New Roman" w:eastAsia="Times New Roman" w:hAnsi="Times New Roman"/>
          <w:sz w:val="22"/>
          <w:szCs w:val="22"/>
        </w:rPr>
        <w:t xml:space="preserve">	(S9c)</w:t>
      </w:r>
    </w:p>
    <w:p>
      <w:pPr>
        <w:spacing w:after="120" w:line="300"/>
        <w:jc w:val="both"/>
      </w:pPr>
      <w:r>
        <w:rPr>
          <w:rFonts w:ascii="Times New Roman" w:cs="Times New Roman" w:eastAsia="Times New Roman" w:hAnsi="Times New Roman"/>
          <w:sz w:val="22"/>
          <w:szCs w:val="22"/>
        </w:rPr>
        <w:t xml:space="preserve">which makes no such assumption. Both are defined on days with Φ &gt; 0, </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&gt; 0 and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&gt; 0; within a window they are summarized by the median over the valid days of the object, and the number of objects with a valid value is reported for every window (Supplementary Table 15). The baseline accounts for the number of faces only; compactness, position and velocity are not controlled.</w:t>
      </w:r>
    </w:p>
    <w:p>
      <w:pPr>
        <w:spacing w:after="120" w:line="300"/>
        <w:jc w:val="both"/>
      </w:pPr>
      <w:r>
        <w:rPr>
          <w:rFonts w:ascii="Times New Roman" w:cs="Times New Roman" w:eastAsia="Times New Roman" w:hAnsi="Times New Roman"/>
          <w:b/>
          <w:bCs/>
          <w:sz w:val="22"/>
          <w:szCs w:val="22"/>
        </w:rPr>
        <w:t xml:space="preserve">Flux concentration.</w:t>
      </w:r>
      <w:r>
        <w:rPr>
          <w:rFonts w:ascii="Times New Roman" w:cs="Times New Roman" w:eastAsia="Times New Roman" w:hAnsi="Times New Roman"/>
          <w:sz w:val="22"/>
          <w:szCs w:val="22"/>
        </w:rPr>
        <w:t xml:space="preserve"> The top-10% edge-flux share is the fraction of Φ carried by the ⌈0.1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strongest member–member edges. The Gini coefficient of node strength is computed from the incident horizontal strengths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in</w:t>
      </w:r>
      <w:r>
        <w:rPr>
          <w:rFonts w:ascii="Times New Roman" w:cs="Times New Roman" w:eastAsia="Times New Roman" w:hAnsi="Times New Roman"/>
          <w:i/>
          <w:iCs/>
          <w:sz w:val="22"/>
          <w:szCs w:val="22"/>
          <w:vertAlign w:val="superscript"/>
        </w:rPr>
        <w:t xml:space="preserve">h</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out</w:t>
      </w:r>
      <w:r>
        <w:rPr>
          <w:rFonts w:ascii="Times New Roman" w:cs="Times New Roman" w:eastAsia="Times New Roman" w:hAnsi="Times New Roman"/>
          <w:i/>
          <w:iCs/>
          <w:sz w:val="22"/>
          <w:szCs w:val="22"/>
          <w:vertAlign w:val="superscript"/>
        </w:rPr>
        <w:t xml:space="preserve">h</w:t>
      </w:r>
      <w:r>
        <w:rPr>
          <w:rFonts w:ascii="Times New Roman" w:cs="Times New Roman" w:eastAsia="Times New Roman" w:hAnsi="Times New Roman"/>
          <w:sz w:val="22"/>
          <w:szCs w:val="22"/>
        </w:rPr>
        <w:t xml:space="preserve"> of the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member nodes (sums over all horizontal edges incident on the node, including faces shared with ring cells) sorted in increasing order, </w:t>
      </w:r>
      <w:r>
        <w:rPr>
          <w:rFonts w:ascii="Times New Roman" w:cs="Times New Roman" w:eastAsia="Times New Roman" w:hAnsi="Times New Roman"/>
          <w:i/>
          <w:iCs/>
          <w:sz w:val="22"/>
          <w:szCs w:val="22"/>
        </w:rPr>
        <w:t xml:space="preserve">G</w:t>
      </w:r>
      <w:r>
        <w:rPr>
          <w:rFonts w:ascii="Times New Roman" w:cs="Times New Roman" w:eastAsia="Times New Roman" w:hAnsi="Times New Roman"/>
          <w:sz w:val="22"/>
          <w:szCs w:val="22"/>
        </w:rPr>
        <w:t xml:space="preserve"> = 2 Σ</w:t>
      </w:r>
      <w:r>
        <w:rPr>
          <w:rFonts w:ascii="Times New Roman" w:cs="Times New Roman" w:eastAsia="Times New Roman" w:hAnsi="Times New Roman"/>
          <w:sz w:val="22"/>
          <w:szCs w:val="22"/>
          <w:vertAlign w:val="subscript"/>
        </w:rPr>
        <w:t xml:space="preserve">i</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i S</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Σ</w:t>
      </w:r>
      <w:r>
        <w:rPr>
          <w:rFonts w:ascii="Times New Roman" w:cs="Times New Roman" w:eastAsia="Times New Roman" w:hAnsi="Times New Roman"/>
          <w:sz w:val="22"/>
          <w:szCs w:val="22"/>
          <w:vertAlign w:val="subscript"/>
        </w:rPr>
        <w:t xml:space="preserve">i</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The width of the edge-weight distribution, σ</w:t>
      </w:r>
      <w:r>
        <w:rPr>
          <w:rFonts w:ascii="Times New Roman" w:cs="Times New Roman" w:eastAsia="Times New Roman" w:hAnsi="Times New Roman"/>
          <w:sz w:val="22"/>
          <w:szCs w:val="22"/>
          <w:vertAlign w:val="subscript"/>
        </w:rPr>
        <w:t xml:space="preserve">log w</w:t>
      </w:r>
      <w:r>
        <w:rPr>
          <w:rFonts w:ascii="Times New Roman" w:cs="Times New Roman" w:eastAsia="Times New Roman" w:hAnsi="Times New Roman"/>
          <w:sz w:val="22"/>
          <w:szCs w:val="22"/>
        </w:rPr>
        <w:t xml:space="preserve">, is the standard deviation of ln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 over the member–member edges; the per-object value is pooled over all life-cycle days with a graph (the daily value is also stored), and the analogous quantity for node strengths, σ</w:t>
      </w:r>
      <w:r>
        <w:rPr>
          <w:rFonts w:ascii="Times New Roman" w:cs="Times New Roman" w:eastAsia="Times New Roman" w:hAnsi="Times New Roman"/>
          <w:sz w:val="22"/>
          <w:szCs w:val="22"/>
          <w:vertAlign w:val="subscript"/>
        </w:rPr>
        <w:t xml:space="preserve">log S</w:t>
      </w:r>
      <w:r>
        <w:rPr>
          <w:rFonts w:ascii="Times New Roman" w:cs="Times New Roman" w:eastAsia="Times New Roman" w:hAnsi="Times New Roman"/>
          <w:sz w:val="22"/>
          <w:szCs w:val="22"/>
        </w:rPr>
        <w:t xml:space="preserve">, is the mean over near-peak days.</w:t>
      </w:r>
    </w:p>
    <w:p>
      <w:pPr>
        <w:spacing w:after="120" w:line="300"/>
        <w:jc w:val="both"/>
      </w:pPr>
      <w:r>
        <w:rPr>
          <w:rFonts w:ascii="Times New Roman" w:cs="Times New Roman" w:eastAsia="Times New Roman" w:hAnsi="Times New Roman"/>
          <w:b/>
          <w:bCs/>
          <w:sz w:val="22"/>
          <w:szCs w:val="22"/>
        </w:rPr>
        <w:t xml:space="preserve">Recirculation and hierarchy.</w:t>
      </w:r>
      <w:r>
        <w:rPr>
          <w:rFonts w:ascii="Times New Roman" w:cs="Times New Roman" w:eastAsia="Times New Roman" w:hAnsi="Times New Roman"/>
          <w:sz w:val="22"/>
          <w:szCs w:val="22"/>
        </w:rPr>
        <w:t xml:space="preserve"> A strongly connected component (SCC) of a directed graph is a maximal set of nodes that are mutually reachable along directed edges</w:t>
      </w:r>
      <w:r>
        <w:rPr>
          <w:rFonts w:ascii="Times New Roman" w:cs="Times New Roman" w:eastAsia="Times New Roman" w:hAnsi="Times New Roman"/>
          <w:sz w:val="22"/>
          <w:szCs w:val="22"/>
          <w:vertAlign w:val="superscript"/>
        </w:rPr>
        <w:t xml:space="preserve">8</w:t>
      </w:r>
      <w:r>
        <w:rPr>
          <w:rFonts w:ascii="Times New Roman" w:cs="Times New Roman" w:eastAsia="Times New Roman" w:hAnsi="Times New Roman"/>
          <w:sz w:val="22"/>
          <w:szCs w:val="22"/>
        </w:rPr>
        <w:t xml:space="preserve">. The largest-SCC fraction is |SCC</w:t>
      </w:r>
      <w:r>
        <w:rPr>
          <w:rFonts w:ascii="Times New Roman" w:cs="Times New Roman" w:eastAsia="Times New Roman" w:hAnsi="Times New Roman"/>
          <w:sz w:val="22"/>
          <w:szCs w:val="22"/>
          <w:vertAlign w:val="subscript"/>
        </w:rPr>
        <w:t xml:space="preserve">max</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Edges whose two endpoints lie in the same SCC lie on at least one directed cycle; the flow hierarchy</w:t>
      </w:r>
      <w:r>
        <w:rPr>
          <w:rFonts w:ascii="Times New Roman" w:cs="Times New Roman" w:eastAsia="Times New Roman" w:hAnsi="Times New Roman"/>
          <w:sz w:val="22"/>
          <w:szCs w:val="22"/>
          <w:vertAlign w:val="superscript"/>
        </w:rPr>
        <w:t xml:space="preserve">9</w:t>
      </w:r>
      <w:r>
        <w:rPr>
          <w:rFonts w:ascii="Times New Roman" w:cs="Times New Roman" w:eastAsia="Times New Roman" w:hAnsi="Times New Roman"/>
          <w:sz w:val="22"/>
          <w:szCs w:val="22"/>
        </w:rPr>
        <w:t xml:space="preserve"> is the fraction of edges that do </w:t>
      </w:r>
      <w:r>
        <w:rPr>
          <w:rFonts w:ascii="Times New Roman" w:cs="Times New Roman" w:eastAsia="Times New Roman" w:hAnsi="Times New Roman"/>
          <w:i/>
          <w:iCs/>
          <w:sz w:val="22"/>
          <w:szCs w:val="22"/>
        </w:rPr>
        <w:t xml:space="preserve">not</w:t>
      </w:r>
      <w:r>
        <w:rPr>
          <w:rFonts w:ascii="Times New Roman" w:cs="Times New Roman" w:eastAsia="Times New Roman" w:hAnsi="Times New Roman"/>
          <w:sz w:val="22"/>
          <w:szCs w:val="22"/>
        </w:rPr>
        <w:t xml:space="preserve"> lie on any cycle, </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 1 − </w:t>
      </w:r>
      <w:r>
        <w:rPr>
          <w:rFonts w:ascii="Times New Roman" w:cs="Times New Roman" w:eastAsia="Times New Roman" w:hAnsi="Times New Roman"/>
          <w:i/>
          <w:iCs/>
          <w:sz w:val="22"/>
          <w:szCs w:val="22"/>
        </w:rPr>
        <w:t xml:space="preserve">m</w:t>
      </w:r>
      <w:r>
        <w:rPr>
          <w:rFonts w:ascii="Times New Roman" w:cs="Times New Roman" w:eastAsia="Times New Roman" w:hAnsi="Times New Roman"/>
          <w:i/>
          <w:iCs/>
          <w:sz w:val="22"/>
          <w:szCs w:val="22"/>
          <w:vertAlign w:val="subscript"/>
        </w:rPr>
        <w:t xml:space="preserve">cyc</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and the flux fraction on cycles is Σ</w:t>
      </w:r>
      <w:r>
        <w:rPr>
          <w:rFonts w:ascii="Times New Roman" w:cs="Times New Roman" w:eastAsia="Times New Roman" w:hAnsi="Times New Roman"/>
          <w:sz w:val="22"/>
          <w:szCs w:val="22"/>
          <w:vertAlign w:val="subscript"/>
        </w:rPr>
        <w:t xml:space="preserve">cyc</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/Φ. A perfectly tree-like (feed-forward) transport has </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 1 and SCC fraction 1/</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a fully recirculating one has </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 0 and SCC fraction 1.</w:t>
      </w:r>
    </w:p>
    <w:p>
      <w:pPr>
        <w:spacing w:after="120" w:line="300"/>
        <w:jc w:val="both"/>
      </w:pPr>
      <w:r>
        <w:rPr>
          <w:rFonts w:ascii="Times New Roman" w:cs="Times New Roman" w:eastAsia="Times New Roman" w:hAnsi="Times New Roman"/>
          <w:b/>
          <w:bCs/>
          <w:sz w:val="22"/>
          <w:szCs w:val="22"/>
        </w:rPr>
        <w:t xml:space="preserve">Bottlenecks.</w:t>
      </w:r>
      <w:r>
        <w:rPr>
          <w:rFonts w:ascii="Times New Roman" w:cs="Times New Roman" w:eastAsia="Times New Roman" w:hAnsi="Times New Roman"/>
          <w:sz w:val="22"/>
          <w:szCs w:val="22"/>
        </w:rPr>
        <w:t xml:space="preserve"> The weighted betweenness centrality</w:t>
      </w:r>
      <w:r>
        <w:rPr>
          <w:rFonts w:ascii="Times New Roman" w:cs="Times New Roman" w:eastAsia="Times New Roman" w:hAnsi="Times New Roman"/>
          <w:sz w:val="22"/>
          <w:szCs w:val="22"/>
          <w:vertAlign w:val="superscript"/>
        </w:rPr>
        <w:t xml:space="preserve">10</w:t>
      </w:r>
      <w:r>
        <w:rPr>
          <w:rFonts w:ascii="Times New Roman" w:cs="Times New Roman" w:eastAsia="Times New Roman" w:hAnsi="Times New Roman"/>
          <w:sz w:val="22"/>
          <w:szCs w:val="22"/>
        </w:rPr>
        <w:t xml:space="preserve"> of node </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 is the number of shortest directed paths between all ordered pairs of other nodes that pass through </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 with the path length of an edge defined as </w:t>
      </w:r>
      <w:r>
        <w:rPr>
          <w:rFonts w:ascii="Times New Roman" w:cs="Times New Roman" w:eastAsia="Times New Roman" w:hAnsi="Times New Roman"/>
          <w:i/>
          <w:iCs/>
          <w:sz w:val="22"/>
          <w:szCs w:val="22"/>
        </w:rPr>
        <w:t xml:space="preserve">d</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max</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(strong edges are short), normalized by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− 2). The maximum betweenness </w:t>
      </w:r>
      <w:r>
        <w:rPr>
          <w:rFonts w:ascii="Times New Roman" w:cs="Times New Roman" w:eastAsia="Times New Roman" w:hAnsi="Times New Roman"/>
          <w:i/>
          <w:iCs/>
          <w:sz w:val="22"/>
          <w:szCs w:val="22"/>
        </w:rPr>
        <w:t xml:space="preserve">b</w:t>
      </w:r>
      <w:r>
        <w:rPr>
          <w:rFonts w:ascii="Times New Roman" w:cs="Times New Roman" w:eastAsia="Times New Roman" w:hAnsi="Times New Roman"/>
          <w:i/>
          <w:iCs/>
          <w:sz w:val="22"/>
          <w:szCs w:val="22"/>
          <w:vertAlign w:val="subscript"/>
        </w:rPr>
        <w:t xml:space="preserve">max</w:t>
      </w:r>
      <w:r>
        <w:rPr>
          <w:rFonts w:ascii="Times New Roman" w:cs="Times New Roman" w:eastAsia="Times New Roman" w:hAnsi="Times New Roman"/>
          <w:sz w:val="22"/>
          <w:szCs w:val="22"/>
        </w:rPr>
        <w:t xml:space="preserve"> over the member nodes measures the degree to which the transport is channeled through a single node; the Gini coefficient of betweenness is stored as an auxiliary quantity.</w:t>
      </w:r>
    </w:p>
    <w:p>
      <w:pPr>
        <w:spacing w:after="120" w:line="300"/>
        <w:jc w:val="both"/>
      </w:pPr>
      <w:r>
        <w:rPr>
          <w:rFonts w:ascii="Times New Roman" w:cs="Times New Roman" w:eastAsia="Times New Roman" w:hAnsi="Times New Roman"/>
          <w:b/>
          <w:bCs/>
          <w:sz w:val="22"/>
          <w:szCs w:val="22"/>
        </w:rPr>
        <w:t xml:space="preserve">Hubs and their persistence.</w:t>
      </w:r>
      <w:r>
        <w:rPr>
          <w:rFonts w:ascii="Times New Roman" w:cs="Times New Roman" w:eastAsia="Times New Roman" w:hAnsi="Times New Roman"/>
          <w:sz w:val="22"/>
          <w:szCs w:val="22"/>
        </w:rPr>
        <w:t xml:space="preserve"> The hubs of a day are the ⌈0.05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member nodes of largest incident horizontal strength </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m</w:t>
      </w:r>
      <w:r>
        <w:rPr>
          <w:rFonts w:ascii="Times New Roman" w:cs="Times New Roman" w:eastAsia="Times New Roman" w:hAnsi="Times New Roman"/>
          <w:sz w:val="22"/>
          <w:szCs w:val="22"/>
        </w:rPr>
        <w:t xml:space="preserve"> (a hub is a cell with large horizontal throughput, whether it exchanges with the interior or with the surroundings; a cell on a corridor can have a large throughput and a small net convergence). The hub persistence is the Jaccard index </w:t>
      </w:r>
      <w:r>
        <w:rPr>
          <w:rFonts w:ascii="Times New Roman" w:cs="Times New Roman" w:eastAsia="Times New Roman" w:hAnsi="Times New Roman"/>
          <w:i/>
          <w:iCs/>
          <w:sz w:val="22"/>
          <w:szCs w:val="22"/>
        </w:rPr>
        <w:t xml:space="preserve">J</w:t>
      </w:r>
      <w:r>
        <w:rPr>
          <w:rFonts w:ascii="Times New Roman" w:cs="Times New Roman" w:eastAsia="Times New Roman" w:hAnsi="Times New Roman"/>
          <w:i/>
          <w:iCs/>
          <w:sz w:val="22"/>
          <w:szCs w:val="22"/>
          <w:vertAlign w:val="subscript"/>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H</w:t>
      </w:r>
      <w:r>
        <w:rPr>
          <w:rFonts w:ascii="Times New Roman" w:cs="Times New Roman" w:eastAsia="Times New Roman" w:hAnsi="Times New Roman"/>
          <w:i/>
          <w:iCs/>
          <w:sz w:val="22"/>
          <w:szCs w:val="22"/>
          <w:vertAlign w:val="subscript"/>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H</w:t>
      </w:r>
      <w:r>
        <w:rPr>
          <w:rFonts w:ascii="Times New Roman" w:cs="Times New Roman" w:eastAsia="Times New Roman" w:hAnsi="Times New Roman"/>
          <w:i/>
          <w:iCs/>
          <w:sz w:val="22"/>
          <w:szCs w:val="22"/>
          <w:vertAlign w:val="subscript"/>
        </w:rPr>
        <w:t xml:space="preserve">t−1</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H</w:t>
      </w:r>
      <w:r>
        <w:rPr>
          <w:rFonts w:ascii="Times New Roman" w:cs="Times New Roman" w:eastAsia="Times New Roman" w:hAnsi="Times New Roman"/>
          <w:i/>
          <w:iCs/>
          <w:sz w:val="22"/>
          <w:szCs w:val="22"/>
          <w:vertAlign w:val="subscript"/>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H</w:t>
      </w:r>
      <w:r>
        <w:rPr>
          <w:rFonts w:ascii="Times New Roman" w:cs="Times New Roman" w:eastAsia="Times New Roman" w:hAnsi="Times New Roman"/>
          <w:i/>
          <w:iCs/>
          <w:sz w:val="22"/>
          <w:szCs w:val="22"/>
          <w:vertAlign w:val="subscript"/>
        </w:rPr>
        <w:t xml:space="preserve">t−1</w:t>
      </w:r>
      <w:r>
        <w:rPr>
          <w:rFonts w:ascii="Times New Roman" w:cs="Times New Roman" w:eastAsia="Times New Roman" w:hAnsi="Times New Roman"/>
          <w:sz w:val="22"/>
          <w:szCs w:val="22"/>
        </w:rPr>
        <w:t xml:space="preserve">| between the hub sets of consecutive days with a graph (undefined on the first such day).</w:t>
      </w:r>
    </w:p>
    <w:p>
      <w:pPr>
        <w:spacing w:after="120" w:line="300"/>
        <w:jc w:val="both"/>
      </w:pPr>
      <w:r>
        <w:rPr>
          <w:rFonts w:ascii="Times New Roman" w:cs="Times New Roman" w:eastAsia="Times New Roman" w:hAnsi="Times New Roman"/>
          <w:b/>
          <w:bCs/>
          <w:sz w:val="22"/>
          <w:szCs w:val="22"/>
        </w:rPr>
        <w:t xml:space="preserve">Backbone.</w:t>
      </w:r>
      <w:r>
        <w:rPr>
          <w:rFonts w:ascii="Times New Roman" w:cs="Times New Roman" w:eastAsia="Times New Roman" w:hAnsi="Times New Roman"/>
          <w:sz w:val="22"/>
          <w:szCs w:val="22"/>
        </w:rPr>
        <w:t xml:space="preserve"> The disparity filter</w:t>
      </w:r>
      <w:r>
        <w:rPr>
          <w:rFonts w:ascii="Times New Roman" w:cs="Times New Roman" w:eastAsia="Times New Roman" w:hAnsi="Times New Roman"/>
          <w:sz w:val="22"/>
          <w:szCs w:val="22"/>
          <w:vertAlign w:val="superscript"/>
        </w:rPr>
        <w:t xml:space="preserve">11</w:t>
      </w:r>
      <w:r>
        <w:rPr>
          <w:rFonts w:ascii="Times New Roman" w:cs="Times New Roman" w:eastAsia="Times New Roman" w:hAnsi="Times New Roman"/>
          <w:sz w:val="22"/>
          <w:szCs w:val="22"/>
        </w:rPr>
        <w:t xml:space="preserve"> keeps an edge (</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j</w:t>
      </w:r>
      <w:r>
        <w:rPr>
          <w:rFonts w:ascii="Times New Roman" w:cs="Times New Roman" w:eastAsia="Times New Roman" w:hAnsi="Times New Roman"/>
          <w:sz w:val="22"/>
          <w:szCs w:val="22"/>
        </w:rPr>
        <w:t xml:space="preserve">) if its weight is statistically incompatible with a uniform distribution of the strength of at least one of its endpoints: with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ij</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w</w:t>
      </w:r>
      <w:r>
        <w:rPr>
          <w:rFonts w:ascii="Times New Roman" w:cs="Times New Roman" w:eastAsia="Times New Roman" w:hAnsi="Times New Roman"/>
          <w:i/>
          <w:iCs/>
          <w:sz w:val="22"/>
          <w:szCs w:val="22"/>
          <w:vertAlign w:val="subscript"/>
        </w:rPr>
        <w:t xml:space="preserve">ij</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s</w:t>
      </w:r>
      <w:r>
        <w:rPr>
          <w:rFonts w:ascii="Times New Roman" w:cs="Times New Roman" w:eastAsia="Times New Roman" w:hAnsi="Times New Roman"/>
          <w:i/>
          <w:iCs/>
          <w:sz w:val="22"/>
          <w:szCs w:val="22"/>
          <w:vertAlign w:val="subscript"/>
        </w:rPr>
        <w:t xml:space="preserve">out</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k</w:t>
      </w:r>
      <w:r>
        <w:rPr>
          <w:rFonts w:ascii="Times New Roman" w:cs="Times New Roman" w:eastAsia="Times New Roman" w:hAnsi="Times New Roman"/>
          <w:sz w:val="22"/>
          <w:szCs w:val="22"/>
        </w:rPr>
        <w:t xml:space="preserve"> the out-degree of </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 the edge is kept if (1 −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ij</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vertAlign w:val="superscript"/>
        </w:rPr>
        <w:t xml:space="preserve">k−1</w:t>
      </w:r>
      <w:r>
        <w:rPr>
          <w:rFonts w:ascii="Times New Roman" w:cs="Times New Roman" w:eastAsia="Times New Roman" w:hAnsi="Times New Roman"/>
          <w:sz w:val="22"/>
          <w:szCs w:val="22"/>
        </w:rPr>
        <w:t xml:space="preserve"> &lt; α, or the corresponding condition holds on the in-side of </w:t>
      </w:r>
      <w:r>
        <w:rPr>
          <w:rFonts w:ascii="Times New Roman" w:cs="Times New Roman" w:eastAsia="Times New Roman" w:hAnsi="Times New Roman"/>
          <w:i/>
          <w:iCs/>
          <w:sz w:val="22"/>
          <w:szCs w:val="22"/>
        </w:rPr>
        <w:t xml:space="preserve">j</w:t>
      </w:r>
      <w:r>
        <w:rPr>
          <w:rFonts w:ascii="Times New Roman" w:cs="Times New Roman" w:eastAsia="Times New Roman" w:hAnsi="Times New Roman"/>
          <w:sz w:val="22"/>
          <w:szCs w:val="22"/>
        </w:rPr>
        <w:t xml:space="preserve"> with its in-degree; α = 0.3. The backbone flux share is the fraction of Φ on kept edges. For Fig. 6 the kept edges are accumulated on the grid by the direction of the face they cross (east, west, north or south).</w:t>
      </w:r>
    </w:p>
    <w:p>
      <w:pPr>
        <w:spacing w:after="120" w:line="300"/>
        <w:jc w:val="both"/>
      </w:pPr>
      <w:r>
        <w:rPr>
          <w:rFonts w:ascii="Times New Roman" w:cs="Times New Roman" w:eastAsia="Times New Roman" w:hAnsi="Times New Roman"/>
          <w:b/>
          <w:bCs/>
          <w:sz w:val="22"/>
          <w:szCs w:val="22"/>
        </w:rPr>
        <w:t xml:space="preserve">Community structure.</w:t>
      </w:r>
      <w:r>
        <w:rPr>
          <w:rFonts w:ascii="Times New Roman" w:cs="Times New Roman" w:eastAsia="Times New Roman" w:hAnsi="Times New Roman"/>
          <w:sz w:val="22"/>
          <w:szCs w:val="22"/>
        </w:rPr>
        <w:t xml:space="preserve"> Louvain modularity</w:t>
      </w:r>
      <w:r>
        <w:rPr>
          <w:rFonts w:ascii="Times New Roman" w:cs="Times New Roman" w:eastAsia="Times New Roman" w:hAnsi="Times New Roman"/>
          <w:sz w:val="22"/>
          <w:szCs w:val="22"/>
          <w:vertAlign w:val="superscript"/>
        </w:rPr>
        <w:t xml:space="preserve">12</w:t>
      </w:r>
      <w:r>
        <w:rPr>
          <w:rFonts w:ascii="Times New Roman" w:cs="Times New Roman" w:eastAsia="Times New Roman" w:hAnsi="Times New Roman"/>
          <w:sz w:val="22"/>
          <w:szCs w:val="22"/>
        </w:rPr>
        <w:t xml:space="preserve"> of the undirected weighted graph obtained by summing the weights of antiparallel edges is stored as an auxiliary quantity; on a lattice it is dominated by geometry and is not used in the main text.</w:t>
      </w:r>
    </w:p>
    <w:p>
      <w:pPr>
        <w:spacing w:after="120" w:line="300"/>
        <w:jc w:val="both"/>
      </w:pPr>
      <w:r>
        <w:rPr>
          <w:rFonts w:ascii="Times New Roman" w:cs="Times New Roman" w:eastAsia="Times New Roman" w:hAnsi="Times New Roman"/>
          <w:b/>
          <w:bCs/>
          <w:sz w:val="22"/>
          <w:szCs w:val="22"/>
        </w:rPr>
        <w:t xml:space="preserve">Gridded accumulators.</w:t>
      </w:r>
      <w:r>
        <w:rPr>
          <w:rFonts w:ascii="Times New Roman" w:cs="Times New Roman" w:eastAsia="Times New Roman" w:hAnsi="Times New Roman"/>
          <w:sz w:val="22"/>
          <w:szCs w:val="22"/>
        </w:rPr>
        <w:t xml:space="preserve"> For every kind, the following are accumulated over all processed objects on the 1/12° grid: member cell-days, hub cell-days, the daily network convergence of member cells separately for the growth phase (days before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and the decay phase, and the backbone edge-days by face direction. Fig. 6 shows hub-days per member-day, the backbone edge-days per member-day (normalized by the exposure of each cell) with the local mean direction, and the growth-phase net convergence per member-day for cells with at least 20 member-days of the main-set objects. Overlapping objects contribute repeatedly to a cell, so the maps describe where the population's hubs, backbones and convergence concentrate rather than independent events.</w:t>
      </w:r>
    </w:p>
    <w:p>
      <w:pPr>
        <w:pStyle w:val="Heading2"/>
        <w:spacing w:after="80" w:before="200"/>
      </w:pPr>
      <w:r>
        <w:rPr>
          <w:rFonts w:ascii="Times New Roman" w:cs="Times New Roman" w:eastAsia="Times New Roman" w:hAnsi="Times New Roman"/>
          <w:b/>
          <w:bCs/>
          <w:sz w:val="24"/>
          <w:szCs w:val="24"/>
        </w:rPr>
        <w:t xml:space="preserve">Supplementary Methods 8 — Direction-randomized null model</w:t>
      </w:r>
    </w:p>
    <w:p>
      <w:pPr>
        <w:spacing w:after="120" w:line="300"/>
        <w:jc w:val="both"/>
      </w:pPr>
      <w:r>
        <w:rPr>
          <w:rFonts w:ascii="Times New Roman" w:cs="Times New Roman" w:eastAsia="Times New Roman" w:hAnsi="Times New Roman"/>
          <w:sz w:val="22"/>
          <w:szCs w:val="22"/>
        </w:rPr>
        <w:t xml:space="preserve">On a lattice, part of the recirculation measured by the SCC fraction is a consequence of the geometry alone: with </w:t>
      </w:r>
      <w:r>
        <w:rPr>
          <w:rFonts w:ascii="Times New Roman" w:cs="Times New Roman" w:eastAsia="Times New Roman" w:hAnsi="Times New Roman"/>
          <w:i/>
          <w:iCs/>
          <w:sz w:val="22"/>
          <w:szCs w:val="22"/>
        </w:rPr>
        <w:t xml:space="preserve">m</w:t>
      </w:r>
      <w:r>
        <w:rPr>
          <w:rFonts w:ascii="Times New Roman" w:cs="Times New Roman" w:eastAsia="Times New Roman" w:hAnsi="Times New Roman"/>
          <w:sz w:val="22"/>
          <w:szCs w:val="22"/>
        </w:rPr>
        <w:t xml:space="preserve"> edges of random orientation on a compact set of cells, directed cycles are inevitable. To isolate the information carried by the circulation, the direction of every member–member edge is reversed independently with probability ½ while its weight, its position and the whole lattice are kept; the SCC fraction and the flow hierarchy of the randomized graph are computed and the procedure is repeated 20 times per day. The null expectation is the mean over the 20 realizations (its standard deviation is stored), and the </w:t>
      </w:r>
      <w:r>
        <w:rPr>
          <w:rFonts w:ascii="Times New Roman" w:cs="Times New Roman" w:eastAsia="Times New Roman" w:hAnsi="Times New Roman"/>
          <w:i/>
          <w:iCs/>
          <w:sz w:val="22"/>
          <w:szCs w:val="22"/>
        </w:rPr>
        <w:t xml:space="preserve">SCC excess</w:t>
      </w:r>
      <w:r>
        <w:rPr>
          <w:rFonts w:ascii="Times New Roman" w:cs="Times New Roman" w:eastAsia="Times New Roman" w:hAnsi="Times New Roman"/>
          <w:sz w:val="22"/>
          <w:szCs w:val="22"/>
        </w:rPr>
        <w:t xml:space="preserve"> of a day is the observed SCC fraction minus the null mean; the </w:t>
      </w:r>
      <w:r>
        <w:rPr>
          <w:rFonts w:ascii="Times New Roman" w:cs="Times New Roman" w:eastAsia="Times New Roman" w:hAnsi="Times New Roman"/>
          <w:i/>
          <w:iCs/>
          <w:sz w:val="22"/>
          <w:szCs w:val="22"/>
        </w:rPr>
        <w:t xml:space="preserve">hierarchy deficit</w:t>
      </w:r>
      <w:r>
        <w:rPr>
          <w:rFonts w:ascii="Times New Roman" w:cs="Times New Roman" w:eastAsia="Times New Roman" w:hAnsi="Times New Roman"/>
          <w:sz w:val="22"/>
          <w:szCs w:val="22"/>
        </w:rPr>
        <w:t xml:space="preserve"> is the null hierarchy minus the observed hierarchy. A positive SCC excess means that the actual velocity field organizes the transport into closed loops more than random directions would; a negative excess means that the flow is more feed-forward (more hierarchical) than random. The per-object SCC excess is the window mean of the daily values. Because both the observed and the randomized graphs share the same lattice and weights, the comparison does not depend on any parametric model of the weights. The null is combinatorial: it preserves the lattice and the weights but not the continuity of the flow or its spatial correlation, so that it is a benchmark for the directional information of the graph rather than a dynamically consistent alternative circulation. The Monte Carlo standard error of the 20-realization null mean is 0.02 per day (median over objects, from the stored standard deviations), small against the median daily |excess| of 0.14 and reduced further in the window means over 10–30 days.</w:t>
      </w:r>
    </w:p>
    <w:p>
      <w:pPr>
        <w:pStyle w:val="Heading2"/>
        <w:spacing w:after="80" w:before="200"/>
      </w:pPr>
      <w:r>
        <w:rPr>
          <w:rFonts w:ascii="Times New Roman" w:cs="Times New Roman" w:eastAsia="Times New Roman" w:hAnsi="Times New Roman"/>
          <w:b/>
          <w:bCs/>
          <w:sz w:val="24"/>
          <w:szCs w:val="24"/>
        </w:rPr>
        <w:t xml:space="preserve">Supplementary Methods 9 — Per-object features and statistical methods</w:t>
      </w:r>
    </w:p>
    <w:p>
      <w:pPr>
        <w:spacing w:after="120" w:line="300"/>
        <w:jc w:val="both"/>
      </w:pPr>
      <w:r>
        <w:rPr>
          <w:rFonts w:ascii="Times New Roman" w:cs="Times New Roman" w:eastAsia="Times New Roman" w:hAnsi="Times New Roman"/>
          <w:b/>
          <w:bCs/>
          <w:sz w:val="22"/>
          <w:szCs w:val="22"/>
        </w:rPr>
        <w:t xml:space="preserve">9.1 Features.</w:t>
      </w:r>
      <w:r>
        <w:rPr>
          <w:rFonts w:ascii="Times New Roman" w:cs="Times New Roman" w:eastAsia="Times New Roman" w:hAnsi="Times New Roman"/>
          <w:sz w:val="22"/>
          <w:szCs w:val="22"/>
        </w:rPr>
        <w:t xml:space="preserve"> For each object and each peak definition, the daily metrics are averaged within the early-growth, near-peak and late-decay windows (Supplementary Methods 4); the onset and end values are the means of the first and last three days; additional features are the 5-day running minimum of ε and running maxima of the SCC fraction, the pooled σ</w:t>
      </w:r>
      <w:r>
        <w:rPr>
          <w:rFonts w:ascii="Times New Roman" w:cs="Times New Roman" w:eastAsia="Times New Roman" w:hAnsi="Times New Roman"/>
          <w:sz w:val="22"/>
          <w:szCs w:val="22"/>
          <w:vertAlign w:val="subscript"/>
        </w:rPr>
        <w:t xml:space="preserve">log w</w:t>
      </w:r>
      <w:r>
        <w:rPr>
          <w:rFonts w:ascii="Times New Roman" w:cs="Times New Roman" w:eastAsia="Times New Roman" w:hAnsi="Times New Roman"/>
          <w:sz w:val="22"/>
          <w:szCs w:val="22"/>
        </w:rPr>
        <w:t xml:space="preserve">, the closure correlation and variance fraction, the sizes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and Φ</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(life-cycle maxima), the season and year of the peak, and the numbers of growth and decay days. Features are computed for the three peak definitions separately (</w:t>
      </w:r>
      <w:r>
        <w:rPr>
          <w:rFonts w:ascii="Consolas" w:cs="Consolas" w:eastAsia="Consolas" w:hAnsi="Consolas"/>
          <w:sz w:val="20"/>
          <w:szCs w:val="20"/>
        </w:rPr>
        <w:t xml:space="preserve">object_features_{Pn,Pi,Pa}.csv</w:t>
      </w:r>
      <w:r>
        <w:rPr>
          <w:rFonts w:ascii="Times New Roman" w:cs="Times New Roman" w:eastAsia="Times New Roman" w:hAnsi="Times New Roman"/>
          <w:sz w:val="22"/>
          <w:szCs w:val="22"/>
        </w:rPr>
        <w:t xml:space="preserve">); the main set with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is </w:t>
      </w:r>
      <w:r>
        <w:rPr>
          <w:rFonts w:ascii="Consolas" w:cs="Consolas" w:eastAsia="Consolas" w:hAnsi="Consolas"/>
          <w:sz w:val="20"/>
          <w:szCs w:val="20"/>
        </w:rPr>
        <w:t xml:space="preserve">object_features_main.csv</w:t>
      </w:r>
      <w:r>
        <w:rPr>
          <w:rFonts w:ascii="Times New Roman" w:cs="Times New Roman" w:eastAsia="Times New Roman" w:hAnsi="Times New Roman"/>
          <w:sz w:val="22"/>
          <w:szCs w:val="22"/>
        </w:rPr>
        <w:t xml:space="preserve"> (Supplementary Data 1).</w:t>
      </w:r>
    </w:p>
    <w:p>
      <w:pPr>
        <w:spacing w:after="120" w:line="300"/>
        <w:jc w:val="both"/>
      </w:pPr>
      <w:r>
        <w:rPr>
          <w:rFonts w:ascii="Times New Roman" w:cs="Times New Roman" w:eastAsia="Times New Roman" w:hAnsi="Times New Roman"/>
          <w:b/>
          <w:bCs/>
          <w:sz w:val="22"/>
          <w:szCs w:val="22"/>
        </w:rPr>
        <w:t xml:space="preserve">9.2 Life-cycle tests.</w:t>
      </w:r>
      <w:r>
        <w:rPr>
          <w:rFonts w:ascii="Times New Roman" w:cs="Times New Roman" w:eastAsia="Times New Roman" w:hAnsi="Times New Roman"/>
          <w:sz w:val="22"/>
          <w:szCs w:val="22"/>
        </w:rPr>
        <w:t xml:space="preserve"> For each phenomenon (and each phenomenon × season class with at least 15 objects) the change of a metric between two windows is tested per object with the paired Wilcoxon signed-rank test (SciPy</w:t>
      </w:r>
      <w:r>
        <w:rPr>
          <w:rFonts w:ascii="Times New Roman" w:cs="Times New Roman" w:eastAsia="Times New Roman" w:hAnsi="Times New Roman"/>
          <w:sz w:val="22"/>
          <w:szCs w:val="22"/>
          <w:vertAlign w:val="superscript"/>
        </w:rPr>
        <w:t xml:space="preserve">13</w:t>
      </w:r>
      <w:r>
        <w:rPr>
          <w:rFonts w:ascii="Times New Roman" w:cs="Times New Roman" w:eastAsia="Times New Roman" w:hAnsi="Times New Roman"/>
          <w:sz w:val="22"/>
          <w:szCs w:val="22"/>
        </w:rPr>
        <w:t xml:space="preserve">, one-sided in the direction expected from the four-event Letter</w:t>
      </w:r>
      <w:r>
        <w:rPr>
          <w:rFonts w:ascii="Times New Roman" w:cs="Times New Roman" w:eastAsia="Times New Roman" w:hAnsi="Times New Roman"/>
          <w:sz w:val="22"/>
          <w:szCs w:val="22"/>
          <w:vertAlign w:val="superscript"/>
        </w:rPr>
        <w:t xml:space="preserve">7</w:t>
      </w:r>
      <w:r>
        <w:rPr>
          <w:rFonts w:ascii="Times New Roman" w:cs="Times New Roman" w:eastAsia="Times New Roman" w:hAnsi="Times New Roman"/>
          <w:sz w:val="22"/>
          <w:szCs w:val="22"/>
        </w:rPr>
        <w:t xml:space="preserve"> for ε, SCC, SCC excess, hierarchy, betweenness and hub persistence; two-sided for the concentration metrics;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10 days only). We report the medians of the two windows, the median of the paired differences with a 95% confidence interval from the year-block bootstrap (9.6), the fraction of objects whose difference has the expected sign (for two-sided tests this fraction is not defined and is omitted), and the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-values adjusted by the Benjamini–Hochberg procedure</w:t>
      </w:r>
      <w:r>
        <w:rPr>
          <w:rFonts w:ascii="Times New Roman" w:cs="Times New Roman" w:eastAsia="Times New Roman" w:hAnsi="Times New Roman"/>
          <w:sz w:val="22"/>
          <w:szCs w:val="22"/>
          <w:vertAlign w:val="superscript"/>
        </w:rPr>
        <w:t xml:space="preserve">14</w:t>
      </w:r>
      <w:r>
        <w:rPr>
          <w:rFonts w:ascii="Times New Roman" w:cs="Times New Roman" w:eastAsia="Times New Roman" w:hAnsi="Times New Roman"/>
          <w:sz w:val="22"/>
          <w:szCs w:val="22"/>
        </w:rPr>
        <w:t xml:space="preserve"> across the tests of each phenomenon × season class (Supplementary Table 2). Event-level frequencies, including the fraction of objects in which the near-peak value lies beyond both the early-growth and the late-decay value and the fraction with an actual sign reversal of the net convergence, are given in Supplementary Table 13. Where the object-level test and the year-block confidence interval disagree, the interval is the primary measure of uncertainty, because the signed-rank test treats objects as independent.</w:t>
      </w:r>
    </w:p>
    <w:p>
      <w:pPr>
        <w:spacing w:after="120" w:line="300"/>
        <w:jc w:val="both"/>
      </w:pPr>
      <w:r>
        <w:rPr>
          <w:rFonts w:ascii="Times New Roman" w:cs="Times New Roman" w:eastAsia="Times New Roman" w:hAnsi="Times New Roman"/>
          <w:b/>
          <w:bCs/>
          <w:sz w:val="22"/>
          <w:szCs w:val="22"/>
        </w:rPr>
        <w:t xml:space="preserve">9.3 Warm–cold contrasts.</w:t>
      </w:r>
      <w:r>
        <w:rPr>
          <w:rFonts w:ascii="Times New Roman" w:cs="Times New Roman" w:eastAsia="Times New Roman" w:hAnsi="Times New Roman"/>
          <w:sz w:val="22"/>
          <w:szCs w:val="22"/>
        </w:rPr>
        <w:t xml:space="preserve"> Near-peak features of MHWs and MCSs are compared with the two-sided Mann–Whitney </w:t>
      </w:r>
      <w:r>
        <w:rPr>
          <w:rFonts w:ascii="Times New Roman" w:cs="Times New Roman" w:eastAsia="Times New Roman" w:hAnsi="Times New Roman"/>
          <w:i/>
          <w:iCs/>
          <w:sz w:val="22"/>
          <w:szCs w:val="22"/>
        </w:rPr>
        <w:t xml:space="preserve">U</w:t>
      </w:r>
      <w:r>
        <w:rPr>
          <w:rFonts w:ascii="Times New Roman" w:cs="Times New Roman" w:eastAsia="Times New Roman" w:hAnsi="Times New Roman"/>
          <w:sz w:val="22"/>
          <w:szCs w:val="22"/>
        </w:rPr>
        <w:t xml:space="preserve"> test and Cliff's δ</w:t>
      </w:r>
      <w:r>
        <w:rPr>
          <w:rFonts w:ascii="Times New Roman" w:cs="Times New Roman" w:eastAsia="Times New Roman" w:hAnsi="Times New Roman"/>
          <w:sz w:val="22"/>
          <w:szCs w:val="22"/>
          <w:vertAlign w:val="superscript"/>
        </w:rPr>
        <w:t xml:space="preserve">15</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x</w:t>
      </w:r>
      <w:r>
        <w:rPr>
          <w:rFonts w:ascii="Times New Roman" w:cs="Times New Roman" w:eastAsia="Times New Roman" w:hAnsi="Times New Roman"/>
          <w:i/>
          <w:iCs/>
          <w:sz w:val="22"/>
          <w:szCs w:val="22"/>
          <w:vertAlign w:val="subscript"/>
        </w:rPr>
        <w:t xml:space="preserve">MHW</w:t>
      </w:r>
      <w:r>
        <w:rPr>
          <w:rFonts w:ascii="Times New Roman" w:cs="Times New Roman" w:eastAsia="Times New Roman" w:hAnsi="Times New Roman"/>
          <w:sz w:val="22"/>
          <w:szCs w:val="22"/>
        </w:rPr>
        <w:t xml:space="preserve"> &gt; </w:t>
      </w:r>
      <w:r>
        <w:rPr>
          <w:rFonts w:ascii="Times New Roman" w:cs="Times New Roman" w:eastAsia="Times New Roman" w:hAnsi="Times New Roman"/>
          <w:i/>
          <w:iCs/>
          <w:sz w:val="22"/>
          <w:szCs w:val="22"/>
        </w:rPr>
        <w:t xml:space="preserve">x</w:t>
      </w:r>
      <w:r>
        <w:rPr>
          <w:rFonts w:ascii="Times New Roman" w:cs="Times New Roman" w:eastAsia="Times New Roman" w:hAnsi="Times New Roman"/>
          <w:i/>
          <w:iCs/>
          <w:sz w:val="22"/>
          <w:szCs w:val="22"/>
          <w:vertAlign w:val="subscript"/>
        </w:rPr>
        <w:t xml:space="preserve">MCS</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x</w:t>
      </w:r>
      <w:r>
        <w:rPr>
          <w:rFonts w:ascii="Times New Roman" w:cs="Times New Roman" w:eastAsia="Times New Roman" w:hAnsi="Times New Roman"/>
          <w:i/>
          <w:iCs/>
          <w:sz w:val="22"/>
          <w:szCs w:val="22"/>
          <w:vertAlign w:val="subscript"/>
        </w:rPr>
        <w:t xml:space="preserve">MHW</w:t>
      </w:r>
      <w:r>
        <w:rPr>
          <w:rFonts w:ascii="Times New Roman" w:cs="Times New Roman" w:eastAsia="Times New Roman" w:hAnsi="Times New Roman"/>
          <w:sz w:val="22"/>
          <w:szCs w:val="22"/>
        </w:rPr>
        <w:t xml:space="preserve"> &lt; </w:t>
      </w:r>
      <w:r>
        <w:rPr>
          <w:rFonts w:ascii="Times New Roman" w:cs="Times New Roman" w:eastAsia="Times New Roman" w:hAnsi="Times New Roman"/>
          <w:i/>
          <w:iCs/>
          <w:sz w:val="22"/>
          <w:szCs w:val="22"/>
        </w:rPr>
        <w:t xml:space="preserve">x</w:t>
      </w:r>
      <w:r>
        <w:rPr>
          <w:rFonts w:ascii="Times New Roman" w:cs="Times New Roman" w:eastAsia="Times New Roman" w:hAnsi="Times New Roman"/>
          <w:i/>
          <w:iCs/>
          <w:sz w:val="22"/>
          <w:szCs w:val="22"/>
          <w:vertAlign w:val="subscript"/>
        </w:rPr>
        <w:t xml:space="preserve">MCS</w:t>
      </w:r>
      <w:r>
        <w:rPr>
          <w:rFonts w:ascii="Times New Roman" w:cs="Times New Roman" w:eastAsia="Times New Roman" w:hAnsi="Times New Roman"/>
          <w:sz w:val="22"/>
          <w:szCs w:val="22"/>
        </w:rPr>
        <w:t xml:space="preserve">) as effect size (|δ| ≈ 0.15, 0.33 and 0.47 correspond to small, medium and large effects). The false-discovery rate is controlled across the 14 features within each stratum (all objects; each season; each size quartile, with quartiles of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defined on the pooled main set). For the all-object stratum, two further tests are made (Supplementary Table 3): (i) a within-year permutation test (9.5), and (ii) an ordinary-least-squares model of the feature on a phenomenon indicator,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and season dummies with cluster-robust standard errors clustered by calendar year (statsmodels</w:t>
      </w:r>
      <w:r>
        <w:rPr>
          <w:rFonts w:ascii="Times New Roman" w:cs="Times New Roman" w:eastAsia="Times New Roman" w:hAnsi="Times New Roman"/>
          <w:sz w:val="22"/>
          <w:szCs w:val="22"/>
          <w:vertAlign w:val="superscript"/>
        </w:rPr>
        <w:t xml:space="preserve">16</w:t>
      </w:r>
      <w:r>
        <w:rPr>
          <w:rFonts w:ascii="Times New Roman" w:cs="Times New Roman" w:eastAsia="Times New Roman" w:hAnsi="Times New Roman"/>
          <w:sz w:val="22"/>
          <w:szCs w:val="22"/>
        </w:rPr>
        <w:t xml:space="preserve">), whose phenomenon coefficient is the size- and season-adjusted MHW − MCS difference ("size-adjusted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w:t>
      </w:r>
    </w:p>
    <w:p>
      <w:pPr>
        <w:spacing w:after="120" w:line="300"/>
        <w:jc w:val="both"/>
      </w:pPr>
      <w:r>
        <w:rPr>
          <w:rFonts w:ascii="Times New Roman" w:cs="Times New Roman" w:eastAsia="Times New Roman" w:hAnsi="Times New Roman"/>
          <w:b/>
          <w:bCs/>
          <w:sz w:val="22"/>
          <w:szCs w:val="22"/>
        </w:rPr>
        <w:t xml:space="preserve">9.4 Seasonal differences.</w:t>
      </w:r>
      <w:r>
        <w:rPr>
          <w:rFonts w:ascii="Times New Roman" w:cs="Times New Roman" w:eastAsia="Times New Roman" w:hAnsi="Times New Roman"/>
          <w:sz w:val="22"/>
          <w:szCs w:val="22"/>
        </w:rPr>
        <w:t xml:space="preserve"> Within each phenomenon, the four seasonal classes of a feature are compared with the Kruskal–Wallis test (FDR across features) and the summer–winter difference with a Mann–Whitney test and Cliff's δ (JJA − DJF; Supplementary Table 4).</w:t>
      </w:r>
    </w:p>
    <w:p>
      <w:pPr>
        <w:spacing w:after="120" w:line="300"/>
        <w:jc w:val="both"/>
      </w:pPr>
      <w:r>
        <w:rPr>
          <w:rFonts w:ascii="Times New Roman" w:cs="Times New Roman" w:eastAsia="Times New Roman" w:hAnsi="Times New Roman"/>
          <w:b/>
          <w:bCs/>
          <w:sz w:val="22"/>
          <w:szCs w:val="22"/>
        </w:rPr>
        <w:t xml:space="preserve">9.5 Within-year permutation.</w:t>
      </w:r>
      <w:r>
        <w:rPr>
          <w:rFonts w:ascii="Times New Roman" w:cs="Times New Roman" w:eastAsia="Times New Roman" w:hAnsi="Times New Roman"/>
          <w:sz w:val="22"/>
          <w:szCs w:val="22"/>
        </w:rPr>
        <w:t xml:space="preserve"> The dependence of events within a year (a persistent basin-scale anomaly can spawn several objects) is respected by permuting the MHW/MCS labels only among objects whose peaks fall in the same calendar year, recomputing the difference of medians, and repeating 1,000 times; the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-value is (</w:t>
      </w:r>
      <w:r>
        <w:rPr>
          <w:rFonts w:ascii="Times New Roman" w:cs="Times New Roman" w:eastAsia="Times New Roman" w:hAnsi="Times New Roman"/>
          <w:i/>
          <w:iCs/>
          <w:sz w:val="22"/>
          <w:szCs w:val="22"/>
        </w:rPr>
        <w:t xml:space="preserve">c</w:t>
      </w:r>
      <w:r>
        <w:rPr>
          <w:rFonts w:ascii="Times New Roman" w:cs="Times New Roman" w:eastAsia="Times New Roman" w:hAnsi="Times New Roman"/>
          <w:sz w:val="22"/>
          <w:szCs w:val="22"/>
        </w:rPr>
        <w:t xml:space="preserve"> + 1)/(1,001) where </w:t>
      </w:r>
      <w:r>
        <w:rPr>
          <w:rFonts w:ascii="Times New Roman" w:cs="Times New Roman" w:eastAsia="Times New Roman" w:hAnsi="Times New Roman"/>
          <w:i/>
          <w:iCs/>
          <w:sz w:val="22"/>
          <w:szCs w:val="22"/>
        </w:rPr>
        <w:t xml:space="preserve">c</w:t>
      </w:r>
      <w:r>
        <w:rPr>
          <w:rFonts w:ascii="Times New Roman" w:cs="Times New Roman" w:eastAsia="Times New Roman" w:hAnsi="Times New Roman"/>
          <w:sz w:val="22"/>
          <w:szCs w:val="22"/>
        </w:rPr>
        <w:t xml:space="preserve"> is the number of permuted differences at least as large in magnitude as the observed one.</w:t>
      </w:r>
    </w:p>
    <w:p>
      <w:pPr>
        <w:spacing w:after="120" w:line="300"/>
        <w:jc w:val="both"/>
      </w:pPr>
      <w:r>
        <w:rPr>
          <w:rFonts w:ascii="Times New Roman" w:cs="Times New Roman" w:eastAsia="Times New Roman" w:hAnsi="Times New Roman"/>
          <w:b/>
          <w:bCs/>
          <w:sz w:val="22"/>
          <w:szCs w:val="22"/>
        </w:rPr>
        <w:t xml:space="preserve">9.6 Year-block bootstrap.</w:t>
      </w:r>
      <w:r>
        <w:rPr>
          <w:rFonts w:ascii="Times New Roman" w:cs="Times New Roman" w:eastAsia="Times New Roman" w:hAnsi="Times New Roman"/>
          <w:sz w:val="22"/>
          <w:szCs w:val="22"/>
        </w:rPr>
        <w:t xml:space="preserve"> Confidence intervals of medians (life-cycle differences, null excess) are obtained by resampling the 30 calendar years with replacement, taking </w:t>
      </w:r>
      <w:r>
        <w:rPr>
          <w:rFonts w:ascii="Times New Roman" w:cs="Times New Roman" w:eastAsia="Times New Roman" w:hAnsi="Times New Roman"/>
          <w:i/>
          <w:iCs/>
          <w:sz w:val="22"/>
          <w:szCs w:val="22"/>
        </w:rPr>
        <w:t xml:space="preserve">all</w:t>
      </w:r>
      <w:r>
        <w:rPr>
          <w:rFonts w:ascii="Times New Roman" w:cs="Times New Roman" w:eastAsia="Times New Roman" w:hAnsi="Times New Roman"/>
          <w:sz w:val="22"/>
          <w:szCs w:val="22"/>
        </w:rPr>
        <w:t xml:space="preserve"> objects whose peak falls in each drawn year, computing the statistic and repeating 2,000 times; the 2.5th and 97.5th percentiles are reported. The same block bootstrap with 500 resamples of the mean provides the 95% bands of the composites (Figs. 2, 5c; Supplementary Figs. 4, 5), which are built by averaging each object's daily values in 20 bins of τ and then averaging over objects.</w:t>
      </w:r>
    </w:p>
    <w:p>
      <w:pPr>
        <w:spacing w:after="120" w:line="300"/>
        <w:jc w:val="both"/>
      </w:pPr>
      <w:r>
        <w:rPr>
          <w:rFonts w:ascii="Times New Roman" w:cs="Times New Roman" w:eastAsia="Times New Roman" w:hAnsi="Times New Roman"/>
          <w:b/>
          <w:bCs/>
          <w:sz w:val="22"/>
          <w:szCs w:val="22"/>
        </w:rPr>
        <w:t xml:space="preserve">9.7 Null-model tests.</w:t>
      </w:r>
      <w:r>
        <w:rPr>
          <w:rFonts w:ascii="Times New Roman" w:cs="Times New Roman" w:eastAsia="Times New Roman" w:hAnsi="Times New Roman"/>
          <w:sz w:val="22"/>
          <w:szCs w:val="22"/>
        </w:rPr>
        <w:t xml:space="preserve"> The per-object SCC excess and hierarchy deficit are tested against zero with one-sided Wilcoxon signed-rank tests (alternative: greater than zero) and summarized by the median, its year-block confidence interval and the fraction of positive objects, for all objects and per season (Supplementary Table 5).</w:t>
      </w:r>
    </w:p>
    <w:p>
      <w:pPr>
        <w:spacing w:after="120" w:line="300"/>
        <w:jc w:val="both"/>
      </w:pPr>
      <w:r>
        <w:rPr>
          <w:rFonts w:ascii="Times New Roman" w:cs="Times New Roman" w:eastAsia="Times New Roman" w:hAnsi="Times New Roman"/>
          <w:b/>
          <w:bCs/>
          <w:sz w:val="22"/>
          <w:szCs w:val="22"/>
        </w:rPr>
        <w:t xml:space="preserve">9.8 Scaling.</w:t>
      </w:r>
      <w:r>
        <w:rPr>
          <w:rFonts w:ascii="Times New Roman" w:cs="Times New Roman" w:eastAsia="Times New Roman" w:hAnsi="Times New Roman"/>
          <w:sz w:val="22"/>
          <w:szCs w:val="22"/>
        </w:rPr>
        <w:t xml:space="preserve">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Φ</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is regressed on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and on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(ordinary least squares; slope, standard error, Pearson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and the near-peak topology metrics are regressed on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Spearman correlations on the raw variables are given alongside (Supplementary Table 6, Supplementary Fig. 6).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and Φ</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are run maxima that may fall on different days (the run maximum of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falls on the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day in only 19–21% of objects); Supplementary Table 16 therefore repeats the fits with the quantities evaluated on the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day, adds the mean edge flux Φ/</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rPr>
        <w:t xml:space="preserve">, and gives year-block bootstrap confidence intervals (1,000 resamples of calendar years) for all exponents.</w:t>
      </w:r>
    </w:p>
    <w:p>
      <w:pPr>
        <w:spacing w:after="120" w:line="300"/>
        <w:jc w:val="both"/>
      </w:pPr>
      <w:r>
        <w:rPr>
          <w:rFonts w:ascii="Times New Roman" w:cs="Times New Roman" w:eastAsia="Times New Roman" w:hAnsi="Times New Roman"/>
          <w:b/>
          <w:bCs/>
          <w:sz w:val="22"/>
          <w:szCs w:val="22"/>
        </w:rPr>
        <w:t xml:space="preserve">9.9 Sensitivity analysis.</w:t>
      </w:r>
      <w:r>
        <w:rPr>
          <w:rFonts w:ascii="Times New Roman" w:cs="Times New Roman" w:eastAsia="Times New Roman" w:hAnsi="Times New Roman"/>
          <w:sz w:val="22"/>
          <w:szCs w:val="22"/>
        </w:rPr>
        <w:t xml:space="preserve"> The main tests (life-cycle change near peak versus early growth; MHW–MCS contrast of near-peak features with the size-adjusted model; SCC excess against zero) are repeated for all 432 combinations of peak definition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offshore distance of the peak cell (30, 50, 75, 100 km), size threshold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 20, 50, 100, 200), life-cycle threshold (10, 15, 30 d) and exceedance-duration cut-off (120, 200, 365 d), without the bootstrap and permutation steps. For each test and feature we report the median and range of the effect across settings, the fraction of settings whose median effect has the same sign as the overall median, the fraction with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&lt; 0.05 and the fraction that are both (Supplementary Table 7; Fig. 7b shows the last two; Supplementary Fig. 7; full results in Supplementary Data 1). A one-sided signed-rank test can be significant while the median difference has the opposite sign when the distribution of differences is skewed; this occurs only for MHWs in the 108 settings that include objects as small as 20 cells, where the member subgraph is too small for a meaningful strongly connected component. The 432 settings are nested subsets of one catalogue, not independent replications.</w:t>
      </w:r>
    </w:p>
    <w:p>
      <w:pPr>
        <w:spacing w:after="120" w:line="300"/>
        <w:jc w:val="both"/>
      </w:pPr>
      <w:r>
        <w:rPr>
          <w:rFonts w:ascii="Times New Roman" w:cs="Times New Roman" w:eastAsia="Times New Roman" w:hAnsi="Times New Roman"/>
          <w:b/>
          <w:bCs/>
          <w:sz w:val="22"/>
          <w:szCs w:val="22"/>
        </w:rPr>
        <w:t xml:space="preserve">9.10 Multiple comparisons and reporting.</w:t>
      </w:r>
      <w:r>
        <w:rPr>
          <w:rFonts w:ascii="Times New Roman" w:cs="Times New Roman" w:eastAsia="Times New Roman" w:hAnsi="Times New Roman"/>
          <w:sz w:val="22"/>
          <w:szCs w:val="22"/>
        </w:rPr>
        <w:t xml:space="preserve"> All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-values are two-sided unless the alternative is stated; FDR-adjusted values are denoted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FDR</w:t>
      </w:r>
      <w:r>
        <w:rPr>
          <w:rFonts w:ascii="Times New Roman" w:cs="Times New Roman" w:eastAsia="Times New Roman" w:hAnsi="Times New Roman"/>
          <w:sz w:val="22"/>
          <w:szCs w:val="22"/>
        </w:rPr>
        <w:t xml:space="preserve">. Exact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-values below 10</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are given in scientific notation; values that underflow double precision are reported as &lt; 10</w:t>
      </w:r>
      <w:r>
        <w:rPr>
          <w:rFonts w:ascii="Times New Roman" w:cs="Times New Roman" w:eastAsia="Times New Roman" w:hAnsi="Times New Roman"/>
          <w:sz w:val="22"/>
          <w:szCs w:val="22"/>
          <w:vertAlign w:val="superscript"/>
        </w:rPr>
        <w:t xml:space="preserve">−300</w:t>
      </w:r>
      <w:r>
        <w:rPr>
          <w:rFonts w:ascii="Times New Roman" w:cs="Times New Roman" w:eastAsia="Times New Roman" w:hAnsi="Times New Roman"/>
          <w:sz w:val="22"/>
          <w:szCs w:val="22"/>
        </w:rPr>
        <w:t xml:space="preserve">. Effect sizes (Cliff's δ, median differences with confidence intervals, fractions of objects) are reported alongside every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-value.</w:t>
      </w:r>
    </w:p>
    <w:p>
      <w:pPr>
        <w:pStyle w:val="Heading2"/>
        <w:spacing w:after="80" w:before="200"/>
      </w:pPr>
      <w:r>
        <w:rPr>
          <w:rFonts w:ascii="Times New Roman" w:cs="Times New Roman" w:eastAsia="Times New Roman" w:hAnsi="Times New Roman"/>
          <w:b/>
          <w:bCs/>
          <w:sz w:val="24"/>
          <w:szCs w:val="24"/>
        </w:rPr>
        <w:t xml:space="preserve">Supplementary Methods 10 — Kinematic and directional diagnostics</w:t>
      </w:r>
    </w:p>
    <w:p>
      <w:pPr>
        <w:spacing w:after="120" w:line="300"/>
        <w:jc w:val="both"/>
      </w:pPr>
      <w:r>
        <w:rPr>
          <w:rFonts w:ascii="Times New Roman" w:cs="Times New Roman" w:eastAsia="Times New Roman" w:hAnsi="Times New Roman"/>
          <w:sz w:val="22"/>
          <w:szCs w:val="22"/>
        </w:rPr>
        <w:t xml:space="preserve">The diagnostics below are computed from the same GLORYS12 velocity field as the network; the correlations between them and the network metrics therefore describe associations within one data set and are not independent evidence of a causal mechanism.</w:t>
      </w:r>
    </w:p>
    <w:p>
      <w:pPr>
        <w:spacing w:after="120" w:line="300"/>
        <w:jc w:val="both"/>
      </w:pPr>
      <w:r>
        <w:rPr>
          <w:rFonts w:ascii="Times New Roman" w:cs="Times New Roman" w:eastAsia="Times New Roman" w:hAnsi="Times New Roman"/>
          <w:b/>
          <w:bCs/>
          <w:sz w:val="22"/>
          <w:szCs w:val="22"/>
        </w:rPr>
        <w:t xml:space="preserve">Vorticity, speed and coherence.</w:t>
      </w:r>
      <w:r>
        <w:rPr>
          <w:rFonts w:ascii="Times New Roman" w:cs="Times New Roman" w:eastAsia="Times New Roman" w:hAnsi="Times New Roman"/>
          <w:sz w:val="22"/>
          <w:szCs w:val="22"/>
        </w:rPr>
        <w:t xml:space="preserve"> On the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peak day of each main-set object, the relative vorticity of the layer-mean flow, ζ = ∂</w:t>
      </w:r>
      <w:r>
        <w:rPr>
          <w:rFonts w:ascii="Times New Roman" w:cs="Times New Roman" w:eastAsia="Times New Roman" w:hAnsi="Times New Roman"/>
          <w:i/>
          <w:iCs/>
          <w:sz w:val="22"/>
          <w:szCs w:val="22"/>
        </w:rPr>
        <w:t xml:space="preserve">v̄</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x</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y</w:t>
      </w:r>
      <w:r>
        <w:rPr>
          <w:rFonts w:ascii="Times New Roman" w:cs="Times New Roman" w:eastAsia="Times New Roman" w:hAnsi="Times New Roman"/>
          <w:sz w:val="22"/>
          <w:szCs w:val="22"/>
        </w:rPr>
        <w:t xml:space="preserve">, is computed with centred differences (one-sided next to land) and normalized by the local Coriolis parameter </w:t>
      </w:r>
      <w:r>
        <w:rPr>
          <w:rFonts w:ascii="Times New Roman" w:cs="Times New Roman" w:eastAsia="Times New Roman" w:hAnsi="Times New Roman"/>
          <w:i/>
          <w:iCs/>
          <w:sz w:val="22"/>
          <w:szCs w:val="22"/>
        </w:rPr>
        <w:t xml:space="preserve">f</w:t>
      </w:r>
      <w:r>
        <w:rPr>
          <w:rFonts w:ascii="Times New Roman" w:cs="Times New Roman" w:eastAsia="Times New Roman" w:hAnsi="Times New Roman"/>
          <w:sz w:val="22"/>
          <w:szCs w:val="22"/>
        </w:rPr>
        <w:t xml:space="preserve"> = 2Ω sin φ. For the member cells (at least five cells with finite ζ) we compute the mean and median of ζ/</w:t>
      </w:r>
      <w:r>
        <w:rPr>
          <w:rFonts w:ascii="Times New Roman" w:cs="Times New Roman" w:eastAsia="Times New Roman" w:hAnsi="Times New Roman"/>
          <w:i/>
          <w:iCs/>
          <w:sz w:val="22"/>
          <w:szCs w:val="22"/>
        </w:rPr>
        <w:t xml:space="preserve">f</w:t>
      </w:r>
      <w:r>
        <w:rPr>
          <w:rFonts w:ascii="Times New Roman" w:cs="Times New Roman" w:eastAsia="Times New Roman" w:hAnsi="Times New Roman"/>
          <w:sz w:val="22"/>
          <w:szCs w:val="22"/>
        </w:rPr>
        <w:t xml:space="preserve">, the fraction of cyclonic cells (ζ &gt; 0), the mean |ζ/</w:t>
      </w:r>
      <w:r>
        <w:rPr>
          <w:rFonts w:ascii="Times New Roman" w:cs="Times New Roman" w:eastAsia="Times New Roman" w:hAnsi="Times New Roman"/>
          <w:i/>
          <w:iCs/>
          <w:sz w:val="22"/>
          <w:szCs w:val="22"/>
        </w:rPr>
        <w:t xml:space="preserve">f</w:t>
      </w:r>
      <w:r>
        <w:rPr>
          <w:rFonts w:ascii="Times New Roman" w:cs="Times New Roman" w:eastAsia="Times New Roman" w:hAnsi="Times New Roman"/>
          <w:sz w:val="22"/>
          <w:szCs w:val="22"/>
        </w:rPr>
        <w:t xml:space="preserve">|, the mean speed ⟨|</w:t>
      </w:r>
      <w:r>
        <w:rPr>
          <w:rFonts w:ascii="Times New Roman" w:cs="Times New Roman" w:eastAsia="Times New Roman" w:hAnsi="Times New Roman"/>
          <w:b/>
          <w:bCs/>
          <w:sz w:val="22"/>
          <w:szCs w:val="22"/>
        </w:rPr>
        <w:t xml:space="preserve">ū</w:t>
      </w:r>
      <w:r>
        <w:rPr>
          <w:rFonts w:ascii="Times New Roman" w:cs="Times New Roman" w:eastAsia="Times New Roman" w:hAnsi="Times New Roman"/>
          <w:sz w:val="22"/>
          <w:szCs w:val="22"/>
        </w:rPr>
        <w:t xml:space="preserve">|⟩ and the flow coherence</w:t>
      </w:r>
    </w:p>
    <w:p>
      <w:pPr>
        <w:tabs>
          <w:tab w:val="center" w:pos="5040"/>
          <w:tab w:val="right" w:pos="10080"/>
        </w:tabs>
        <w:spacing w:after="120" w:before="120"/>
      </w:pPr>
      <w:r>
        <w:rPr>
          <w:rFonts w:ascii="Times New Roman" w:cs="Times New Roman" w:eastAsia="Times New Roman" w:hAnsi="Times New Roman"/>
          <w:sz w:val="22"/>
          <w:szCs w:val="22"/>
        </w:rPr>
        <w:t xml:space="preserve">	</w:t>
      </w:r>
      <w:r>
        <w:rPr>
          <w:rFonts w:ascii="Times New Roman" w:cs="Times New Roman" w:eastAsia="Times New Roman" w:hAnsi="Times New Roman"/>
          <w:i w:val="false"/>
          <w:iCs w:val="false"/>
          <w:sz w:val="22"/>
          <w:szCs w:val="22"/>
        </w:rPr>
        <w:t xml:space="preserve">c = |⟨ū⟩| / ⟨|ū|⟩,</w:t>
      </w:r>
      <w:r>
        <w:rPr>
          <w:rFonts w:ascii="Times New Roman" w:cs="Times New Roman" w:eastAsia="Times New Roman" w:hAnsi="Times New Roman"/>
          <w:sz w:val="22"/>
          <w:szCs w:val="22"/>
        </w:rPr>
        <w:t xml:space="preserve">	(S10)</w:t>
      </w:r>
    </w:p>
    <w:p>
      <w:pPr>
        <w:spacing w:after="120" w:line="300"/>
        <w:jc w:val="both"/>
      </w:pPr>
      <w:r>
        <w:rPr>
          <w:rFonts w:ascii="Times New Roman" w:cs="Times New Roman" w:eastAsia="Times New Roman" w:hAnsi="Times New Roman"/>
          <w:sz w:val="22"/>
          <w:szCs w:val="22"/>
        </w:rPr>
        <w:t xml:space="preserve">the magnitude of the mean velocity vector divided by the mean speed, which is 1 for a parallel flow through the object and tends to 0 for a purely rotational or disordered flow. Warm–cold contrasts of these diagnostics and their Spearman correlations with the near-peak network features are given in Supplementary Table 9 and Fig. 8.</w:t>
      </w:r>
    </w:p>
    <w:p>
      <w:pPr>
        <w:spacing w:after="120" w:line="300"/>
        <w:jc w:val="both"/>
      </w:pPr>
      <w:r>
        <w:rPr>
          <w:rFonts w:ascii="Times New Roman" w:cs="Times New Roman" w:eastAsia="Times New Roman" w:hAnsi="Times New Roman"/>
          <w:b/>
          <w:bCs/>
          <w:sz w:val="22"/>
          <w:szCs w:val="22"/>
        </w:rPr>
        <w:t xml:space="preserve">Backbone direction.</w:t>
      </w:r>
      <w:r>
        <w:rPr>
          <w:rFonts w:ascii="Times New Roman" w:cs="Times New Roman" w:eastAsia="Times New Roman" w:hAnsi="Times New Roman"/>
          <w:sz w:val="22"/>
          <w:szCs w:val="22"/>
        </w:rPr>
        <w:t xml:space="preserve"> From the gridded backbone accumulators (Supplementary Methods 7) the local direction vector of the persistent transport at a face is (</w:t>
      </w:r>
      <w:r>
        <w:rPr>
          <w:rFonts w:ascii="Times New Roman" w:cs="Times New Roman" w:eastAsia="Times New Roman" w:hAnsi="Times New Roman"/>
          <w:i/>
          <w:iCs/>
          <w:sz w:val="22"/>
          <w:szCs w:val="22"/>
        </w:rPr>
        <w:t xml:space="preserve">u</w:t>
      </w:r>
      <w:r>
        <w:rPr>
          <w:rFonts w:ascii="Times New Roman" w:cs="Times New Roman" w:eastAsia="Times New Roman" w:hAnsi="Times New Roman"/>
          <w:i/>
          <w:iCs/>
          <w:sz w:val="22"/>
          <w:szCs w:val="22"/>
          <w:vertAlign w:val="subscript"/>
        </w:rPr>
        <w:t xml:space="preserve">bb</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v</w:t>
      </w:r>
      <w:r>
        <w:rPr>
          <w:rFonts w:ascii="Times New Roman" w:cs="Times New Roman" w:eastAsia="Times New Roman" w:hAnsi="Times New Roman"/>
          <w:i/>
          <w:iCs/>
          <w:sz w:val="22"/>
          <w:szCs w:val="22"/>
          <w:vertAlign w:val="subscript"/>
        </w:rPr>
        <w:t xml:space="preserve">bb</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W</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S</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where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E</w:t>
      </w:r>
      <w:r>
        <w:rPr>
          <w:rFonts w:ascii="Times New Roman" w:cs="Times New Roman" w:eastAsia="Times New Roman" w:hAnsi="Times New Roman"/>
          <w:sz w:val="22"/>
          <w:szCs w:val="22"/>
        </w:rPr>
        <w:t xml:space="preserve">, … are the numbers of backbone edge-days crossing the face eastward, … and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their sum; the resultant length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u</w:t>
      </w:r>
      <w:r>
        <w:rPr>
          <w:rFonts w:ascii="Times New Roman" w:cs="Times New Roman" w:eastAsia="Times New Roman" w:hAnsi="Times New Roman"/>
          <w:i/>
          <w:iCs/>
          <w:sz w:val="22"/>
          <w:szCs w:val="22"/>
          <w:vertAlign w:val="subscript"/>
        </w:rPr>
        <w:t xml:space="preserve">bb</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v</w:t>
      </w:r>
      <w:r>
        <w:rPr>
          <w:rFonts w:ascii="Times New Roman" w:cs="Times New Roman" w:eastAsia="Times New Roman" w:hAnsi="Times New Roman"/>
          <w:i/>
          <w:iCs/>
          <w:sz w:val="22"/>
          <w:szCs w:val="22"/>
          <w:vertAlign w:val="subscript"/>
        </w:rPr>
        <w:t xml:space="preserve">bb</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vertAlign w:val="superscript"/>
        </w:rPr>
        <w:t xml:space="preserve">1/2</w:t>
      </w:r>
      <w:r>
        <w:rPr>
          <w:rFonts w:ascii="Times New Roman" w:cs="Times New Roman" w:eastAsia="Times New Roman" w:hAnsi="Times New Roman"/>
          <w:sz w:val="22"/>
          <w:szCs w:val="22"/>
        </w:rPr>
        <w:t xml:space="preserve"> is 1 when every backbone edge at that face has the same direction. Supplementary Table 11 gives the pooled fractions of backbone edge-days by direction and the mean of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over faces with at least 10 backbone edge-days (0.50 for MHWs and 0.41 for MCSs, quoted in the main text).</w:t>
      </w:r>
    </w:p>
    <w:p>
      <w:pPr>
        <w:pStyle w:val="Heading2"/>
        <w:spacing w:after="80" w:before="200"/>
      </w:pPr>
      <w:r>
        <w:rPr>
          <w:rFonts w:ascii="Times New Roman" w:cs="Times New Roman" w:eastAsia="Times New Roman" w:hAnsi="Times New Roman"/>
          <w:b/>
          <w:bCs/>
          <w:sz w:val="24"/>
          <w:szCs w:val="24"/>
        </w:rPr>
        <w:t xml:space="preserve">Supplementary Methods 11 — Software, reproducibility and validation</w:t>
      </w:r>
    </w:p>
    <w:p>
      <w:pPr>
        <w:spacing w:after="120" w:line="300"/>
        <w:jc w:val="both"/>
      </w:pPr>
      <w:r>
        <w:rPr>
          <w:rFonts w:ascii="Times New Roman" w:cs="Times New Roman" w:eastAsia="Times New Roman" w:hAnsi="Times New Roman"/>
          <w:sz w:val="22"/>
          <w:szCs w:val="22"/>
        </w:rPr>
        <w:t xml:space="preserve">The pipeline is written in Python 3.11 (NumPy, SciPy</w:t>
      </w:r>
      <w:r>
        <w:rPr>
          <w:rFonts w:ascii="Times New Roman" w:cs="Times New Roman" w:eastAsia="Times New Roman" w:hAnsi="Times New Roman"/>
          <w:sz w:val="22"/>
          <w:szCs w:val="22"/>
          <w:vertAlign w:val="superscript"/>
        </w:rPr>
        <w:t xml:space="preserve">13</w:t>
      </w:r>
      <w:r>
        <w:rPr>
          <w:rFonts w:ascii="Times New Roman" w:cs="Times New Roman" w:eastAsia="Times New Roman" w:hAnsi="Times New Roman"/>
          <w:sz w:val="22"/>
          <w:szCs w:val="22"/>
        </w:rPr>
        <w:t xml:space="preserve">, pandas, h5py, netCDF4, python-igraph</w:t>
      </w:r>
      <w:r>
        <w:rPr>
          <w:rFonts w:ascii="Times New Roman" w:cs="Times New Roman" w:eastAsia="Times New Roman" w:hAnsi="Times New Roman"/>
          <w:sz w:val="22"/>
          <w:szCs w:val="22"/>
          <w:vertAlign w:val="superscript"/>
        </w:rPr>
        <w:t xml:space="preserve">17</w:t>
      </w:r>
      <w:r>
        <w:rPr>
          <w:rFonts w:ascii="Times New Roman" w:cs="Times New Roman" w:eastAsia="Times New Roman" w:hAnsi="Times New Roman"/>
          <w:sz w:val="22"/>
          <w:szCs w:val="22"/>
        </w:rPr>
        <w:t xml:space="preserve"> for graph algorithms, statsmodels</w:t>
      </w:r>
      <w:r>
        <w:rPr>
          <w:rFonts w:ascii="Times New Roman" w:cs="Times New Roman" w:eastAsia="Times New Roman" w:hAnsi="Times New Roman"/>
          <w:sz w:val="22"/>
          <w:szCs w:val="22"/>
          <w:vertAlign w:val="superscript"/>
        </w:rPr>
        <w:t xml:space="preserve">16</w:t>
      </w:r>
      <w:r>
        <w:rPr>
          <w:rFonts w:ascii="Times New Roman" w:cs="Times New Roman" w:eastAsia="Times New Roman" w:hAnsi="Times New Roman"/>
          <w:sz w:val="22"/>
          <w:szCs w:val="22"/>
        </w:rPr>
        <w:t xml:space="preserve"> for the regression models, Matplotlib for figures); the layer cache is produced in MATLAB or Python. The scripts are, in order, </w:t>
      </w:r>
      <w:r>
        <w:rPr>
          <w:rFonts w:ascii="Consolas" w:cs="Consolas" w:eastAsia="Consolas" w:hAnsi="Consolas"/>
          <w:sz w:val="20"/>
          <w:szCs w:val="20"/>
        </w:rPr>
        <w:t xml:space="preserve">f02_catalog.py</w:t>
      </w:r>
      <w:r>
        <w:rPr>
          <w:rFonts w:ascii="Times New Roman" w:cs="Times New Roman" w:eastAsia="Times New Roman" w:hAnsi="Times New Roman"/>
          <w:sz w:val="22"/>
          <w:szCs w:val="22"/>
        </w:rPr>
        <w:t xml:space="preserve"> (catalogue and filters), </w:t>
      </w:r>
      <w:r>
        <w:rPr>
          <w:rFonts w:ascii="Consolas" w:cs="Consolas" w:eastAsia="Consolas" w:hAnsi="Consolas"/>
          <w:sz w:val="20"/>
          <w:szCs w:val="20"/>
        </w:rPr>
        <w:t xml:space="preserve">f03_run_networks.py</w:t>
      </w:r>
      <w:r>
        <w:rPr>
          <w:rFonts w:ascii="Times New Roman" w:cs="Times New Roman" w:eastAsia="Times New Roman" w:hAnsi="Times New Roman"/>
          <w:sz w:val="22"/>
          <w:szCs w:val="22"/>
        </w:rPr>
        <w:t xml:space="preserve"> (daily graphs, metrics, null model and accumulators for the 1,633 objects of the processing set; about 10 min on two cores), </w:t>
      </w:r>
      <w:r>
        <w:rPr>
          <w:rFonts w:ascii="Consolas" w:cs="Consolas" w:eastAsia="Consolas" w:hAnsi="Consolas"/>
          <w:sz w:val="20"/>
          <w:szCs w:val="20"/>
        </w:rPr>
        <w:t xml:space="preserve">f04_stats.py</w:t>
      </w:r>
      <w:r>
        <w:rPr>
          <w:rFonts w:ascii="Times New Roman" w:cs="Times New Roman" w:eastAsia="Times New Roman" w:hAnsi="Times New Roman"/>
          <w:sz w:val="22"/>
          <w:szCs w:val="22"/>
        </w:rPr>
        <w:t xml:space="preserve"> (features, tests, composites and the 432-setting sensitivity grid; about 20 min), </w:t>
      </w:r>
      <w:r>
        <w:rPr>
          <w:rFonts w:ascii="Consolas" w:cs="Consolas" w:eastAsia="Consolas" w:hAnsi="Consolas"/>
          <w:sz w:val="20"/>
          <w:szCs w:val="20"/>
        </w:rPr>
        <w:t xml:space="preserve">f06_tables.py</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f07_vorticity.py</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f08_si_data.py</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f12_background_test.py</w:t>
      </w:r>
      <w:r>
        <w:rPr>
          <w:rFonts w:ascii="Times New Roman" w:cs="Times New Roman" w:eastAsia="Times New Roman" w:hAnsi="Times New Roman"/>
          <w:sz w:val="22"/>
          <w:szCs w:val="22"/>
        </w:rPr>
        <w:t xml:space="preserve">/</w:t>
      </w:r>
      <w:r>
        <w:rPr>
          <w:rFonts w:ascii="Consolas" w:cs="Consolas" w:eastAsia="Consolas" w:hAnsi="Consolas"/>
          <w:sz w:val="20"/>
          <w:szCs w:val="20"/>
        </w:rPr>
        <w:t xml:space="preserve">f13_background_fig.py</w:t>
      </w:r>
      <w:r>
        <w:rPr>
          <w:rFonts w:ascii="Times New Roman" w:cs="Times New Roman" w:eastAsia="Times New Roman" w:hAnsi="Times New Roman"/>
          <w:sz w:val="22"/>
          <w:szCs w:val="22"/>
        </w:rPr>
        <w:t xml:space="preserve"> (background perturbation), </w:t>
      </w:r>
      <w:r>
        <w:rPr>
          <w:rFonts w:ascii="Consolas" w:cs="Consolas" w:eastAsia="Consolas" w:hAnsi="Consolas"/>
          <w:sz w:val="20"/>
          <w:szCs w:val="20"/>
        </w:rPr>
        <w:t xml:space="preserve">f16_geometry_faces.py</w:t>
      </w:r>
      <w:r>
        <w:rPr>
          <w:rFonts w:ascii="Times New Roman" w:cs="Times New Roman" w:eastAsia="Times New Roman" w:hAnsi="Times New Roman"/>
          <w:sz w:val="22"/>
          <w:szCs w:val="22"/>
        </w:rPr>
        <w:t xml:space="preserve"> (boundary-face counts from the object masks), </w:t>
      </w:r>
      <w:r>
        <w:rPr>
          <w:rFonts w:ascii="Consolas" w:cs="Consolas" w:eastAsia="Consolas" w:hAnsi="Consolas"/>
          <w:sz w:val="20"/>
          <w:szCs w:val="20"/>
        </w:rPr>
        <w:t xml:space="preserve">f17_geometry_ratio.py</w:t>
      </w:r>
      <w:r>
        <w:rPr>
          <w:rFonts w:ascii="Times New Roman" w:cs="Times New Roman" w:eastAsia="Times New Roman" w:hAnsi="Times New Roman"/>
          <w:sz w:val="22"/>
          <w:szCs w:val="22"/>
        </w:rPr>
        <w:t xml:space="preserve"> (per-face transport ratios, their statistics and the synthetic test), </w:t>
      </w:r>
      <w:r>
        <w:rPr>
          <w:rFonts w:ascii="Consolas" w:cs="Consolas" w:eastAsia="Consolas" w:hAnsi="Consolas"/>
          <w:sz w:val="20"/>
          <w:szCs w:val="20"/>
        </w:rPr>
        <w:t xml:space="preserve">f14_review_checks.py</w:t>
      </w:r>
      <w:r>
        <w:rPr>
          <w:rFonts w:ascii="Times New Roman" w:cs="Times New Roman" w:eastAsia="Times New Roman" w:hAnsi="Times New Roman"/>
          <w:sz w:val="22"/>
          <w:szCs w:val="22"/>
        </w:rPr>
        <w:t xml:space="preserve"> (event-level frequencies, closure diagnostics, scaling intervals, null Monte Carlo error), </w:t>
      </w:r>
      <w:r>
        <w:rPr>
          <w:rFonts w:ascii="Consolas" w:cs="Consolas" w:eastAsia="Consolas" w:hAnsi="Consolas"/>
          <w:sz w:val="20"/>
          <w:szCs w:val="20"/>
        </w:rPr>
        <w:t xml:space="preserve">f18_grl_checks.py</w:t>
      </w:r>
      <w:r>
        <w:rPr>
          <w:rFonts w:ascii="Times New Roman" w:cs="Times New Roman" w:eastAsia="Times New Roman" w:hAnsi="Times New Roman"/>
          <w:sz w:val="22"/>
          <w:szCs w:val="22"/>
        </w:rPr>
        <w:t xml:space="preserve"> (checks on the four events of the companion Letter), and then the figure and table scripts </w:t>
      </w:r>
      <w:r>
        <w:rPr>
          <w:rFonts w:ascii="Consolas" w:cs="Consolas" w:eastAsia="Consolas" w:hAnsi="Consolas"/>
          <w:sz w:val="20"/>
          <w:szCs w:val="20"/>
        </w:rPr>
        <w:t xml:space="preserve">f05_figures.py</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f08_si_figures.py</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f15_review_figs.py</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f09_si_tables.py</w:t>
      </w:r>
      <w:r>
        <w:rPr>
          <w:rFonts w:ascii="Times New Roman" w:cs="Times New Roman" w:eastAsia="Times New Roman" w:hAnsi="Times New Roman"/>
          <w:sz w:val="22"/>
          <w:szCs w:val="22"/>
        </w:rPr>
        <w:t xml:space="preserve"> and </w:t>
      </w:r>
      <w:r>
        <w:rPr>
          <w:rFonts w:ascii="Consolas" w:cs="Consolas" w:eastAsia="Consolas" w:hAnsi="Consolas"/>
          <w:sz w:val="20"/>
          <w:szCs w:val="20"/>
        </w:rPr>
        <w:t xml:space="preserve">f19_grl_si_tables.py</w:t>
      </w:r>
      <w:r>
        <w:rPr>
          <w:rFonts w:ascii="Times New Roman" w:cs="Times New Roman" w:eastAsia="Times New Roman" w:hAnsi="Times New Roman"/>
          <w:sz w:val="22"/>
          <w:szCs w:val="22"/>
        </w:rPr>
        <w:t xml:space="preserve">, which read the outputs of the preceding steps; the four-event networks of the companion Letter are rebuilt with </w:t>
      </w:r>
      <w:r>
        <w:rPr>
          <w:rFonts w:ascii="Consolas" w:cs="Consolas" w:eastAsia="Consolas" w:hAnsi="Consolas"/>
          <w:sz w:val="20"/>
          <w:szCs w:val="20"/>
        </w:rPr>
        <w:t xml:space="preserve">f11_grl_data.py</w:t>
      </w:r>
      <w:r>
        <w:rPr>
          <w:rFonts w:ascii="Times New Roman" w:cs="Times New Roman" w:eastAsia="Times New Roman" w:hAnsi="Times New Roman"/>
          <w:sz w:val="22"/>
          <w:szCs w:val="22"/>
        </w:rPr>
        <w:t xml:space="preserve"> before </w:t>
      </w:r>
      <w:r>
        <w:rPr>
          <w:rFonts w:ascii="Consolas" w:cs="Consolas" w:eastAsia="Consolas" w:hAnsi="Consolas"/>
          <w:sz w:val="20"/>
          <w:szCs w:val="20"/>
        </w:rPr>
        <w:t xml:space="preserve">f18</w:t>
      </w:r>
      <w:r>
        <w:rPr>
          <w:rFonts w:ascii="Times New Roman" w:cs="Times New Roman" w:eastAsia="Times New Roman" w:hAnsi="Times New Roman"/>
          <w:sz w:val="22"/>
          <w:szCs w:val="22"/>
        </w:rPr>
        <w:t xml:space="preserve">. The two </w:t>
      </w:r>
      <w:r>
        <w:rPr>
          <w:rFonts w:ascii="Consolas" w:cs="Consolas" w:eastAsia="Consolas" w:hAnsi="Consolas"/>
          <w:sz w:val="20"/>
          <w:szCs w:val="20"/>
        </w:rPr>
        <w:t xml:space="preserve">f03</w:t>
      </w:r>
      <w:r>
        <w:rPr>
          <w:rFonts w:ascii="Times New Roman" w:cs="Times New Roman" w:eastAsia="Times New Roman" w:hAnsi="Times New Roman"/>
          <w:sz w:val="22"/>
          <w:szCs w:val="22"/>
        </w:rPr>
        <w:t xml:space="preserve"> workers are run in parallel and joined (</w:t>
      </w:r>
      <w:r>
        <w:rPr>
          <w:rFonts w:ascii="Consolas" w:cs="Consolas" w:eastAsia="Consolas" w:hAnsi="Consolas"/>
          <w:sz w:val="20"/>
          <w:szCs w:val="20"/>
        </w:rPr>
        <w:t xml:space="preserve">wait</w:t>
      </w:r>
      <w:r>
        <w:rPr>
          <w:rFonts w:ascii="Times New Roman" w:cs="Times New Roman" w:eastAsia="Times New Roman" w:hAnsi="Times New Roman"/>
          <w:sz w:val="22"/>
          <w:szCs w:val="22"/>
        </w:rPr>
        <w:t xml:space="preserve">) before </w:t>
      </w:r>
      <w:r>
        <w:rPr>
          <w:rFonts w:ascii="Consolas" w:cs="Consolas" w:eastAsia="Consolas" w:hAnsi="Consolas"/>
          <w:sz w:val="20"/>
          <w:szCs w:val="20"/>
        </w:rPr>
        <w:t xml:space="preserve">f04</w:t>
      </w:r>
      <w:r>
        <w:rPr>
          <w:rFonts w:ascii="Times New Roman" w:cs="Times New Roman" w:eastAsia="Times New Roman" w:hAnsi="Times New Roman"/>
          <w:sz w:val="22"/>
          <w:szCs w:val="22"/>
        </w:rPr>
        <w:t xml:space="preserve">; their per-object run logs are deposited with the outputs. The steps from </w:t>
      </w:r>
      <w:r>
        <w:rPr>
          <w:rFonts w:ascii="Consolas" w:cs="Consolas" w:eastAsia="Consolas" w:hAnsi="Consolas"/>
          <w:sz w:val="20"/>
          <w:szCs w:val="20"/>
        </w:rPr>
        <w:t xml:space="preserve">f16</w:t>
      </w:r>
      <w:r>
        <w:rPr>
          <w:rFonts w:ascii="Times New Roman" w:cs="Times New Roman" w:eastAsia="Times New Roman" w:hAnsi="Times New Roman"/>
          <w:sz w:val="22"/>
          <w:szCs w:val="22"/>
        </w:rPr>
        <w:t xml:space="preserve"> onward (</w:t>
      </w:r>
      <w:r>
        <w:rPr>
          <w:rFonts w:ascii="Consolas" w:cs="Consolas" w:eastAsia="Consolas" w:hAnsi="Consolas"/>
          <w:sz w:val="20"/>
          <w:szCs w:val="20"/>
        </w:rPr>
        <w:t xml:space="preserve">f16</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f17</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f14</w:t>
      </w:r>
      <w:r>
        <w:rPr>
          <w:rFonts w:ascii="Times New Roman" w:cs="Times New Roman" w:eastAsia="Times New Roman" w:hAnsi="Times New Roman"/>
          <w:sz w:val="22"/>
          <w:szCs w:val="22"/>
        </w:rPr>
        <w:t xml:space="preserve">, </w:t>
      </w:r>
      <w:r>
        <w:rPr>
          <w:rFonts w:ascii="Consolas" w:cs="Consolas" w:eastAsia="Consolas" w:hAnsi="Consolas"/>
          <w:sz w:val="20"/>
          <w:szCs w:val="20"/>
        </w:rPr>
        <w:t xml:space="preserve">f18</w:t>
      </w:r>
      <w:r>
        <w:rPr>
          <w:rFonts w:ascii="Times New Roman" w:cs="Times New Roman" w:eastAsia="Times New Roman" w:hAnsi="Times New Roman"/>
          <w:sz w:val="22"/>
          <w:szCs w:val="22"/>
        </w:rPr>
        <w:t xml:space="preserve">, then the figure and table scripts) were re-run in this order from the stored outputs of </w:t>
      </w:r>
      <w:r>
        <w:rPr>
          <w:rFonts w:ascii="Consolas" w:cs="Consolas" w:eastAsia="Consolas" w:hAnsi="Consolas"/>
          <w:sz w:val="20"/>
          <w:szCs w:val="20"/>
        </w:rPr>
        <w:t xml:space="preserve">f02</w:t>
      </w:r>
      <w:r>
        <w:rPr>
          <w:rFonts w:ascii="Times New Roman" w:cs="Times New Roman" w:eastAsia="Times New Roman" w:hAnsi="Times New Roman"/>
          <w:sz w:val="22"/>
          <w:szCs w:val="22"/>
        </w:rPr>
        <w:t xml:space="preserve">–</w:t>
      </w:r>
      <w:r>
        <w:rPr>
          <w:rFonts w:ascii="Consolas" w:cs="Consolas" w:eastAsia="Consolas" w:hAnsi="Consolas"/>
          <w:sz w:val="20"/>
          <w:szCs w:val="20"/>
        </w:rPr>
        <w:t xml:space="preserve">f04</w:t>
      </w:r>
      <w:r>
        <w:rPr>
          <w:rFonts w:ascii="Times New Roman" w:cs="Times New Roman" w:eastAsia="Times New Roman" w:hAnsi="Times New Roman"/>
          <w:sz w:val="22"/>
          <w:szCs w:val="22"/>
        </w:rPr>
        <w:t xml:space="preserve"> on 13–14 October 2026; a full run from the layer cache was not repeated for this version. All random procedures (null model, bootstrap, permutation) use a fixed seed (20260923). Per-object daily metrics (1,633 files), per-object features, all test results and the source data of every figure are deposited with the code, an environment file and the run order (Code availability); the figure files are vector PDFs with embedded fonts and 600 dpi PNGs, provided separately from the manuscript.</w:t>
      </w:r>
    </w:p>
    <w:p>
      <w:r>
        <w:br w:type="page"/>
      </w:r>
    </w:p>
    <w:p>
      <w:pPr>
        <w:pStyle w:val="Heading1"/>
        <w:spacing w:after="120" w:before="240"/>
      </w:pPr>
      <w:r>
        <w:rPr>
          <w:rFonts w:ascii="Times New Roman" w:cs="Times New Roman" w:eastAsia="Times New Roman" w:hAnsi="Times New Roman"/>
          <w:b/>
          <w:bCs/>
          <w:sz w:val="26"/>
          <w:szCs w:val="26"/>
        </w:rPr>
        <w:t xml:space="preserve">Supplementary Notes</w:t>
      </w:r>
    </w:p>
    <w:p>
      <w:pPr>
        <w:pStyle w:val="Heading2"/>
        <w:spacing w:after="80" w:before="200"/>
      </w:pPr>
      <w:r>
        <w:rPr>
          <w:rFonts w:ascii="Times New Roman" w:cs="Times New Roman" w:eastAsia="Times New Roman" w:hAnsi="Times New Roman"/>
          <w:b/>
          <w:bCs/>
          <w:sz w:val="24"/>
          <w:szCs w:val="24"/>
        </w:rPr>
        <w:t xml:space="preserve">Supplementary Note 1 — Budget closure and its limitations</w:t>
      </w:r>
    </w:p>
    <w:p>
      <w:pPr>
        <w:spacing w:after="120" w:line="300"/>
        <w:jc w:val="both"/>
      </w:pPr>
      <w:r>
        <w:rPr>
          <w:rFonts w:ascii="Times New Roman" w:cs="Times New Roman" w:eastAsia="Times New Roman" w:hAnsi="Times New Roman"/>
          <w:sz w:val="22"/>
          <w:szCs w:val="22"/>
        </w:rPr>
        <w:t xml:space="preserve">The network represents the four transport terms of (S6) exactly and leaves the diagnostic residual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outside.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collects (Supplementary Methods 5) the budget of the background field under the actual flow,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bg</w:t>
      </w:r>
      <w:r>
        <w:rPr>
          <w:rFonts w:ascii="Times New Roman" w:cs="Times New Roman" w:eastAsia="Times New Roman" w:hAnsi="Times New Roman"/>
          <w:sz w:val="22"/>
          <w:szCs w:val="22"/>
        </w:rPr>
        <w:t xml:space="preserve">, including the advection of the background gradient; the horizontal divergence of the shear–stratification covariance within the layer,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cov</w:t>
      </w:r>
      <w:r>
        <w:rPr>
          <w:rFonts w:ascii="Times New Roman" w:cs="Times New Roman" w:eastAsia="Times New Roman" w:hAnsi="Times New Roman"/>
          <w:sz w:val="22"/>
          <w:szCs w:val="22"/>
        </w:rPr>
        <w:t xml:space="preserve">, which is a transport across faces that the layer-mean product </w:t>
      </w:r>
      <w:r>
        <w:rPr>
          <w:rFonts w:ascii="Times New Roman" w:cs="Times New Roman" w:eastAsia="Times New Roman" w:hAnsi="Times New Roman"/>
          <w:b/>
          <w:bCs/>
          <w:sz w:val="22"/>
          <w:szCs w:val="22"/>
        </w:rPr>
        <w:t xml:space="preserve">ū</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does not resolve; and mixing and assimilation increments,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mix</w:t>
      </w:r>
      <w:r>
        <w:rPr>
          <w:rFonts w:ascii="Times New Roman" w:cs="Times New Roman" w:eastAsia="Times New Roman" w:hAnsi="Times New Roman"/>
          <w:sz w:val="22"/>
          <w:szCs w:val="22"/>
        </w:rPr>
        <w:t xml:space="preserve">. These terms were not computed separately, so their relative contributions are not known; the level-wise comparison that would isolate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i/>
          <w:iCs/>
          <w:sz w:val="22"/>
          <w:szCs w:val="22"/>
          <w:vertAlign w:val="subscript"/>
        </w:rPr>
        <w:t xml:space="preserve">cov</w:t>
      </w:r>
      <w:r>
        <w:rPr>
          <w:rFonts w:ascii="Times New Roman" w:cs="Times New Roman" w:eastAsia="Times New Roman" w:hAnsi="Times New Roman"/>
          <w:sz w:val="22"/>
          <w:szCs w:val="22"/>
        </w:rPr>
        <w:t xml:space="preserve"> is left for future work.</w:t>
      </w:r>
    </w:p>
    <w:p>
      <w:pPr>
        <w:spacing w:after="120" w:line="300"/>
        <w:jc w:val="both"/>
      </w:pPr>
      <w:r>
        <w:rPr>
          <w:rFonts w:ascii="Times New Roman" w:cs="Times New Roman" w:eastAsia="Times New Roman" w:hAnsi="Times New Roman"/>
          <w:sz w:val="22"/>
          <w:szCs w:val="22"/>
        </w:rPr>
        <w:t xml:space="preserve">Supplementary Fig. 8 and Supplementary Table 14 quantify the closure for the main set. The comparison is between the mean net convergence </w:t>
      </w:r>
      <w:r>
        <w:rPr>
          <w:rFonts w:ascii="Times New Roman" w:cs="Times New Roman" w:eastAsia="Times New Roman" w:hAnsi="Times New Roman"/>
          <w:i/>
          <w:iCs/>
          <w:sz w:val="22"/>
          <w:szCs w:val="22"/>
        </w:rPr>
        <w:t xml:space="preserve">C</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of the member cells of the day and their mean anomaly tendency ⟨d</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it is not a budget of the heat content of the moving object, which would include the cells joining and leaving the object. The two are correlated across the life cycle with a median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of 0.73 (MHWs) and 0.74 (MCSs); 81–82% of objects have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&gt; 0.5 and 56–58% have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&gt; 0.7, with a moderately lower closure in summer (median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0.67 and 0.62 in JJA versus 0.75 and 0.81 in DJF), when the stratification and therefore the unresolved covariance transport are strongest (Supplementary Fig. 8a). Without any fitted coefficient the network reproduces a median 34% (MHWs) and 38% (MCSs) of the variance of the mean tendency, 1 − Var(</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)/Var(d</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(Supplementary Fig. 8b, Supplementary Table 1); the median bias of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is +0.008 and +0.020 K day</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its root-mean-square value 0.097 and 0.095 K day</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against tendency standard deviations of 0.106 and 0.111 K day</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and the regression slope of the tendency on </w:t>
      </w:r>
      <w:r>
        <w:rPr>
          <w:rFonts w:ascii="Times New Roman" w:cs="Times New Roman" w:eastAsia="Times New Roman" w:hAnsi="Times New Roman"/>
          <w:i/>
          <w:iCs/>
          <w:sz w:val="22"/>
          <w:szCs w:val="22"/>
        </w:rPr>
        <w:t xml:space="preserve">C</w:t>
      </w:r>
      <w:r>
        <w:rPr>
          <w:rFonts w:ascii="Times New Roman" w:cs="Times New Roman" w:eastAsia="Times New Roman" w:hAnsi="Times New Roman"/>
          <w:sz w:val="22"/>
          <w:szCs w:val="22"/>
        </w:rPr>
        <w:t xml:space="preserve"> is 0.65 and 0.70 (Supplementary Table 14). The distribution of the variance fraction is broad and a minority of small objects have negative values (a large residual of the opposite sign), which is why the correlation rather than the variance fraction is used as the closure diagnostic; the correlation coefficient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and the variance fraction are reported separately and should not be interchanged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is the variance explained by a fitted linear relation, which is not what the network provides). Closure does not depend on event size (Supplementary Fig. 8d).</w:t>
      </w:r>
    </w:p>
    <w:p>
      <w:pPr>
        <w:spacing w:after="120" w:line="300"/>
        <w:jc w:val="both"/>
      </w:pPr>
      <w:r>
        <w:rPr>
          <w:rFonts w:ascii="Times New Roman" w:cs="Times New Roman" w:eastAsia="Times New Roman" w:hAnsi="Times New Roman"/>
          <w:sz w:val="22"/>
          <w:szCs w:val="22"/>
        </w:rPr>
        <w:t xml:space="preserve">The warm–cold asymmetry is not a closure artifact in the following sense. The near-peak SCC excess is uncorrelated with the closure correlation within each phenomenon (Spearman ρ = −0.04,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0.49 for MHWs and −0.09,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0.11 for MCSs; Supplementary Fig. 8c), and among the well-closed objects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&gt; 0.7) the median SCC excess is −0.068 for MHWs and +0.031 for MCSs (Mann–Whitney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8 × 10</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the same contrast as in the full set. No significant monotonic association between closure and topology is detected across objects; their independence was not tested, and the result does not show that a graph including the unresolved transport would have the same topology. The sensitivity of the topology to the one background perturbation that was tested is described in Supplementary Methods 5 (Supplementary Fig. 10).</w:t>
      </w:r>
    </w:p>
    <w:p>
      <w:pPr>
        <w:pStyle w:val="Heading2"/>
        <w:spacing w:after="80" w:before="200"/>
      </w:pPr>
      <w:r>
        <w:rPr>
          <w:rFonts w:ascii="Times New Roman" w:cs="Times New Roman" w:eastAsia="Times New Roman" w:hAnsi="Times New Roman"/>
          <w:b/>
          <w:bCs/>
          <w:sz w:val="24"/>
          <w:szCs w:val="24"/>
        </w:rPr>
        <w:t xml:space="preserve">Supplementary Note 2 — The class of the edge-weight distribution</w:t>
      </w:r>
    </w:p>
    <w:p>
      <w:pPr>
        <w:spacing w:after="120" w:line="300"/>
        <w:jc w:val="both"/>
      </w:pPr>
      <w:r>
        <w:rPr>
          <w:rFonts w:ascii="Times New Roman" w:cs="Times New Roman" w:eastAsia="Times New Roman" w:hAnsi="Times New Roman"/>
          <w:sz w:val="22"/>
          <w:szCs w:val="22"/>
        </w:rPr>
        <w:t xml:space="preserve">The weights of the member–member edges on the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peak days of all 672 main-set objects (95,515 MHW and 66,193 MCS edges) span three orders of magnitude, 10</w:t>
      </w:r>
      <w:r>
        <w:rPr>
          <w:rFonts w:ascii="Times New Roman" w:cs="Times New Roman" w:eastAsia="Times New Roman" w:hAnsi="Times New Roman"/>
          <w:sz w:val="22"/>
          <w:szCs w:val="22"/>
          <w:vertAlign w:val="superscript"/>
        </w:rPr>
        <w:t xml:space="preserve">9</w:t>
      </w:r>
      <w:r>
        <w:rPr>
          <w:rFonts w:ascii="Times New Roman" w:cs="Times New Roman" w:eastAsia="Times New Roman" w:hAnsi="Times New Roman"/>
          <w:sz w:val="22"/>
          <w:szCs w:val="22"/>
        </w:rPr>
        <w:t xml:space="preserve">–10</w:t>
      </w:r>
      <w:r>
        <w:rPr>
          <w:rFonts w:ascii="Times New Roman" w:cs="Times New Roman" w:eastAsia="Times New Roman" w:hAnsi="Times New Roman"/>
          <w:sz w:val="22"/>
          <w:szCs w:val="22"/>
          <w:vertAlign w:val="superscript"/>
        </w:rPr>
        <w:t xml:space="preserve">12</w:t>
      </w:r>
      <w:r>
        <w:rPr>
          <w:rFonts w:ascii="Times New Roman" w:cs="Times New Roman" w:eastAsia="Times New Roman" w:hAnsi="Times New Roman"/>
          <w:sz w:val="22"/>
          <w:szCs w:val="22"/>
        </w:rPr>
        <w:t xml:space="preserve"> W (Supplementary Fig. 3a). The complementary cumulative distribution of the normalized weight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 is closely exponential up to about five times the mean and falls faster beyond it (Supplementary Fig. 3b); a lognormal with the same log-moments overestimates the tail by more than an order of magnitude. Among the candidate forms considered (exponential, lognormal, power-law tail), the weight distribution therefore has an exponential rather than a heavy tail, as in spatially embedded flow networks such as power grids</w:t>
      </w:r>
      <w:r>
        <w:rPr>
          <w:rFonts w:ascii="Times New Roman" w:cs="Times New Roman" w:eastAsia="Times New Roman" w:hAnsi="Times New Roman"/>
          <w:sz w:val="22"/>
          <w:szCs w:val="22"/>
          <w:vertAlign w:val="superscript"/>
        </w:rPr>
        <w:t xml:space="preserve">18,19</w:t>
      </w:r>
      <w:r>
        <w:rPr>
          <w:rFonts w:ascii="Times New Roman" w:cs="Times New Roman" w:eastAsia="Times New Roman" w:hAnsi="Times New Roman"/>
          <w:sz w:val="22"/>
          <w:szCs w:val="22"/>
        </w:rPr>
        <w:t xml:space="preserve"> and unlike the scale-free degree or weight distributions of many non-spatial networks; a lognormal is itself unbounded, and the finite maximum of a finite sample does not establish a bounded distribution, so the statement is about the absence of a power-law tail within the tested forms and cut-offs, with pooled daily samples that are not independent. Node strengths behave similarly (Supplementary Fig. 3c). This is consistent with the near-identical concentration metrics of the two phenomena (top-10% share ≈ 0.26, Gini ≈ 0.31), which vary mainly with size (Fig. 4): on a lattice with light-tailed weights, the share of the strongest 10% of links is set by the width of the weight distribution, and the width (σ</w:t>
      </w:r>
      <w:r>
        <w:rPr>
          <w:rFonts w:ascii="Times New Roman" w:cs="Times New Roman" w:eastAsia="Times New Roman" w:hAnsi="Times New Roman"/>
          <w:sz w:val="22"/>
          <w:szCs w:val="22"/>
          <w:vertAlign w:val="subscript"/>
        </w:rPr>
        <w:t xml:space="preserve">log w</w:t>
      </w:r>
      <w:r>
        <w:rPr>
          <w:rFonts w:ascii="Times New Roman" w:cs="Times New Roman" w:eastAsia="Times New Roman" w:hAnsi="Times New Roman"/>
          <w:sz w:val="22"/>
          <w:szCs w:val="22"/>
        </w:rPr>
        <w:t xml:space="preserve">) increases only weakly with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(Supplementary Table 6). The main-text quantity "σ of log edge flux" is the standard deviation of ln </w:t>
      </w:r>
      <w:r>
        <w:rPr>
          <w:rFonts w:ascii="Times New Roman" w:cs="Times New Roman" w:eastAsia="Times New Roman" w:hAnsi="Times New Roman"/>
          <w:i/>
          <w:iCs/>
          <w:sz w:val="22"/>
          <w:szCs w:val="22"/>
        </w:rPr>
        <w:t xml:space="preserve">w</w:t>
      </w:r>
      <w:r>
        <w:rPr>
          <w:rFonts w:ascii="Times New Roman" w:cs="Times New Roman" w:eastAsia="Times New Roman" w:hAnsi="Times New Roman"/>
          <w:sz w:val="22"/>
          <w:szCs w:val="22"/>
        </w:rPr>
        <w:t xml:space="preserve"> and is used as a distribution-free measure of width; it does not presuppose a lognormal form.</w:t>
      </w:r>
    </w:p>
    <w:p>
      <w:pPr>
        <w:pStyle w:val="Heading2"/>
        <w:spacing w:after="80" w:before="200"/>
      </w:pPr>
      <w:r>
        <w:rPr>
          <w:rFonts w:ascii="Times New Roman" w:cs="Times New Roman" w:eastAsia="Times New Roman" w:hAnsi="Times New Roman"/>
          <w:b/>
          <w:bCs/>
          <w:sz w:val="24"/>
          <w:szCs w:val="24"/>
        </w:rPr>
        <w:t xml:space="preserve">Supplementary Note 3 — Example networks at the peak</w:t>
      </w:r>
    </w:p>
    <w:p>
      <w:pPr>
        <w:spacing w:after="120" w:line="300"/>
        <w:jc w:val="both"/>
      </w:pPr>
      <w:r>
        <w:rPr>
          <w:rFonts w:ascii="Times New Roman" w:cs="Times New Roman" w:eastAsia="Times New Roman" w:hAnsi="Times New Roman"/>
          <w:sz w:val="22"/>
          <w:szCs w:val="22"/>
        </w:rPr>
        <w:t xml:space="preserve">Supplementary Fig. 2 shows the peak-day networks of the four events analyzed in the companion Letter</w:t>
      </w:r>
      <w:r>
        <w:rPr>
          <w:rFonts w:ascii="Times New Roman" w:cs="Times New Roman" w:eastAsia="Times New Roman" w:hAnsi="Times New Roman"/>
          <w:sz w:val="22"/>
          <w:szCs w:val="22"/>
          <w:vertAlign w:val="superscript"/>
        </w:rPr>
        <w:t xml:space="preserve">7</w:t>
      </w:r>
      <w:r>
        <w:rPr>
          <w:rFonts w:ascii="Times New Roman" w:cs="Times New Roman" w:eastAsia="Times New Roman" w:hAnsi="Times New Roman"/>
          <w:sz w:val="22"/>
          <w:szCs w:val="22"/>
        </w:rPr>
        <w:t xml:space="preserve">, rebuilt with the present pipeline. The winter MHW of 2017/18 (Supplementary Fig. 2a;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760) has a compact recirculating core of 32% of its nodes on the day shown, embedded in a through-flow in the northern Japan Basin; the summer MCS of 2012 (Supplementary Fig. 2b;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 357) is a single cyclonic recirculation over the Yamato Basin in which 70% of the nodes belong to the largest SCC and only 28% of the edges are off cycles. The summer MHW of 2020 (Supplementary Fig. 2c) is elongated across the northern Japan Basin with two through-flow branches and a small core (SCC 0.23), and the winter MCS of 2014/15 (Supplementary Fig. 2d) is almost perfectly hierarchical on its peak day (SCC 0.02, hierarchy 0.99): a cold pool carried coherently through the northern Japan Basin by a nearly parallel flow. The four examples thus span the range of the population and illustrate that the warm–cold asymmetry reported in the main text is a </w:t>
      </w:r>
      <w:r>
        <w:rPr>
          <w:rFonts w:ascii="Times New Roman" w:cs="Times New Roman" w:eastAsia="Times New Roman" w:hAnsi="Times New Roman"/>
          <w:i/>
          <w:iCs/>
          <w:sz w:val="22"/>
          <w:szCs w:val="22"/>
        </w:rPr>
        <w:t xml:space="preserve">statistical</w:t>
      </w:r>
      <w:r>
        <w:rPr>
          <w:rFonts w:ascii="Times New Roman" w:cs="Times New Roman" w:eastAsia="Times New Roman" w:hAnsi="Times New Roman"/>
          <w:sz w:val="22"/>
          <w:szCs w:val="22"/>
        </w:rPr>
        <w:t xml:space="preserve"> difference in the balance of recirculation and through-flow, not a categorical one; individual MCSs can be entirely feed-forward and individual MHWs strongly recirculating.</w:t>
      </w:r>
    </w:p>
    <w:p>
      <w:pPr>
        <w:pStyle w:val="Heading2"/>
        <w:spacing w:after="80" w:before="200"/>
      </w:pPr>
      <w:r>
        <w:rPr>
          <w:rFonts w:ascii="Times New Roman" w:cs="Times New Roman" w:eastAsia="Times New Roman" w:hAnsi="Times New Roman"/>
          <w:b/>
          <w:bCs/>
          <w:sz w:val="24"/>
          <w:szCs w:val="24"/>
        </w:rPr>
        <w:t xml:space="preserve">Supplementary Note 4 — Size dependence and the largest events</w:t>
      </w:r>
    </w:p>
    <w:p>
      <w:pPr>
        <w:spacing w:after="120" w:line="300"/>
        <w:jc w:val="both"/>
      </w:pPr>
      <w:r>
        <w:rPr>
          <w:rFonts w:ascii="Times New Roman" w:cs="Times New Roman" w:eastAsia="Times New Roman" w:hAnsi="Times New Roman"/>
          <w:sz w:val="22"/>
          <w:szCs w:val="22"/>
        </w:rPr>
        <w:t xml:space="preserve">All concentration metrics increase with event size (Fig. 4; Spearman ρ = 0.5–0.6 for the top-10% share and the Gini coefficient; Supplementary Table 6), in the same way for MHWs and MCSs, and the external inflow fraction decreases with size (ρ = −0.60 for MHWs and −0.55 for MCSs), because a larger object has a smaller perimeter-to-area ratio. The recirculation metrics increase weakly with size for MHWs (ρ = 0.20) and not at all for MCSs (ρ = 0.09), so the warm–cold contrast in recirculation is largest for small and intermediate objects: Cliff's δ of the SCC fraction is −0.21, −0.28 and −0.27 in the three smallest size quartiles and −0.05 (not significant) in the largest (Supplementary Table 10). In the sensitivity grid the contrast is lost only in the settings restricted to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 200 (Supplementary Fig. 7), for which the median SCC excess over the null is positive for both phenomena (+0.11 for MHWs and MCSs alike), whereas it is negative for MHWs at all smaller size thresholds (−0.10 to −0.01) and changes sign for MCSs between the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 20 (−0.03) and ≥ 50 (+0.03) settings. Events of this size (≳ 1.5 × 10</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km</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extend over several circulation features—warm-current branches, the frontal zone of the northern basin and interior gyres at once—so that their networks contain both through-flow and recirculating parts irrespective of the sign of the anomaly. The contrast that distinguishes warm from cold anomalies is thus a property of the mesoscale, of objects comparable to one or a few eddies, consistent with the eddy control of event growth found in the heat-budget analyses</w:t>
      </w:r>
      <w:r>
        <w:rPr>
          <w:rFonts w:ascii="Times New Roman" w:cs="Times New Roman" w:eastAsia="Times New Roman" w:hAnsi="Times New Roman"/>
          <w:sz w:val="22"/>
          <w:szCs w:val="22"/>
          <w:vertAlign w:val="superscript"/>
        </w:rPr>
        <w:t xml:space="preserve">3,4</w:t>
      </w:r>
      <w:r>
        <w:rPr>
          <w:rFonts w:ascii="Times New Roman" w:cs="Times New Roman" w:eastAsia="Times New Roman" w:hAnsi="Times New Roman"/>
          <w:sz w:val="22"/>
          <w:szCs w:val="22"/>
        </w:rPr>
        <w:t xml:space="preserve">. The lognormal-width contrast behaves oppositely: it is absent for small objects and strongest for the largest quartile (δ = +0.28), i.e. large MHWs have a broader spectrum of link strengths than large MCSs.</w:t>
      </w:r>
    </w:p>
    <w:p>
      <w:pPr>
        <w:pStyle w:val="Heading2"/>
        <w:spacing w:after="80" w:before="200"/>
      </w:pPr>
      <w:r>
        <w:rPr>
          <w:rFonts w:ascii="Times New Roman" w:cs="Times New Roman" w:eastAsia="Times New Roman" w:hAnsi="Times New Roman"/>
          <w:b/>
          <w:bCs/>
          <w:sz w:val="24"/>
          <w:szCs w:val="24"/>
        </w:rPr>
        <w:t xml:space="preserve">Supplementary Note 5 — Equivalence of the three peak definitions</w:t>
      </w:r>
    </w:p>
    <w:p>
      <w:pPr>
        <w:spacing w:after="120" w:line="300"/>
        <w:jc w:val="both"/>
      </w:pPr>
      <w:r>
        <w:rPr>
          <w:rFonts w:ascii="Times New Roman" w:cs="Times New Roman" w:eastAsia="Times New Roman" w:hAnsi="Times New Roman"/>
          <w:sz w:val="22"/>
          <w:szCs w:val="22"/>
        </w:rPr>
        <w:t xml:space="preserve">The day of maximum membership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precedes the day of maximum integrated anomaly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by a median of one day (interquartile range −4 to +3 d) in both phenomena; 74% (MHWs) and 70% (MCSs) of the objects have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 5 d and 95%/87% have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 10 d (Supplementary Fig. 9a, Supplementary Table 8a). The amplitude peak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coincides with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in the median and lies within ±5 d in 70%/61% of the objects (Supplementary Fig. 9b). The slight lead of the size peak over the intensity peak reflects the fact that the anomaly of the core continues to intensify for a day or two after the object has stopped expanding. Because the near-peak window spans a quarter of each phase (typically ±7–10 days), the three definitions select overlapping windows and give the same population statistics: the composites are indistinguishable (Supplementary Fig. 5) and the warm–cold contrasts agree to within 0.05 in Cliff's δ for every feature (Supplementary Fig. 9c, Supplementary Table 8b), with the largest difference for the external inflow fraction (δ = −0.18, −0.21 and −0.23 for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which is smallest at the intensity peak. The conclusions of the main text therefore do not depend on whether the peak is defined by the size of the single object, by its integrated "day × temperature" content, or by the maximum cell anomaly.</w:t>
      </w:r>
    </w:p>
    <w:p>
      <w:r>
        <w:br w:type="page"/>
      </w:r>
    </w:p>
    <w:p>
      <w:pPr>
        <w:pStyle w:val="Heading2"/>
        <w:spacing w:after="80" w:before="200"/>
      </w:pPr>
      <w:r>
        <w:rPr>
          <w:rFonts w:ascii="Times New Roman" w:cs="Times New Roman" w:eastAsia="Times New Roman" w:hAnsi="Times New Roman"/>
          <w:b/>
          <w:bCs/>
          <w:sz w:val="24"/>
          <w:szCs w:val="24"/>
        </w:rPr>
        <w:t xml:space="preserve">Supplementary Note 6 — Geometric baseline of the external inflow fraction and the flux per boundary face</w:t>
      </w:r>
    </w:p>
    <w:p>
      <w:pPr>
        <w:spacing w:after="120" w:line="300"/>
        <w:jc w:val="both"/>
      </w:pPr>
      <w:r>
        <w:rPr>
          <w:rFonts w:ascii="Times New Roman" w:cs="Times New Roman" w:eastAsia="Times New Roman" w:hAnsi="Times New Roman"/>
          <w:sz w:val="22"/>
          <w:szCs w:val="22"/>
        </w:rPr>
        <w:t xml:space="preserve">The U-shaped course of the external inflow fraction ε (Fig. 2c) can arise from geometry alone: a small object has almost as many boundary faces as interior faces, a large compact object has far fewer. The baseline 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of (S9a), with the boundary faces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counted from the daily masks, makes this explicit. In the main set it follows the same course as ε, with medians of 0.72–0.75 at onset, 0.28 in early growth, 0.18–0.19 near the peak, 0.30 in late decay and 0.75 at termination (Supplementary Fig. 11a,b; Supplementary Table 15), and it accounts for the size dependence of ε (Spearman ρ with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of −0.58/−0.57 for the baseline against −0.60/−0.55 for ε; Supplementary Fig. 11g).</w:t>
      </w:r>
    </w:p>
    <w:p>
      <w:pPr>
        <w:spacing w:after="120" w:line="300"/>
        <w:jc w:val="both"/>
      </w:pPr>
      <w:r>
        <w:rPr>
          <w:rFonts w:ascii="Times New Roman" w:cs="Times New Roman" w:eastAsia="Times New Roman" w:hAnsi="Times New Roman"/>
          <w:b/>
          <w:bCs/>
          <w:sz w:val="22"/>
          <w:szCs w:val="22"/>
        </w:rPr>
        <w:t xml:space="preserve">Why the ratio of fractions is not used.</w:t>
      </w:r>
      <w:r>
        <w:rPr>
          <w:rFonts w:ascii="Times New Roman" w:cs="Times New Roman" w:eastAsia="Times New Roman" w:hAnsi="Times New Roman"/>
          <w:sz w:val="22"/>
          <w:szCs w:val="22"/>
        </w:rPr>
        <w:t xml:space="preserve"> An earlier version of this analysis reported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as the flux of a boundary face relative to that of an interior face. It is not: a synthetic disc that grows from 1 to 12 cells in radius and shrinks again, with the same flux on every face and half of the boundary faces carrying inflow, gives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 1 only when the boundary and interior fluxes are equal; with a boundary flux of 0.7 times the interior flux,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ranges from 0.85 (radius 1) to 0.71 (radius 12) and back, a spurious U-shape produced by the changing geometry at constant per-face flux, whereas the per-face ratios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of (S9b,c) are exactly 0.7 at every step (Supplementary Fig. 11c; with random face directions,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 0.70 ± 0.07–0.21 depending on size). The quantities reported here are therefore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w:t>
      </w:r>
    </w:p>
    <w:p>
      <w:pPr>
        <w:spacing w:after="120" w:line="300"/>
        <w:jc w:val="both"/>
      </w:pPr>
      <w:r>
        <w:rPr>
          <w:rFonts w:ascii="Times New Roman" w:cs="Times New Roman" w:eastAsia="Times New Roman" w:hAnsi="Times New Roman"/>
          <w:b/>
          <w:bCs/>
          <w:sz w:val="22"/>
          <w:szCs w:val="22"/>
        </w:rPr>
        <w:t xml:space="preserve">Life cycle.</w:t>
      </w:r>
      <w:r>
        <w:rPr>
          <w:rFonts w:ascii="Times New Roman" w:cs="Times New Roman" w:eastAsia="Times New Roman" w:hAnsi="Times New Roman"/>
          <w:sz w:val="22"/>
          <w:szCs w:val="22"/>
        </w:rPr>
        <w:t xml:space="preserve"> Both ratios are below 1 through most of the life cycle and lowest near the peak (Supplementary Fig. 11d,e; Supplementary Table 15).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has medians of 0.97 (MHWs; 318 of 375 objects with a valid value) and 0.96 (MCSs; 239 of 297) in the first three days, 0.84 and 0.89 in early growth, 0.67 and 0.77 near the peak, 0.74 and 0.80 in late decay and 0.89 and 0.90 in the last three days (313 and 240 valid objects);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has medians of 0.95/0.96, 0.80/0.86, 0.69/0.77, 0.83/0.88 and 0.96/0.93. Near the peak,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is below 1 in 94% (MHWs) and 91% (MCSs) of the objects and below its early-growth value in 80% and 77% (paired median differences −0.15 and −0.13, year-block 95% intervals −0.18 to −0.12 and −0.15 to −0.10;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75% and 68%, −0.09 and −0.09), and below its late-decay value in 68% and 57%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76% and 73%). The inflow per boundary face is higher in early growth than in late decay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0.84 versus 0.74 and 0.89 versus 0.80; paired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&lt; 10</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Supplementary Fig. 11i), whereas the two-way exchange is nearly symmetric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0.80 versus 0.83 and 0.86 versus 0.88), consistent with net inflow across the boundary during growth. In the four events of the companion Letter, for which the face anomalies are available, the ratio of the mean flux per active boundary face to that per active interior face factorizes exactly into an anomaly factor, a velocity–length factor and a covariance factor; near the peak the anomaly factor is 0.61–0.70 in all four events, the velocity–length factor is below one only in the summer MHW (0.70; 1.01–1.29 in the other three) and the covariance factor is 0.94–1.06, so that the deficit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 0.41–0.79) is associated with weaker rim anomalies in all four events and with a weaker rim flow in one, neither factor being uniquely responsible</w:t>
      </w:r>
      <w:r>
        <w:rPr>
          <w:rFonts w:ascii="Times New Roman" w:cs="Times New Roman" w:eastAsia="Times New Roman" w:hAnsi="Times New Roman"/>
          <w:sz w:val="22"/>
          <w:szCs w:val="22"/>
          <w:vertAlign w:val="superscript"/>
        </w:rPr>
        <w:t xml:space="preserve">7</w:t>
      </w:r>
      <w:r>
        <w:rPr>
          <w:rFonts w:ascii="Times New Roman" w:cs="Times New Roman" w:eastAsia="Times New Roman" w:hAnsi="Times New Roman"/>
          <w:sz w:val="22"/>
          <w:szCs w:val="22"/>
        </w:rPr>
        <w:t xml:space="preserve">; this decomposition was not computed for the population.</w:t>
      </w:r>
    </w:p>
    <w:p>
      <w:pPr>
        <w:spacing w:after="120" w:line="300"/>
        <w:jc w:val="both"/>
      </w:pPr>
      <w:r>
        <w:rPr>
          <w:rFonts w:ascii="Times New Roman" w:cs="Times New Roman" w:eastAsia="Times New Roman" w:hAnsi="Times New Roman"/>
          <w:b/>
          <w:bCs/>
          <w:sz w:val="22"/>
          <w:szCs w:val="22"/>
        </w:rPr>
        <w:t xml:space="preserve">Warm–cold contrast.</w:t>
      </w:r>
      <w:r>
        <w:rPr>
          <w:rFonts w:ascii="Times New Roman" w:cs="Times New Roman" w:eastAsia="Times New Roman" w:hAnsi="Times New Roman"/>
          <w:sz w:val="22"/>
          <w:szCs w:val="22"/>
        </w:rPr>
        <w:t xml:space="preserve"> The per-face ratios sharpen the warm–cold contrast of the external fraction: near the peak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is 0.77 for MCSs and 0.67 for MHWs (Cliff's δ = −0.35, Mann–Whitney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1 × 10</w:t>
      </w:r>
      <w:r>
        <w:rPr>
          <w:rFonts w:ascii="Times New Roman" w:cs="Times New Roman" w:eastAsia="Times New Roman" w:hAnsi="Times New Roman"/>
          <w:sz w:val="22"/>
          <w:szCs w:val="22"/>
          <w:vertAlign w:val="superscript"/>
        </w:rPr>
        <w:t xml:space="preserve">−14</w:t>
      </w:r>
      <w:r>
        <w:rPr>
          <w:rFonts w:ascii="Times New Roman" w:cs="Times New Roman" w:eastAsia="Times New Roman" w:hAnsi="Times New Roman"/>
          <w:sz w:val="22"/>
          <w:szCs w:val="22"/>
        </w:rPr>
        <w:t xml:space="preserve">, within-year permutation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5 × 10</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size- and season-adjusted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2 × 10</w:t>
      </w:r>
      <w:r>
        <w:rPr>
          <w:rFonts w:ascii="Times New Roman" w:cs="Times New Roman" w:eastAsia="Times New Roman" w:hAnsi="Times New Roman"/>
          <w:sz w:val="22"/>
          <w:szCs w:val="22"/>
          <w:vertAlign w:val="superscript"/>
        </w:rPr>
        <w:t xml:space="preserve">−9</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0.77 versus 0.69 (δ = −0.28,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4 × 10</w:t>
      </w:r>
      <w:r>
        <w:rPr>
          <w:rFonts w:ascii="Times New Roman" w:cs="Times New Roman" w:eastAsia="Times New Roman" w:hAnsi="Times New Roman"/>
          <w:sz w:val="22"/>
          <w:szCs w:val="22"/>
          <w:vertAlign w:val="superscript"/>
        </w:rPr>
        <w:t xml:space="preserve">−10</w:t>
      </w:r>
      <w:r>
        <w:rPr>
          <w:rFonts w:ascii="Times New Roman" w:cs="Times New Roman" w:eastAsia="Times New Roman" w:hAnsi="Times New Roman"/>
          <w:sz w:val="22"/>
          <w:szCs w:val="22"/>
        </w:rPr>
        <w:t xml:space="preserve">, permutation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5 × 10</w:t>
      </w:r>
      <w:r>
        <w:rPr>
          <w:rFonts w:ascii="Times New Roman" w:cs="Times New Roman" w:eastAsia="Times New Roman" w:hAnsi="Times New Roman"/>
          <w:sz w:val="22"/>
          <w:szCs w:val="22"/>
          <w:vertAlign w:val="superscript"/>
        </w:rPr>
        <w:t xml:space="preserve">−4</w:t>
      </w:r>
      <w:r>
        <w:rPr>
          <w:rFonts w:ascii="Times New Roman" w:cs="Times New Roman" w:eastAsia="Times New Roman" w:hAnsi="Times New Roman"/>
          <w:sz w:val="22"/>
          <w:szCs w:val="22"/>
        </w:rPr>
        <w:t xml:space="preserve">, adjusted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5 × 10</w:t>
      </w:r>
      <w:r>
        <w:rPr>
          <w:rFonts w:ascii="Times New Roman" w:cs="Times New Roman" w:eastAsia="Times New Roman" w:hAnsi="Times New Roman"/>
          <w:sz w:val="22"/>
          <w:szCs w:val="22"/>
          <w:vertAlign w:val="superscript"/>
        </w:rPr>
        <w:t xml:space="preserve">−7</w:t>
      </w:r>
      <w:r>
        <w:rPr>
          <w:rFonts w:ascii="Times New Roman" w:cs="Times New Roman" w:eastAsia="Times New Roman" w:hAnsi="Times New Roman"/>
          <w:sz w:val="22"/>
          <w:szCs w:val="22"/>
        </w:rPr>
        <w:t xml:space="preserve">), whereas the baselines are nearly equal (0.19 for both; δ = −0.08,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0.06, permutation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0.25) and ε itself differs with δ = −0.21 (Supplementary Fig. 11f). For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the contrast has the same sign in every season (δ = −0.39 in DJF, −0.46 in MAM, −0.35 in JJA and −0.18 in SON; Mann–Whitney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6 × 10</w:t>
      </w:r>
      <w:r>
        <w:rPr>
          <w:rFonts w:ascii="Times New Roman" w:cs="Times New Roman" w:eastAsia="Times New Roman" w:hAnsi="Times New Roman"/>
          <w:sz w:val="22"/>
          <w:szCs w:val="22"/>
          <w:vertAlign w:val="superscript"/>
        </w:rPr>
        <w:t xml:space="preserve">−5</w:t>
      </w:r>
      <w:r>
        <w:rPr>
          <w:rFonts w:ascii="Times New Roman" w:cs="Times New Roman" w:eastAsia="Times New Roman" w:hAnsi="Times New Roman"/>
          <w:sz w:val="22"/>
          <w:szCs w:val="22"/>
        </w:rPr>
        <w:t xml:space="preserve"> except in SON,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0.051, a borderline value without multiplicity correction) and in every quartile of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(δ = −0.21, −0.43, −0.32 and −0.45 from the smallest to the largest;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0.026; Supplementary Fig. 11h); for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the strata give δ = −0.26, −0.43, −0.33 and −0.10 (SON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0.27) and −0.14 (smallest quartile,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 0.13), −0.38, −0.24 and −0.35, so that the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contrast is not significant in autumn and in the smallest quartile (Supplementary Table 15c). Both ratios decrease with size (Spearman ρ with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of −0.35 and −0.22 for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in MHWs and MCSs), less steeply than the baseline (−0.58 and −0.57; Supplementary Fig. 11g); the phenomenon effect survives the size adjustment above. These tests were run after the 14-feature family of Supplementary Table 3 was fixed and are reported separately from it, with raw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values; the year-block bootstrap uses 500 resamples for the composites and 1,000 for the window summaries, and the per-face ratios were computed for the main set only, not for the 432-setting sensitivity grid. Within-object controls for compactness, position and velocity, and a fixed- or expanding-mask experiment, were not attempted; the baseline accounts for the number of faces only.</w:t>
      </w:r>
    </w:p>
    <w:p>
      <w:pPr>
        <w:pStyle w:val="Heading2"/>
        <w:spacing w:after="80" w:before="200"/>
      </w:pPr>
      <w:r>
        <w:rPr>
          <w:rFonts w:ascii="Times New Roman" w:cs="Times New Roman" w:eastAsia="Times New Roman" w:hAnsi="Times New Roman"/>
          <w:b/>
          <w:bCs/>
          <w:sz w:val="24"/>
          <w:szCs w:val="24"/>
        </w:rPr>
        <w:t xml:space="preserve">Supplementary Note 7 — Sensitivity to the definition of node strength and opposite-sign anomalies</w:t>
      </w:r>
    </w:p>
    <w:p>
      <w:pPr>
        <w:spacing w:after="120" w:line="300"/>
        <w:jc w:val="both"/>
      </w:pPr>
      <w:r>
        <w:rPr>
          <w:rFonts w:ascii="Times New Roman" w:cs="Times New Roman" w:eastAsia="Times New Roman" w:hAnsi="Times New Roman"/>
          <w:sz w:val="22"/>
          <w:szCs w:val="22"/>
        </w:rPr>
        <w:t xml:space="preserve">The Gini coefficient and the hubs use the incident horizontal strength of a member cell, which includes the faces it shares with ring cells, whereas the SCC, hierarchy, betweenness and backbone use the member–member subgraph (Supplementary Methods 7). The population was not recomputed with an internal-only strength; the four events of the companion Letter, for which the daily node and edge tables are stored, were (Supplementary Fig. 12, Supplementary Table 17). With internal-only strength the Gini coefficient is higher by 0.01–0.05 in every window (0.01–0.03 near the peak) because the boundary cells, which lose their ring faces, become weaker; the day-to-day hub persistence changes by 0.00–0.06 (medians 0.28–0.69 against 0.33–0.69); and the two same-day top-5% hub sets overlap with a median Jaccard similarity of 0.52–0.80, so that the identity of individual hubs, but not the aggregate statistics, depends on whether boundary faces are counted. The offsets are similar for the two MHWs and the two MCSs (Gini +0.01 to +0.03 near the peak), so the absence of a warm–cold contrast in the Gini coefficient is unlikely to depend on the definition, but this has not been verified for the population.</w:t>
      </w:r>
    </w:p>
    <w:p>
      <w:pPr>
        <w:spacing w:after="120" w:line="300"/>
        <w:jc w:val="both"/>
      </w:pPr>
      <w:r>
        <w:rPr>
          <w:rFonts w:ascii="Times New Roman" w:cs="Times New Roman" w:eastAsia="Times New Roman" w:hAnsi="Times New Roman"/>
          <w:sz w:val="22"/>
          <w:szCs w:val="22"/>
        </w:rPr>
        <w:t xml:space="preserve">Because membership extends to the local extremum of the anomaly before onset and after termination, a member cell can carry an anomaly of the sign opposite to the event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&lt; 0) on part of its days, and ring cells frequently do. In the four Letter events the share of member cell-days with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&lt; 0 is 3.7–22% (largest for the winter MHW) and the share of ring cell-days 10–28% (Supplementary Table 17). On such faces the edge points in the direction of the anomaly heat flux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ū</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which is opposite to the flow; the budget (S6) remains exact, but the description of an edge as pointing in the direction in which the event anomaly is carried holds only where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&gt; 0.</w:t>
      </w:r>
    </w:p>
    <w:p>
      <w:r>
        <w:br w:type="page"/>
      </w:r>
    </w:p>
    <w:p>
      <w:pPr>
        <w:pStyle w:val="Heading1"/>
        <w:spacing w:after="120" w:before="240"/>
      </w:pPr>
      <w:r>
        <w:rPr>
          <w:rFonts w:ascii="Times New Roman" w:cs="Times New Roman" w:eastAsia="Times New Roman" w:hAnsi="Times New Roman"/>
          <w:b/>
          <w:bCs/>
          <w:sz w:val="26"/>
          <w:szCs w:val="26"/>
        </w:rPr>
        <w:t xml:space="preserve">Supplementary Figures</w:t>
      </w:r>
    </w:p>
    <w:p>
      <w:pPr>
        <w:spacing w:after="60" w:before="120"/>
        <w:jc w:val="center"/>
      </w:pPr>
      <w:r>
        <w:drawing>
          <wp:inline distT="0" distB="0" distL="0" distR="0">
            <wp:extent cx="5762625"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257425"/>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1 | Construction of the daily heat-transport network and life-cycle definitions.</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Plan view. Member cells of an object on a given day (shaded by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sT′</w:t>
      </w:r>
      <w:r>
        <w:rPr>
          <w:rFonts w:ascii="Times New Roman" w:cs="Times New Roman" w:eastAsia="Times New Roman" w:hAnsi="Times New Roman"/>
          <w:sz w:val="22"/>
          <w:szCs w:val="22"/>
        </w:rPr>
        <w:t xml:space="preserve">) and the surrounding ring of ocean cells (dashed) are nodes; every face between two nodes of which at least one is a member carries the anomaly heat flux </w:t>
      </w:r>
      <w:r>
        <w:rPr>
          <w:rFonts w:ascii="Times New Roman" w:cs="Times New Roman" w:eastAsia="Times New Roman" w:hAnsi="Times New Roman"/>
          <w:i/>
          <w:iCs/>
          <w:sz w:val="22"/>
          <w:szCs w:val="22"/>
        </w:rPr>
        <w:t xml:space="preserve">F</w:t>
      </w:r>
      <w:r>
        <w:rPr>
          <w:rFonts w:ascii="Times New Roman" w:cs="Times New Roman" w:eastAsia="Times New Roman" w:hAnsi="Times New Roman"/>
          <w:sz w:val="22"/>
          <w:szCs w:val="22"/>
        </w:rPr>
        <w:t xml:space="preserve"> =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ū</w:t>
      </w:r>
      <w:r>
        <w:rPr>
          <w:rFonts w:ascii="Times New Roman" w:cs="Times New Roman" w:eastAsia="Times New Roman" w:hAnsi="Times New Roman"/>
          <w:sz w:val="22"/>
          <w:szCs w:val="22"/>
          <w:vertAlign w:val="subscript"/>
        </w:rPr>
        <w:t xml:space="preserve">face</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vertAlign w:val="subscript"/>
        </w:rPr>
        <w:t xml:space="preserve">face</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L</w:t>
      </w:r>
      <w:r>
        <w:rPr>
          <w:rFonts w:ascii="Times New Roman" w:cs="Times New Roman" w:eastAsia="Times New Roman" w:hAnsi="Times New Roman"/>
          <w:sz w:val="22"/>
          <w:szCs w:val="22"/>
        </w:rPr>
        <w:t xml:space="preserve"> (arrows, width proportional to |</w:t>
      </w:r>
      <w:r>
        <w:rPr>
          <w:rFonts w:ascii="Times New Roman" w:cs="Times New Roman" w:eastAsia="Times New Roman" w:hAnsi="Times New Roman"/>
          <w:i/>
          <w:iCs/>
          <w:sz w:val="22"/>
          <w:szCs w:val="22"/>
        </w:rPr>
        <w:t xml:space="preserve">F</w:t>
      </w:r>
      <w:r>
        <w:rPr>
          <w:rFonts w:ascii="Times New Roman" w:cs="Times New Roman" w:eastAsia="Times New Roman" w:hAnsi="Times New Roman"/>
          <w:sz w:val="22"/>
          <w:szCs w:val="22"/>
        </w:rPr>
        <w:t xml:space="preserve">|), directed along the transport of the anomaly. Two reservoir nodes, ATM and SUB, exchange heat with every member cell (dashed arrows; only three are drawn).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Vertical section. The node holds the anomaly heat content of the 0–50 m layer;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ATM</w:t>
      </w:r>
      <w:r>
        <w:rPr>
          <w:rFonts w:ascii="Times New Roman" w:cs="Times New Roman" w:eastAsia="Times New Roman" w:hAnsi="Times New Roman"/>
          <w:sz w:val="22"/>
          <w:szCs w:val="22"/>
        </w:rPr>
        <w:t xml:space="preserve"> is the anomaly of the net surface heat flux retained in the layer and </w:t>
      </w:r>
      <w:r>
        <w:rPr>
          <w:rFonts w:ascii="Times New Roman" w:cs="Times New Roman" w:eastAsia="Times New Roman" w:hAnsi="Times New Roman"/>
          <w:i/>
          <w:iCs/>
          <w:sz w:val="22"/>
          <w:szCs w:val="22"/>
        </w:rPr>
        <w:t xml:space="preserve">F</w:t>
      </w:r>
      <w:r>
        <w:rPr>
          <w:rFonts w:ascii="Times New Roman" w:cs="Times New Roman" w:eastAsia="Times New Roman" w:hAnsi="Times New Roman"/>
          <w:i/>
          <w:iCs/>
          <w:sz w:val="22"/>
          <w:szCs w:val="22"/>
          <w:vertAlign w:val="subscript"/>
        </w:rPr>
        <w:t xml:space="preserve">SUB</w:t>
      </w:r>
      <w:r>
        <w:rPr>
          <w:rFonts w:ascii="Times New Roman" w:cs="Times New Roman" w:eastAsia="Times New Roman" w:hAnsi="Times New Roman"/>
          <w:sz w:val="22"/>
          <w:szCs w:val="22"/>
        </w:rPr>
        <w:t xml:space="preserve"> the vertical anomaly flux through the base, with the base velocity diagnosed from the divergence of the layer flow (equation S4). The node balance (equation S8), ρ</w:t>
      </w:r>
      <w:r>
        <w:rPr>
          <w:rFonts w:ascii="Times New Roman" w:cs="Times New Roman" w:eastAsia="Times New Roman" w:hAnsi="Times New Roman"/>
          <w:sz w:val="22"/>
          <w:szCs w:val="22"/>
          <w:vertAlign w:val="subscript"/>
        </w:rPr>
        <w:t xml:space="preserve">0</w:t>
      </w:r>
      <w:r>
        <w:rPr>
          <w:rFonts w:ascii="Times New Roman" w:cs="Times New Roman" w:eastAsia="Times New Roman" w:hAnsi="Times New Roman"/>
          <w:i/>
          <w:iCs/>
          <w:sz w:val="22"/>
          <w:szCs w:val="22"/>
        </w:rPr>
        <w:t xml:space="preserve">c</w:t>
      </w:r>
      <w:r>
        <w:rPr>
          <w:rFonts w:ascii="Times New Roman" w:cs="Times New Roman" w:eastAsia="Times New Roman" w:hAnsi="Times New Roman"/>
          <w:i/>
          <w:iCs/>
          <w:sz w:val="22"/>
          <w:szCs w:val="22"/>
          <w:vertAlign w:val="subscript"/>
        </w:rPr>
        <w:t xml:space="preserve">p</w:t>
      </w:r>
      <w:r>
        <w:rPr>
          <w:rFonts w:ascii="Times New Roman" w:cs="Times New Roman" w:eastAsia="Times New Roman" w:hAnsi="Times New Roman"/>
          <w:i/>
          <w:iCs/>
          <w:sz w:val="22"/>
          <w:szCs w:val="22"/>
        </w:rPr>
        <w:t xml:space="preserve">HA</w:t>
      </w:r>
      <w:r>
        <w:rPr>
          <w:rFonts w:ascii="Times New Roman" w:cs="Times New Roman" w:eastAsia="Times New Roman" w:hAnsi="Times New Roman"/>
          <w:sz w:val="22"/>
          <w:szCs w:val="22"/>
        </w:rPr>
        <w:t xml:space="preserve"> d</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/d</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sz w:val="22"/>
          <w:szCs w:val="22"/>
          <w:vertAlign w:val="subscript"/>
        </w:rPr>
        <w:t xml:space="preserve">out</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diag</w:t>
      </w:r>
      <w:r>
        <w:rPr>
          <w:rFonts w:ascii="Times New Roman" w:cs="Times New Roman" w:eastAsia="Times New Roman" w:hAnsi="Times New Roman"/>
          <w:sz w:val="22"/>
          <w:szCs w:val="22"/>
        </w:rPr>
        <w:t xml:space="preserve">, makes the net node strength equal to the heat-flux convergence; the diagnostic residual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diag</w:t>
      </w:r>
      <w:r>
        <w:rPr>
          <w:rFonts w:ascii="Times New Roman" w:cs="Times New Roman" w:eastAsia="Times New Roman" w:hAnsi="Times New Roman"/>
          <w:sz w:val="22"/>
          <w:szCs w:val="22"/>
        </w:rPr>
        <w:t xml:space="preserve"> collects the background, vertical-covariance and mixing terms.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Membership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t</w:t>
      </w:r>
      <w:r>
        <w:rPr>
          <w:rFonts w:ascii="Times New Roman" w:cs="Times New Roman" w:eastAsia="Times New Roman" w:hAnsi="Times New Roman"/>
          <w:sz w:val="22"/>
          <w:szCs w:val="22"/>
        </w:rPr>
        <w:t xml:space="preserve">) of a schematic object: exceedance days (dark) are extended to the local extrema of the anomaly (light); the three peak definitions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(maximum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(maximum integrated anomaly) and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(maximum cell amplitude) are marked, and the normalized time τ (equation S2) defines the early-growth, near-peak and late-decay windows.</w:t>
      </w:r>
    </w:p>
    <w:p>
      <w:pPr>
        <w:spacing w:after="60" w:before="120"/>
        <w:jc w:val="center"/>
      </w:pPr>
      <w:r>
        <w:drawing>
          <wp:inline distT="0" distB="0" distL="0" distR="0">
            <wp:extent cx="5762625" cy="469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4695825"/>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2 | Peak-day networks of the four events of the companion Letter.</w:t>
      </w:r>
      <w:r>
        <w:rPr>
          <w:rFonts w:ascii="Times New Roman" w:cs="Times New Roman" w:eastAsia="Times New Roman" w:hAnsi="Times New Roman"/>
          <w:sz w:val="22"/>
          <w:szCs w:val="22"/>
        </w:rPr>
        <w:t xml:space="preserve"> Member cells are shaded by the anomaly </w:t>
      </w:r>
      <w:r>
        <w:rPr>
          <w:rFonts w:ascii="Times New Roman" w:cs="Times New Roman" w:eastAsia="Times New Roman" w:hAnsi="Times New Roman"/>
          <w:i/>
          <w:iCs/>
          <w:sz w:val="22"/>
          <w:szCs w:val="22"/>
        </w:rPr>
        <w:t xml:space="preserve">q</w:t>
      </w:r>
      <w:r>
        <w:rPr>
          <w:rFonts w:ascii="Times New Roman" w:cs="Times New Roman" w:eastAsia="Times New Roman" w:hAnsi="Times New Roman"/>
          <w:sz w:val="22"/>
          <w:szCs w:val="22"/>
        </w:rPr>
        <w:t xml:space="preserve"> (color bar in each panel; red scale for MHWs, blue for MCSs; ring cells grey), cells belonging to the largest strongly connected component are outlined, and the strongest 25% of member–member edges are drawn as arrows whose width scales with the flux.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MHW of winter 2017/18 (object 3130) on 20 January 2018.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MCS of summer 2012 (object 2406) on 24 July 2012.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MHW of summer 2020 (object 2626) on 2 August 2020. </w:t>
      </w:r>
      <w:r>
        <w:rPr>
          <w:rFonts w:ascii="Times New Roman" w:cs="Times New Roman" w:eastAsia="Times New Roman" w:hAnsi="Times New Roman"/>
          <w:b/>
          <w:bCs/>
          <w:sz w:val="22"/>
          <w:szCs w:val="22"/>
        </w:rPr>
        <w:t xml:space="preserve">d</w:t>
      </w:r>
      <w:r>
        <w:rPr>
          <w:rFonts w:ascii="Times New Roman" w:cs="Times New Roman" w:eastAsia="Times New Roman" w:hAnsi="Times New Roman"/>
          <w:sz w:val="22"/>
          <w:szCs w:val="22"/>
        </w:rPr>
        <w:t xml:space="preserve">, MCS of winter 2014/15 (object 3762) on 7 January 2015. The number of member nodes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 the largest-SCC fraction and the flow hierarchy of the day are given in each panel; the coastline is grey.</w:t>
      </w:r>
    </w:p>
    <w:p>
      <w:pPr>
        <w:spacing w:after="60" w:before="120"/>
        <w:jc w:val="center"/>
      </w:pPr>
      <w:r>
        <w:drawing>
          <wp:inline distT="0" distB="0" distL="0" distR="0">
            <wp:extent cx="5762625"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1695450"/>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3 | Distribution of edge weights and node strengths on the peak days of all main-set objects.</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Probability density of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of the member–member edge flux (W) pooled over the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peak days of 375 MHWs (red) and 297 MCSs (blue); dashed curves are the densities expected if the flux were exponentially distributed with the observed mean.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Complementary cumulative distribution of the edge flux normalized by its mean, on logarithmic axes, with an exponential (dotted) and a lognormal with the same log-moments (dashed, MHW) for reference.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Probability density of log</w:t>
      </w:r>
      <w:r>
        <w:rPr>
          <w:rFonts w:ascii="Times New Roman" w:cs="Times New Roman" w:eastAsia="Times New Roman" w:hAnsi="Times New Roman"/>
          <w:sz w:val="22"/>
          <w:szCs w:val="22"/>
          <w:vertAlign w:val="subscript"/>
        </w:rPr>
        <w:t xml:space="preserve">10</w:t>
      </w:r>
      <w:r>
        <w:rPr>
          <w:rFonts w:ascii="Times New Roman" w:cs="Times New Roman" w:eastAsia="Times New Roman" w:hAnsi="Times New Roman"/>
          <w:sz w:val="22"/>
          <w:szCs w:val="22"/>
        </w:rPr>
        <w:t xml:space="preserve"> of the horizontal node strength (W) of the member nodes.</w:t>
      </w:r>
    </w:p>
    <w:p>
      <w:pPr>
        <w:spacing w:after="60" w:before="120"/>
        <w:jc w:val="center"/>
      </w:pPr>
      <w:r>
        <w:drawing>
          <wp:inline distT="0" distB="0" distL="0" distR="0">
            <wp:extent cx="5762625"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3695700"/>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4 | Seasonal life-cycle composites.</w:t>
      </w:r>
      <w:r>
        <w:rPr>
          <w:rFonts w:ascii="Times New Roman" w:cs="Times New Roman" w:eastAsia="Times New Roman" w:hAnsi="Times New Roman"/>
          <w:sz w:val="22"/>
          <w:szCs w:val="22"/>
        </w:rPr>
        <w:t xml:space="preserve"> Composites on normalized life-cycle time τ of the external inflow fraction, largest-SCC fraction, SCC excess over the null, flow hierarchy, maximum betweenness and hub persistence for MHWs (left panel of each pair) and MCSs (right), separately for objects peaking in DJF (blue), MAM (green), JJA (orange) and SON (purple); shading, year-block bootstrap 95% confidence bands of the mean. Panels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w:t>
      </w:r>
      <w:r>
        <w:rPr>
          <w:rFonts w:ascii="Times New Roman" w:cs="Times New Roman" w:eastAsia="Times New Roman" w:hAnsi="Times New Roman"/>
          <w:b/>
          <w:bCs/>
          <w:sz w:val="22"/>
          <w:szCs w:val="22"/>
        </w:rPr>
        <w:t xml:space="preserve">l</w:t>
      </w:r>
      <w:r>
        <w:rPr>
          <w:rFonts w:ascii="Times New Roman" w:cs="Times New Roman" w:eastAsia="Times New Roman" w:hAnsi="Times New Roman"/>
          <w:sz w:val="22"/>
          <w:szCs w:val="22"/>
        </w:rPr>
        <w:t xml:space="preserve"> as labeled.</w:t>
      </w:r>
    </w:p>
    <w:p>
      <w:pPr>
        <w:spacing w:after="60" w:before="120"/>
        <w:jc w:val="center"/>
      </w:pPr>
      <w:r>
        <w:drawing>
          <wp:inline distT="0" distB="0" distL="0" distR="0">
            <wp:extent cx="5762625"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3714750"/>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5 | Composites for the three peak definitions.</w:t>
      </w:r>
      <w:r>
        <w:rPr>
          <w:rFonts w:ascii="Times New Roman" w:cs="Times New Roman" w:eastAsia="Times New Roman" w:hAnsi="Times New Roman"/>
          <w:sz w:val="22"/>
          <w:szCs w:val="22"/>
        </w:rPr>
        <w:t xml:space="preserve"> Composites of normalized membership, normalized internal flux, external inflow fraction, largest-SCC fraction, flow hierarchy and maximum betweenness for MHWs (red) and MCSs (blue) with the life cycle normalized around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(solid),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(dashed) and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(dotted). Panels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w:t>
      </w:r>
      <w:r>
        <w:rPr>
          <w:rFonts w:ascii="Times New Roman" w:cs="Times New Roman" w:eastAsia="Times New Roman" w:hAnsi="Times New Roman"/>
          <w:b/>
          <w:bCs/>
          <w:sz w:val="22"/>
          <w:szCs w:val="22"/>
        </w:rPr>
        <w:t xml:space="preserve">l</w:t>
      </w:r>
      <w:r>
        <w:rPr>
          <w:rFonts w:ascii="Times New Roman" w:cs="Times New Roman" w:eastAsia="Times New Roman" w:hAnsi="Times New Roman"/>
          <w:sz w:val="22"/>
          <w:szCs w:val="22"/>
        </w:rPr>
        <w:t xml:space="preserve"> as labeled.</w:t>
      </w:r>
    </w:p>
    <w:p>
      <w:pPr>
        <w:spacing w:after="60" w:before="120"/>
        <w:jc w:val="center"/>
      </w:pPr>
      <w:r>
        <w:drawing>
          <wp:inline distT="0" distB="0" distL="0" distR="0">
            <wp:extent cx="5762625"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1704975"/>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6 | Scaling of internal transport and recirculation with event size and intensity.</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Peak internal flux Φ</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versus peak membership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with power-law fits (exponents ± s.e.).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Φ</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versus peak integrated anomaly </w:t>
      </w:r>
      <w:r>
        <w:rPr>
          <w:rFonts w:ascii="Times New Roman" w:cs="Times New Roman" w:eastAsia="Times New Roman" w:hAnsi="Times New Roman"/>
          <w:i/>
          <w:iCs/>
          <w:sz w:val="22"/>
          <w:szCs w:val="22"/>
        </w:rPr>
        <w:t xml:space="preserve">I</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Near-peak largest-SCC fraction versus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with Spearman correlations. Red, MHWs; blue, MCSs.</w:t>
      </w:r>
    </w:p>
    <w:p>
      <w:pPr>
        <w:spacing w:after="60" w:before="120"/>
        <w:jc w:val="center"/>
      </w:pPr>
      <w:r>
        <w:drawing>
          <wp:inline distT="0" distB="0" distL="0" distR="0">
            <wp:extent cx="5762625"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3105150"/>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7 | Warm–cold contrasts by sensitivity factor.</w:t>
      </w:r>
      <w:r>
        <w:rPr>
          <w:rFonts w:ascii="Times New Roman" w:cs="Times New Roman" w:eastAsia="Times New Roman" w:hAnsi="Times New Roman"/>
          <w:sz w:val="22"/>
          <w:szCs w:val="22"/>
        </w:rPr>
        <w:t xml:space="preserve"> For six near-peak features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w:t>
      </w:r>
      <w:r>
        <w:rPr>
          <w:rFonts w:ascii="Times New Roman" w:cs="Times New Roman" w:eastAsia="Times New Roman" w:hAnsi="Times New Roman"/>
          <w:b/>
          <w:bCs/>
          <w:sz w:val="22"/>
          <w:szCs w:val="22"/>
        </w:rPr>
        <w:t xml:space="preserve">f</w:t>
      </w:r>
      <w:r>
        <w:rPr>
          <w:rFonts w:ascii="Times New Roman" w:cs="Times New Roman" w:eastAsia="Times New Roman" w:hAnsi="Times New Roman"/>
          <w:sz w:val="22"/>
          <w:szCs w:val="22"/>
        </w:rPr>
        <w:t xml:space="preserve">), Cliff's δ (MHW − MCS) over the 432 settings, grouped by the level of each factor: peak definition, offshore distance of the peak cell, size threshold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life-cycle threshold (LC) and exceedance-duration cut-off (Dur.). Boxes show the median (red) and quartiles over the other factors, whiskers the 5th–95th percentiles and dots the individual settings. The recirculation contrasts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vanish only for the size threshold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 200; the external-inflow contrast (</w:t>
      </w:r>
      <w:r>
        <w:rPr>
          <w:rFonts w:ascii="Times New Roman" w:cs="Times New Roman" w:eastAsia="Times New Roman" w:hAnsi="Times New Roman"/>
          <w:b/>
          <w:bCs/>
          <w:sz w:val="22"/>
          <w:szCs w:val="22"/>
        </w:rPr>
        <w:t xml:space="preserve">d</w:t>
      </w:r>
      <w:r>
        <w:rPr>
          <w:rFonts w:ascii="Times New Roman" w:cs="Times New Roman" w:eastAsia="Times New Roman" w:hAnsi="Times New Roman"/>
          <w:sz w:val="22"/>
          <w:szCs w:val="22"/>
        </w:rPr>
        <w:t xml:space="preserve">) strengthens with the offshore distance and with size; the lognormal-width contrast (</w:t>
      </w:r>
      <w:r>
        <w:rPr>
          <w:rFonts w:ascii="Times New Roman" w:cs="Times New Roman" w:eastAsia="Times New Roman" w:hAnsi="Times New Roman"/>
          <w:b/>
          <w:bCs/>
          <w:sz w:val="22"/>
          <w:szCs w:val="22"/>
        </w:rPr>
        <w:t xml:space="preserve">e</w:t>
      </w:r>
      <w:r>
        <w:rPr>
          <w:rFonts w:ascii="Times New Roman" w:cs="Times New Roman" w:eastAsia="Times New Roman" w:hAnsi="Times New Roman"/>
          <w:sz w:val="22"/>
          <w:szCs w:val="22"/>
        </w:rPr>
        <w:t xml:space="preserve">) strengthens with size; the top-10% share (</w:t>
      </w:r>
      <w:r>
        <w:rPr>
          <w:rFonts w:ascii="Times New Roman" w:cs="Times New Roman" w:eastAsia="Times New Roman" w:hAnsi="Times New Roman"/>
          <w:b/>
          <w:bCs/>
          <w:sz w:val="22"/>
          <w:szCs w:val="22"/>
        </w:rPr>
        <w:t xml:space="preserve">f</w:t>
      </w:r>
      <w:r>
        <w:rPr>
          <w:rFonts w:ascii="Times New Roman" w:cs="Times New Roman" w:eastAsia="Times New Roman" w:hAnsi="Times New Roman"/>
          <w:sz w:val="22"/>
          <w:szCs w:val="22"/>
        </w:rPr>
        <w:t xml:space="preserve">) shows no consistent contrast.</w:t>
      </w:r>
    </w:p>
    <w:p>
      <w:pPr>
        <w:spacing w:after="60" w:before="120"/>
        <w:jc w:val="center"/>
      </w:pPr>
      <w:r>
        <w:drawing>
          <wp:inline distT="0" distB="0" distL="0" distR="0">
            <wp:extent cx="5762625" cy="157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1571625"/>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8 | Budget closure.</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Closure correlation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between the object-mean network convergence and the observed tendency of the object-mean anomaly across the life cycle, for all main-set objects and by season of the peak (boxes: median, quartiles, 5–95%).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Fraction of the tendency variance reproduced by the network convergence without a fitted coefficient (values below −1 are shown at −1).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Near-peak SCC excess over the null versus closure correlation, with Spearman correlations (no significant monotonic association). </w:t>
      </w:r>
      <w:r>
        <w:rPr>
          <w:rFonts w:ascii="Times New Roman" w:cs="Times New Roman" w:eastAsia="Times New Roman" w:hAnsi="Times New Roman"/>
          <w:b/>
          <w:bCs/>
          <w:sz w:val="22"/>
          <w:szCs w:val="22"/>
        </w:rPr>
        <w:t xml:space="preserve">d</w:t>
      </w:r>
      <w:r>
        <w:rPr>
          <w:rFonts w:ascii="Times New Roman" w:cs="Times New Roman" w:eastAsia="Times New Roman" w:hAnsi="Times New Roman"/>
          <w:sz w:val="22"/>
          <w:szCs w:val="22"/>
        </w:rPr>
        <w:t xml:space="preserve">, Closure correlation versus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i/>
          <w:iCs/>
          <w:sz w:val="22"/>
          <w:szCs w:val="22"/>
          <w:vertAlign w:val="subscript"/>
        </w:rPr>
        <w:t xml:space="preserve">peak</w:t>
      </w:r>
      <w:r>
        <w:rPr>
          <w:rFonts w:ascii="Times New Roman" w:cs="Times New Roman" w:eastAsia="Times New Roman" w:hAnsi="Times New Roman"/>
          <w:sz w:val="22"/>
          <w:szCs w:val="22"/>
        </w:rPr>
        <w:t xml:space="preserve">. Red, MHWs; blue, MCSs.</w:t>
      </w:r>
    </w:p>
    <w:p>
      <w:pPr>
        <w:spacing w:after="60" w:before="120"/>
        <w:jc w:val="center"/>
      </w:pPr>
      <w:r>
        <w:drawing>
          <wp:inline distT="0" distB="0" distL="0" distR="0">
            <wp:extent cx="5762625" cy="200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009775"/>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9 | Lags between the peak definitions and independence of the contrasts.</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Distribution of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(days; values beyond ±20 d collected in the end bins).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Distribution of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Cliff's δ (MHW − MCS) of nine near-peak features for the three peak definitions (circles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n</w:t>
      </w:r>
      <w:r>
        <w:rPr>
          <w:rFonts w:ascii="Times New Roman" w:cs="Times New Roman" w:eastAsia="Times New Roman" w:hAnsi="Times New Roman"/>
          <w:sz w:val="22"/>
          <w:szCs w:val="22"/>
        </w:rPr>
        <w:t xml:space="preserve">, squares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i</w:t>
      </w:r>
      <w:r>
        <w:rPr>
          <w:rFonts w:ascii="Times New Roman" w:cs="Times New Roman" w:eastAsia="Times New Roman" w:hAnsi="Times New Roman"/>
          <w:sz w:val="22"/>
          <w:szCs w:val="22"/>
        </w:rPr>
        <w:t xml:space="preserve">, triangles </w:t>
      </w:r>
      <w:r>
        <w:rPr>
          <w:rFonts w:ascii="Times New Roman" w:cs="Times New Roman" w:eastAsia="Times New Roman" w:hAnsi="Times New Roman"/>
          <w:i/>
          <w:iCs/>
          <w:sz w:val="22"/>
          <w:szCs w:val="22"/>
        </w:rPr>
        <w:t xml:space="preserve">P</w:t>
      </w:r>
      <w:r>
        <w:rPr>
          <w:rFonts w:ascii="Times New Roman" w:cs="Times New Roman" w:eastAsia="Times New Roman" w:hAnsi="Times New Roman"/>
          <w:i/>
          <w:iCs/>
          <w:sz w:val="22"/>
          <w:szCs w:val="22"/>
          <w:vertAlign w:val="subscript"/>
        </w:rPr>
        <w:t xml:space="preserve">a</w:t>
      </w:r>
      <w:r>
        <w:rPr>
          <w:rFonts w:ascii="Times New Roman" w:cs="Times New Roman" w:eastAsia="Times New Roman" w:hAnsi="Times New Roman"/>
          <w:sz w:val="22"/>
          <w:szCs w:val="22"/>
        </w:rPr>
        <w:t xml:space="preserve">; filled symbols, raw two-sided Mann–Whitney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&lt; 0.05, without FDR adjustment).</w:t>
      </w:r>
    </w:p>
    <w:p>
      <w:pPr>
        <w:spacing w:after="60" w:before="120"/>
        <w:jc w:val="center"/>
      </w:pPr>
      <w:r>
        <w:drawing>
          <wp:inline distT="0" distB="0" distL="0" distR="0">
            <wp:extent cx="5762625"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62625" cy="3295650"/>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10 | Sensitivity of the network topology to the tested background perturbation.</w:t>
      </w:r>
      <w:r>
        <w:rPr>
          <w:rFonts w:ascii="Times New Roman" w:cs="Times New Roman" w:eastAsia="Times New Roman" w:hAnsi="Times New Roman"/>
          <w:sz w:val="22"/>
          <w:szCs w:val="22"/>
        </w:rPr>
        <w:t xml:space="preserve"> Near-peak window means of six network features for 63 objects (the four events of the companion Letter, stars, and 59 objects drawn at random from the main set, dots; red, MHWs; blue, MCSs) computed with the anomaly defined relative to the seasonal climatology plus linear trend (horizontal axis; the main analysis) and relative to the seasonal climatology alone (vertical axis; trend retained), on the fixed catalogue and with fixed life-cycle windows. The line is the identity;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rPr>
        <w:t xml:space="preserve"> is the correlation across objects and |Δ| the absolute difference between the two versions.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External inflow fraction.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Largest-SCC fraction.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Flow hierarchy. </w:t>
      </w:r>
      <w:r>
        <w:rPr>
          <w:rFonts w:ascii="Times New Roman" w:cs="Times New Roman" w:eastAsia="Times New Roman" w:hAnsi="Times New Roman"/>
          <w:b/>
          <w:bCs/>
          <w:sz w:val="22"/>
          <w:szCs w:val="22"/>
        </w:rPr>
        <w:t xml:space="preserve">d</w:t>
      </w:r>
      <w:r>
        <w:rPr>
          <w:rFonts w:ascii="Times New Roman" w:cs="Times New Roman" w:eastAsia="Times New Roman" w:hAnsi="Times New Roman"/>
          <w:sz w:val="22"/>
          <w:szCs w:val="22"/>
        </w:rPr>
        <w:t xml:space="preserve">, Top-10% edge-flux share. </w:t>
      </w:r>
      <w:r>
        <w:rPr>
          <w:rFonts w:ascii="Times New Roman" w:cs="Times New Roman" w:eastAsia="Times New Roman" w:hAnsi="Times New Roman"/>
          <w:b/>
          <w:bCs/>
          <w:sz w:val="22"/>
          <w:szCs w:val="22"/>
        </w:rPr>
        <w:t xml:space="preserve">e</w:t>
      </w:r>
      <w:r>
        <w:rPr>
          <w:rFonts w:ascii="Times New Roman" w:cs="Times New Roman" w:eastAsia="Times New Roman" w:hAnsi="Times New Roman"/>
          <w:sz w:val="22"/>
          <w:szCs w:val="22"/>
        </w:rPr>
        <w:t xml:space="preserve">, Gini coefficient of node strength. </w:t>
      </w:r>
      <w:r>
        <w:rPr>
          <w:rFonts w:ascii="Times New Roman" w:cs="Times New Roman" w:eastAsia="Times New Roman" w:hAnsi="Times New Roman"/>
          <w:b/>
          <w:bCs/>
          <w:sz w:val="22"/>
          <w:szCs w:val="22"/>
        </w:rPr>
        <w:t xml:space="preserve">f</w:t>
      </w:r>
      <w:r>
        <w:rPr>
          <w:rFonts w:ascii="Times New Roman" w:cs="Times New Roman" w:eastAsia="Times New Roman" w:hAnsi="Times New Roman"/>
          <w:sz w:val="22"/>
          <w:szCs w:val="22"/>
        </w:rPr>
        <w:t xml:space="preserve">, Daily σ of log edge flux.</w:t>
      </w:r>
    </w:p>
    <w:p>
      <w:pPr>
        <w:spacing w:after="60" w:before="120"/>
        <w:jc w:val="center"/>
      </w:pPr>
      <w:r>
        <w:drawing>
          <wp:inline distT="0" distB="0" distL="0" distR="0">
            <wp:extent cx="5762625"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62625" cy="4495800"/>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11 | Geometric baseline of the external inflow fraction and the flux per boundary face (Supplementary Note 6).</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Composites on normalized life-cycle time τ of the external inflow fraction (ring + ATM + SUB; solid, with year-block 95% bands of the mean), the ring-only fraction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 (dashed) and the geometric baseline 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/2)/(</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/2) (dotted;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boundary faces and </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interior faces, both counted from the mask) for MHWs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and MCSs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Synthetic disc growing from 1 to 12 cells in radius and shrinking again with the same flux on every face: the ratio of fractions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(dashed) and the per-face ratio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(solid) for a boundary flux equal to (grey) and 0.7 times (red) the interior flux; dotted,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with random face directions (mean of 200 draws). </w:t>
      </w:r>
      <w:r>
        <w:rPr>
          <w:rFonts w:ascii="Times New Roman" w:cs="Times New Roman" w:eastAsia="Times New Roman" w:hAnsi="Times New Roman"/>
          <w:b/>
          <w:bCs/>
          <w:sz w:val="22"/>
          <w:szCs w:val="22"/>
        </w:rPr>
        <w:t xml:space="preserve">d</w:t>
      </w:r>
      <w:r>
        <w:rPr>
          <w:rFonts w:ascii="Times New Roman" w:cs="Times New Roman" w:eastAsia="Times New Roman" w:hAnsi="Times New Roman"/>
          <w:sz w:val="22"/>
          <w:szCs w:val="22"/>
        </w:rPr>
        <w:t xml:space="preserve">, Composites of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(solid, median over objects of the per-object bin median, with year-block 95% band from 500 resamples)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(dashed) along τ. </w:t>
      </w:r>
      <w:r>
        <w:rPr>
          <w:rFonts w:ascii="Times New Roman" w:cs="Times New Roman" w:eastAsia="Times New Roman" w:hAnsi="Times New Roman"/>
          <w:b/>
          <w:bCs/>
          <w:sz w:val="22"/>
          <w:szCs w:val="22"/>
        </w:rPr>
        <w:t xml:space="preserve">e</w:t>
      </w:r>
      <w:r>
        <w:rPr>
          <w:rFonts w:ascii="Times New Roman" w:cs="Times New Roman" w:eastAsia="Times New Roman" w:hAnsi="Times New Roman"/>
          <w:sz w:val="22"/>
          <w:szCs w:val="22"/>
        </w:rPr>
        <w:t xml:space="preserve">, Window medians of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(circles)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(squares) with 95% year-block confidence intervals (1,000 resamples); the numbers give the objects with a valid value (Φ &gt; 0, </w:t>
      </w:r>
      <w:r>
        <w:rPr>
          <w:rFonts w:ascii="Times New Roman" w:cs="Times New Roman" w:eastAsia="Times New Roman" w:hAnsi="Times New Roman"/>
          <w:i/>
          <w:iCs/>
          <w:sz w:val="22"/>
          <w:szCs w:val="22"/>
        </w:rPr>
        <w:t xml:space="preserve">E</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&gt; 0,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&gt; 0) in each window (onset and end are the first and last three days; early growth, near peak and late decay are the windows of Supplementary Methods 4 restricted to days with ≥10 member cells). </w:t>
      </w:r>
      <w:r>
        <w:rPr>
          <w:rFonts w:ascii="Times New Roman" w:cs="Times New Roman" w:eastAsia="Times New Roman" w:hAnsi="Times New Roman"/>
          <w:b/>
          <w:bCs/>
          <w:sz w:val="22"/>
          <w:szCs w:val="22"/>
        </w:rPr>
        <w:t xml:space="preserve">f</w:t>
      </w:r>
      <w:r>
        <w:rPr>
          <w:rFonts w:ascii="Times New Roman" w:cs="Times New Roman" w:eastAsia="Times New Roman" w:hAnsi="Times New Roman"/>
          <w:sz w:val="22"/>
          <w:szCs w:val="22"/>
        </w:rPr>
        <w:t xml:space="preserve">, Near-peak ε</w:t>
      </w:r>
      <w:r>
        <w:rPr>
          <w:rFonts w:ascii="Times New Roman" w:cs="Times New Roman" w:eastAsia="Times New Roman" w:hAnsi="Times New Roman"/>
          <w:sz w:val="22"/>
          <w:szCs w:val="22"/>
          <w:vertAlign w:val="subscript"/>
        </w:rPr>
        <w:t xml:space="preserve">ring</w:t>
      </w:r>
      <w:r>
        <w:rPr>
          <w:rFonts w:ascii="Times New Roman" w:cs="Times New Roman" w:eastAsia="Times New Roman" w:hAnsi="Times New Roman"/>
          <w:sz w:val="22"/>
          <w:szCs w:val="22"/>
        </w:rPr>
        <w:t xml:space="preserve">, 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of MHWs (red) and MCSs (blue): boxes, median and quartiles; whiskers, 5th–95th percentiles; Cliff's δ (MHW − MCS) and the within-year permutation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vertAlign w:val="subscript"/>
        </w:rPr>
        <w:t xml:space="preserve">yb</w:t>
      </w:r>
      <w:r>
        <w:rPr>
          <w:rFonts w:ascii="Times New Roman" w:cs="Times New Roman" w:eastAsia="Times New Roman" w:hAnsi="Times New Roman"/>
          <w:sz w:val="22"/>
          <w:szCs w:val="22"/>
        </w:rPr>
        <w:t xml:space="preserve">) above each pair. </w:t>
      </w:r>
      <w:r>
        <w:rPr>
          <w:rFonts w:ascii="Times New Roman" w:cs="Times New Roman" w:eastAsia="Times New Roman" w:hAnsi="Times New Roman"/>
          <w:b/>
          <w:bCs/>
          <w:sz w:val="22"/>
          <w:szCs w:val="22"/>
        </w:rPr>
        <w:t xml:space="preserve">g</w:t>
      </w:r>
      <w:r>
        <w:rPr>
          <w:rFonts w:ascii="Times New Roman" w:cs="Times New Roman" w:eastAsia="Times New Roman" w:hAnsi="Times New Roman"/>
          <w:sz w:val="22"/>
          <w:szCs w:val="22"/>
        </w:rPr>
        <w:t xml:space="preserve">, Near-peak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versus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with Spearman correlations of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and of ε</w:t>
      </w:r>
      <w:r>
        <w:rPr>
          <w:rFonts w:ascii="Times New Roman" w:cs="Times New Roman" w:eastAsia="Times New Roman" w:hAnsi="Times New Roman"/>
          <w:sz w:val="22"/>
          <w:szCs w:val="22"/>
          <w:vertAlign w:val="subscript"/>
        </w:rPr>
        <w:t xml:space="preserve">geo</w:t>
      </w:r>
      <w:r>
        <w:rPr>
          <w:rFonts w:ascii="Times New Roman" w:cs="Times New Roman" w:eastAsia="Times New Roman" w:hAnsi="Times New Roman"/>
          <w:sz w:val="22"/>
          <w:szCs w:val="22"/>
        </w:rPr>
        <w:t xml:space="preserve"> with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h</w:t>
      </w:r>
      <w:r>
        <w:rPr>
          <w:rFonts w:ascii="Times New Roman" w:cs="Times New Roman" w:eastAsia="Times New Roman" w:hAnsi="Times New Roman"/>
          <w:sz w:val="22"/>
          <w:szCs w:val="22"/>
        </w:rPr>
        <w:t xml:space="preserve">, Cliff's δ of the near-peak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 (dark) and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ex</w:t>
      </w:r>
      <w:r>
        <w:rPr>
          <w:rFonts w:ascii="Times New Roman" w:cs="Times New Roman" w:eastAsia="Times New Roman" w:hAnsi="Times New Roman"/>
          <w:sz w:val="22"/>
          <w:szCs w:val="22"/>
        </w:rPr>
        <w:t xml:space="preserve"> (light) contrast within seasons and within quartiles of </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vertAlign w:val="subscript"/>
        </w:rPr>
        <w:t xml:space="preserve">peak</w:t>
      </w:r>
      <w:r>
        <w:rPr>
          <w:rFonts w:ascii="Times New Roman" w:cs="Times New Roman" w:eastAsia="Times New Roman" w:hAnsi="Times New Roman"/>
          <w:sz w:val="22"/>
          <w:szCs w:val="22"/>
        </w:rPr>
        <w:t xml:space="preserve"> (asterisks, Mann–Whitney </w:t>
      </w:r>
      <w:r>
        <w:rPr>
          <w:rFonts w:ascii="Times New Roman" w:cs="Times New Roman" w:eastAsia="Times New Roman" w:hAnsi="Times New Roman"/>
          <w:i/>
          <w:iCs/>
          <w:sz w:val="22"/>
          <w:szCs w:val="22"/>
        </w:rPr>
        <w:t xml:space="preserve">p</w:t>
      </w:r>
      <w:r>
        <w:rPr>
          <w:rFonts w:ascii="Times New Roman" w:cs="Times New Roman" w:eastAsia="Times New Roman" w:hAnsi="Times New Roman"/>
          <w:sz w:val="22"/>
          <w:szCs w:val="22"/>
        </w:rPr>
        <w:t xml:space="preserve"> &lt; 0.05). </w:t>
      </w:r>
      <w:r>
        <w:rPr>
          <w:rFonts w:ascii="Times New Roman" w:cs="Times New Roman" w:eastAsia="Times New Roman" w:hAnsi="Times New Roman"/>
          <w:b/>
          <w:bCs/>
          <w:sz w:val="22"/>
          <w:szCs w:val="22"/>
        </w:rPr>
        <w:t xml:space="preserve">i</w:t>
      </w:r>
      <w:r>
        <w:rPr>
          <w:rFonts w:ascii="Times New Roman" w:cs="Times New Roman" w:eastAsia="Times New Roman" w:hAnsi="Times New Roman"/>
          <w:sz w:val="22"/>
          <w:szCs w:val="22"/>
        </w:rPr>
        <w:t xml:space="preserve">, Distribution over objects of the difference between the early-growth and the late-decay </w:t>
      </w:r>
      <w:r>
        <w:rPr>
          <w:rFonts w:ascii="Times New Roman" w:cs="Times New Roman" w:eastAsia="Times New Roman" w:hAnsi="Times New Roman"/>
          <w:i/>
          <w:iCs/>
          <w:sz w:val="22"/>
          <w:szCs w:val="22"/>
        </w:rPr>
        <w:t xml:space="preserve">r</w:t>
      </w:r>
      <w:r>
        <w:rPr>
          <w:rFonts w:ascii="Times New Roman" w:cs="Times New Roman" w:eastAsia="Times New Roman" w:hAnsi="Times New Roman"/>
          <w:sz w:val="22"/>
          <w:szCs w:val="22"/>
          <w:vertAlign w:val="subscript"/>
        </w:rPr>
        <w:t xml:space="preserve">in</w:t>
      </w:r>
      <w:r>
        <w:rPr>
          <w:rFonts w:ascii="Times New Roman" w:cs="Times New Roman" w:eastAsia="Times New Roman" w:hAnsi="Times New Roman"/>
          <w:sz w:val="22"/>
          <w:szCs w:val="22"/>
        </w:rPr>
        <w:t xml:space="preserve">.</w:t>
      </w:r>
    </w:p>
    <w:p>
      <w:pPr>
        <w:spacing w:after="60" w:before="120"/>
        <w:jc w:val="center"/>
      </w:pPr>
      <w:r>
        <w:drawing>
          <wp:inline distT="0" distB="0" distL="0" distR="0">
            <wp:extent cx="5762625"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62625" cy="1581150"/>
                    </a:xfrm>
                    <a:prstGeom prst="rect">
                      <a:avLst/>
                    </a:prstGeom>
                  </pic:spPr>
                </pic:pic>
              </a:graphicData>
            </a:graphic>
          </wp:inline>
        </w:drawing>
      </w:r>
    </w:p>
    <w:p>
      <w:pPr>
        <w:spacing w:after="240" w:line="300"/>
        <w:jc w:val="left"/>
      </w:pPr>
      <w:r>
        <w:rPr>
          <w:rFonts w:ascii="Times New Roman" w:cs="Times New Roman" w:eastAsia="Times New Roman" w:hAnsi="Times New Roman"/>
          <w:b/>
          <w:bCs/>
          <w:sz w:val="22"/>
          <w:szCs w:val="22"/>
        </w:rPr>
        <w:t xml:space="preserve">Supplementary Fig. 12 | Sensitivity to the definition of node strength in the four events of the companion Letter (Supplementary Note 7).</w:t>
      </w:r>
      <w:r>
        <w:rPr>
          <w:rFonts w:ascii="Times New Roman" w:cs="Times New Roman" w:eastAsia="Times New Roman" w:hAnsi="Times New Roman"/>
          <w:sz w:val="22"/>
          <w:szCs w:val="22"/>
        </w:rPr>
        <w:t xml:space="preserve"> Daily values on days with ≥10 member cells.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Gini coefficient of node strength computed from the incident horizontal strength (including faces shared with ring cells; main analysis) against the Gini coefficient computed from the internal-only strength (member–member edges).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Day-to-day hub persistence (Jaccard similarity of consecutive top-5% hub sets) for the two definitions. </w:t>
      </w:r>
      <w:r>
        <w:rPr>
          <w:rFonts w:ascii="Times New Roman" w:cs="Times New Roman" w:eastAsia="Times New Roman" w:hAnsi="Times New Roman"/>
          <w:b/>
          <w:bCs/>
          <w:sz w:val="22"/>
          <w:szCs w:val="22"/>
        </w:rPr>
        <w:t xml:space="preserve">c</w:t>
      </w:r>
      <w:r>
        <w:rPr>
          <w:rFonts w:ascii="Times New Roman" w:cs="Times New Roman" w:eastAsia="Times New Roman" w:hAnsi="Times New Roman"/>
          <w:sz w:val="22"/>
          <w:szCs w:val="22"/>
        </w:rPr>
        <w:t xml:space="preserve">, Jaccard overlap of the two same-day top-5% hub sets. Lines in </w:t>
      </w:r>
      <w:r>
        <w:rPr>
          <w:rFonts w:ascii="Times New Roman" w:cs="Times New Roman" w:eastAsia="Times New Roman" w:hAnsi="Times New Roman"/>
          <w:b/>
          <w:bCs/>
          <w:sz w:val="22"/>
          <w:szCs w:val="22"/>
        </w:rPr>
        <w:t xml:space="preserve">a</w:t>
      </w:r>
      <w:r>
        <w:rPr>
          <w:rFonts w:ascii="Times New Roman" w:cs="Times New Roman" w:eastAsia="Times New Roman" w:hAnsi="Times New Roman"/>
          <w:sz w:val="22"/>
          <w:szCs w:val="22"/>
        </w:rPr>
        <w:t xml:space="preserve"> and </w:t>
      </w:r>
      <w:r>
        <w:rPr>
          <w:rFonts w:ascii="Times New Roman" w:cs="Times New Roman" w:eastAsia="Times New Roman" w:hAnsi="Times New Roman"/>
          <w:b/>
          <w:bCs/>
          <w:sz w:val="22"/>
          <w:szCs w:val="22"/>
        </w:rPr>
        <w:t xml:space="preserve">b</w:t>
      </w:r>
      <w:r>
        <w:rPr>
          <w:rFonts w:ascii="Times New Roman" w:cs="Times New Roman" w:eastAsia="Times New Roman" w:hAnsi="Times New Roman"/>
          <w:sz w:val="22"/>
          <w:szCs w:val="22"/>
        </w:rPr>
        <w:t xml:space="preserve"> are the identity. The internal-only Gini coefficient exceeds the incident one by 0.01–0.05 (phase means; Supplementary Table 17), the hub persistence differs by 0.00–0.06, and the same-day hub sets overlap with median Jaccard similarities of 0.52–0.80.</w:t>
      </w:r>
    </w:p>
    <w:p>
      <w:r>
        <w:br w:type="page"/>
      </w:r>
    </w:p>
    <w:p>
      <w:pPr>
        <w:sectPr>
          <w:footerReference w:type="default" r:id="rId7"/>
          <w:pgSz w:w="12240" w:h="15840" w:orient="portrait"/>
          <w:pgMar w:top="1080" w:right="1080" w:bottom="1080" w:left="1080" w:header="708" w:footer="708" w:gutter="0"/>
          <w:pgNumType/>
          <w:docGrid w:linePitch="360"/>
        </w:sectPr>
      </w:pPr>
    </w:p>
    <w:p>
      <w:pPr>
        <w:pStyle w:val="Heading1"/>
        <w:spacing w:after="120" w:before="240"/>
      </w:pPr>
      <w:r>
        <w:rPr>
          <w:rFonts w:ascii="Times New Roman" w:cs="Times New Roman" w:eastAsia="Times New Roman" w:hAnsi="Times New Roman"/>
          <w:b/>
          <w:bCs/>
          <w:sz w:val="26"/>
          <w:szCs w:val="26"/>
        </w:rPr>
        <w:t xml:space="preserve">Supplementary Tables</w:t>
      </w:r>
    </w:p>
    <w:p>
      <w:pPr>
        <w:spacing w:after="80" w:before="200"/>
        <w:jc w:val="left"/>
      </w:pPr>
      <w:r>
        <w:rPr>
          <w:rFonts w:ascii="Times New Roman" w:cs="Times New Roman" w:eastAsia="Times New Roman" w:hAnsi="Times New Roman"/>
          <w:b/>
          <w:bCs/>
          <w:sz w:val="22"/>
          <w:szCs w:val="22"/>
        </w:rPr>
        <w:t xml:space="preserve">Supplementary Table 1 | Sample sizes and basic properties of the analysed objects for the processing set, the main set and the size/offshore variants of the main set (peak definition P_i).</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57"/>
        <w:gridCol w:w="839"/>
        <w:gridCol w:w="503"/>
        <w:gridCol w:w="1258"/>
        <w:gridCol w:w="1762"/>
        <w:gridCol w:w="1762"/>
        <w:gridCol w:w="1510"/>
        <w:gridCol w:w="1342"/>
        <w:gridCol w:w="1347"/>
      </w:tblGrid>
      <w:tr>
        <w:trPr>
          <w:tblHeader/>
        </w:trPr>
        <w:tc>
          <w:tcPr>
            <w:tcW w:type="dxa" w:w="335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Selection</w:t>
            </w:r>
          </w:p>
        </w:tc>
        <w:tc>
          <w:tcPr>
            <w:tcW w:type="dxa" w:w="83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Phenomenon</w:t>
            </w:r>
          </w:p>
        </w:tc>
        <w:tc>
          <w:tcPr>
            <w:tcW w:type="dxa" w:w="50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n</w:t>
            </w:r>
          </w:p>
        </w:tc>
        <w:tc>
          <w:tcPr>
            <w:tcW w:type="dxa" w:w="125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DJF/MAM/JJA/SON</w:t>
            </w:r>
          </w:p>
        </w:tc>
        <w:tc>
          <w:tcPr>
            <w:tcW w:type="dxa" w:w="176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Median N_peak (cells)</w:t>
            </w:r>
          </w:p>
        </w:tc>
        <w:tc>
          <w:tcPr>
            <w:tcW w:type="dxa" w:w="176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Median life cycle (d)</w:t>
            </w:r>
          </w:p>
        </w:tc>
        <w:tc>
          <w:tcPr>
            <w:tcW w:type="dxa" w:w="151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Median Φ_peak (TW)</w:t>
            </w:r>
          </w:p>
        </w:tc>
        <w:tc>
          <w:tcPr>
            <w:tcW w:type="dxa" w:w="134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Median closure r</w:t>
            </w:r>
          </w:p>
        </w:tc>
        <w:tc>
          <w:tcPr>
            <w:tcW w:type="dxa" w:w="134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Fraction r &gt; 0.5</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Processing set (≥30 km, N_peak ≥ 20, ≥10 d, ≤365 d)</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849</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226/191/208/224</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43</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26.4</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0.74</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Processing set (≥30 km, N_peak ≥ 20, ≥10 d, ≤365 d)</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784</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211/165/200/208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49</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20.5</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0.74</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(≥50 km, N_peak ≥ 50, ≥15 d, ≤200 d)</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103/85/101/86</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63.5</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0.73</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(≥50 km, N_peak ≥ 50, ≥15 d, ≤200 d)</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297</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80/64/79/74</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43.2</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0.74</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0.82</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20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765</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203/176/180/206</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44</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26.6</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0.75</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0.82</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20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667</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180/141/171/175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44</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49</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19.9</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0.75</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50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103/85/101/86</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63.5</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0.73</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50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297</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80/64/79/74</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43.2</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0.74</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0.82</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100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186</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48/40/49/49</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172</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68</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123.6</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0.71</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0.83</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100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148</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46/31/36/35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149</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82</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81.4</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0.73</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0.85</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200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82</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20/12/22/28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318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91</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258.6</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0.79</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N_peak ≥ 200</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56</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18/12/15/11</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308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167.5</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0.73</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0.86</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30km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404</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109/90/113/92</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62.6</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0.72</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30km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345</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92/75/92/86</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97</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65</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46.4</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0.72</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0.83</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50km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103/85/101/86</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63.5</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0.73</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50km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297</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80/64/79/74</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66</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43.2</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0.74</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0.82</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75km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309</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88/66/83/72</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98</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57</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65.8</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0.73</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0.82</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75km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230</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70/51/58/51</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100</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67</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43.4</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0.75</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0.85</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100km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MHW</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262</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71/59/72/60</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95</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60</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66.3</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0.72</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0.81</w:t>
            </w:r>
          </w:p>
        </w:tc>
      </w:tr>
      <w:tr>
        <w:trPr>
          <w:tblHeader w:val="false"/>
        </w:trPr>
        <w:tc>
          <w:tcPr>
            <w:tcW w:type="dxa" w:w="335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Main set with offshore ≥ 100km</w:t>
            </w:r>
          </w:p>
        </w:tc>
        <w:tc>
          <w:tcPr>
            <w:tcW w:type="dxa" w:w="83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MCS</w:t>
            </w:r>
          </w:p>
        </w:tc>
        <w:tc>
          <w:tcPr>
            <w:tcW w:type="dxa" w:w="5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178</w:t>
            </w:r>
          </w:p>
        </w:tc>
        <w:tc>
          <w:tcPr>
            <w:tcW w:type="dxa" w:w="12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53/41/41/43</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102</w:t>
            </w:r>
          </w:p>
        </w:tc>
        <w:tc>
          <w:tcPr>
            <w:tcW w:type="dxa" w:w="17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70</w:t>
            </w:r>
          </w:p>
        </w:tc>
        <w:tc>
          <w:tcPr>
            <w:tcW w:type="dxa" w:w="151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46.4</w:t>
            </w:r>
          </w:p>
        </w:tc>
        <w:tc>
          <w:tcPr>
            <w:tcW w:type="dxa" w:w="13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0.73</w:t>
            </w:r>
          </w:p>
        </w:tc>
        <w:tc>
          <w:tcPr>
            <w:tcW w:type="dxa" w:w="134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0.84</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2 | Life-cycle tests between windows (main set, all seasons): paired Wilcoxon signed-rank tests, year-block bootstrap 95% confidence intervals of the median difference and Benjamini–Hochberg FDR across the tests of each phenomenon.</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2"/>
        <w:gridCol w:w="1923"/>
        <w:gridCol w:w="2137"/>
        <w:gridCol w:w="926"/>
        <w:gridCol w:w="427"/>
        <w:gridCol w:w="570"/>
        <w:gridCol w:w="570"/>
        <w:gridCol w:w="1852"/>
        <w:gridCol w:w="2707"/>
        <w:gridCol w:w="926"/>
        <w:gridCol w:w="930"/>
      </w:tblGrid>
      <w:tr>
        <w:trPr>
          <w:tblHeader/>
        </w:trPr>
        <w:tc>
          <w:tcPr>
            <w:tcW w:type="dxa" w:w="71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Phenomenon</w:t>
            </w:r>
          </w:p>
        </w:tc>
        <w:tc>
          <w:tcPr>
            <w:tcW w:type="dxa" w:w="192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Metric</w:t>
            </w:r>
          </w:p>
        </w:tc>
        <w:tc>
          <w:tcPr>
            <w:tcW w:type="dxa" w:w="213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Comparison</w:t>
            </w:r>
          </w:p>
        </w:tc>
        <w:tc>
          <w:tcPr>
            <w:tcW w:type="dxa" w:w="92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Expected sign</w:t>
            </w:r>
          </w:p>
        </w:tc>
        <w:tc>
          <w:tcPr>
            <w:tcW w:type="dxa" w:w="42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n</w:t>
            </w:r>
          </w:p>
        </w:tc>
        <w:tc>
          <w:tcPr>
            <w:tcW w:type="dxa" w:w="57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a</w:t>
            </w:r>
          </w:p>
        </w:tc>
        <w:tc>
          <w:tcPr>
            <w:tcW w:type="dxa" w:w="57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b</w:t>
            </w:r>
          </w:p>
        </w:tc>
        <w:tc>
          <w:tcPr>
            <w:tcW w:type="dxa" w:w="185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difference [95% CI]</w:t>
            </w:r>
          </w:p>
        </w:tc>
        <w:tc>
          <w:tcPr>
            <w:tcW w:type="dxa" w:w="270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Fraction of objects with expected sign</w:t>
            </w:r>
          </w:p>
        </w:tc>
        <w:tc>
          <w:tcPr>
            <w:tcW w:type="dxa" w:w="92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(Wilcoxon)</w:t>
            </w:r>
          </w:p>
        </w:tc>
        <w:tc>
          <w:tcPr>
            <w:tcW w:type="dxa" w:w="93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p_FDR</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0.152</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-0.125 [-0.135, -0.113]</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1.4 × 10</w:t>
            </w:r>
            <w:r>
              <w:rPr>
                <w:rFonts w:ascii="Times New Roman" w:cs="Times New Roman" w:eastAsia="Times New Roman" w:hAnsi="Times New Roman"/>
                <w:b w:val="false"/>
                <w:bCs w:val="false"/>
                <w:sz w:val="13"/>
                <w:szCs w:val="13"/>
                <w:vertAlign w:val="superscript"/>
              </w:rPr>
              <w:t xml:space="preserve">−62</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9.9 × 10</w:t>
            </w:r>
            <w:r>
              <w:rPr>
                <w:rFonts w:ascii="Times New Roman" w:cs="Times New Roman" w:eastAsia="Times New Roman" w:hAnsi="Times New Roman"/>
                <w:b w:val="false"/>
                <w:bCs w:val="false"/>
                <w:sz w:val="13"/>
                <w:szCs w:val="13"/>
                <w:vertAlign w:val="superscript"/>
              </w:rPr>
              <w:t xml:space="preserve">−62</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0.152</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0.278</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-0.125 [-0.134, -0.120]</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0.96</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2.2 × 10</w:t>
            </w:r>
            <w:r>
              <w:rPr>
                <w:rFonts w:ascii="Times New Roman" w:cs="Times New Roman" w:eastAsia="Times New Roman" w:hAnsi="Times New Roman"/>
                <w:b w:val="false"/>
                <w:bCs w:val="false"/>
                <w:sz w:val="13"/>
                <w:szCs w:val="13"/>
                <w:vertAlign w:val="superscript"/>
              </w:rPr>
              <w:t xml:space="preserve">−62</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1.0 × 10</w:t>
            </w:r>
            <w:r>
              <w:rPr>
                <w:rFonts w:ascii="Times New Roman" w:cs="Times New Roman" w:eastAsia="Times New Roman" w:hAnsi="Times New Roman"/>
                <w:b w:val="false"/>
                <w:bCs w:val="false"/>
                <w:sz w:val="13"/>
                <w:szCs w:val="13"/>
                <w:vertAlign w:val="superscript"/>
              </w:rPr>
              <w:t xml:space="preserve">−61</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onset (first 3 d)</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0.152</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0.736</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-0.575 [-0.599, -0.555]</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0.99</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1.8 × 10</w:t>
            </w:r>
            <w:r>
              <w:rPr>
                <w:rFonts w:ascii="Times New Roman" w:cs="Times New Roman" w:eastAsia="Times New Roman" w:hAnsi="Times New Roman"/>
                <w:b w:val="false"/>
                <w:bCs w:val="false"/>
                <w:sz w:val="13"/>
                <w:szCs w:val="13"/>
                <w:vertAlign w:val="superscript"/>
              </w:rPr>
              <w:t xml:space="preserve">−63</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2.5 × 10</w:t>
            </w:r>
            <w:r>
              <w:rPr>
                <w:rFonts w:ascii="Times New Roman" w:cs="Times New Roman" w:eastAsia="Times New Roman" w:hAnsi="Times New Roman"/>
                <w:b w:val="false"/>
                <w:bCs w:val="false"/>
                <w:sz w:val="13"/>
                <w:szCs w:val="13"/>
                <w:vertAlign w:val="superscript"/>
              </w:rPr>
              <w:t xml:space="preserve">−62</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0.111</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0.079</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+0.019 [+0.003, +0.042]</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0.58</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3.8 × 10</w:t>
            </w:r>
            <w:r>
              <w:rPr>
                <w:rFonts w:ascii="Times New Roman" w:cs="Times New Roman" w:eastAsia="Times New Roman" w:hAnsi="Times New Roman"/>
                <w:b w:val="false"/>
                <w:bCs w:val="false"/>
                <w:sz w:val="13"/>
                <w:szCs w:val="13"/>
                <w:vertAlign w:val="superscript"/>
              </w:rPr>
              <w:t xml:space="preserve">−11</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5.9 × 10</w:t>
            </w:r>
            <w:r>
              <w:rPr>
                <w:rFonts w:ascii="Times New Roman" w:cs="Times New Roman" w:eastAsia="Times New Roman" w:hAnsi="Times New Roman"/>
                <w:b w:val="false"/>
                <w:bCs w:val="false"/>
                <w:sz w:val="13"/>
                <w:szCs w:val="13"/>
                <w:vertAlign w:val="superscript"/>
              </w:rPr>
              <w:t xml:space="preserve">−11</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0.111</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0.094</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+0.002 [-0.009, +0.025]</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0.51</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3.5 × 10</w:t>
            </w:r>
            <w:r>
              <w:rPr>
                <w:rFonts w:ascii="Times New Roman" w:cs="Times New Roman" w:eastAsia="Times New Roman" w:hAnsi="Times New Roman"/>
                <w:b w:val="false"/>
                <w:bCs w:val="false"/>
                <w:sz w:val="13"/>
                <w:szCs w:val="13"/>
                <w:vertAlign w:val="superscript"/>
              </w:rPr>
              <w:t xml:space="preserve">−5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4.5 × 10</w:t>
            </w:r>
            <w:r>
              <w:rPr>
                <w:rFonts w:ascii="Times New Roman" w:cs="Times New Roman" w:eastAsia="Times New Roman" w:hAnsi="Times New Roman"/>
                <w:b w:val="false"/>
                <w:bCs w:val="false"/>
                <w:sz w:val="13"/>
                <w:szCs w:val="13"/>
                <w:vertAlign w:val="superscript"/>
              </w:rPr>
              <w:t xml:space="preserve">−5</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-0.057</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-0.074</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+0.016 [+0.001, +0.046]</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2.3 × 10</w:t>
            </w:r>
            <w:r>
              <w:rPr>
                <w:rFonts w:ascii="Times New Roman" w:cs="Times New Roman" w:eastAsia="Times New Roman" w:hAnsi="Times New Roman"/>
                <w:b w:val="false"/>
                <w:bCs w:val="false"/>
                <w:sz w:val="13"/>
                <w:szCs w:val="13"/>
                <w:vertAlign w:val="superscript"/>
              </w:rPr>
              <w:t xml:space="preserve">−9</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3.2 × 10</w:t>
            </w:r>
            <w:r>
              <w:rPr>
                <w:rFonts w:ascii="Times New Roman" w:cs="Times New Roman" w:eastAsia="Times New Roman" w:hAnsi="Times New Roman"/>
                <w:b w:val="false"/>
                <w:bCs w:val="false"/>
                <w:sz w:val="13"/>
                <w:szCs w:val="13"/>
                <w:vertAlign w:val="superscript"/>
              </w:rPr>
              <w:t xml:space="preserve">−9</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0.945</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-0.040 [-0.064, -0.020]</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0.64</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 × 10</w:t>
            </w:r>
            <w:r>
              <w:rPr>
                <w:rFonts w:ascii="Times New Roman" w:cs="Times New Roman" w:eastAsia="Times New Roman" w:hAnsi="Times New Roman"/>
                <w:b w:val="false"/>
                <w:bCs w:val="false"/>
                <w:sz w:val="13"/>
                <w:szCs w:val="13"/>
                <w:vertAlign w:val="superscript"/>
              </w:rPr>
              <w:t xml:space="preserve">−20</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3.1 × 10</w:t>
            </w:r>
            <w:r>
              <w:rPr>
                <w:rFonts w:ascii="Times New Roman" w:cs="Times New Roman" w:eastAsia="Times New Roman" w:hAnsi="Times New Roman"/>
                <w:b w:val="false"/>
                <w:bCs w:val="false"/>
                <w:sz w:val="13"/>
                <w:szCs w:val="13"/>
                <w:vertAlign w:val="superscript"/>
              </w:rPr>
              <w:t xml:space="preserve">−20</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0.897</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0.928</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-0.024 [-0.045, -0.011]</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0.58</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 × 10</w:t>
            </w:r>
            <w:r>
              <w:rPr>
                <w:rFonts w:ascii="Times New Roman" w:cs="Times New Roman" w:eastAsia="Times New Roman" w:hAnsi="Times New Roman"/>
                <w:b w:val="false"/>
                <w:bCs w:val="false"/>
                <w:sz w:val="13"/>
                <w:szCs w:val="13"/>
                <w:vertAlign w:val="superscript"/>
              </w:rPr>
              <w:t xml:space="preserve">−12</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5.1 × 10</w:t>
            </w:r>
            <w:r>
              <w:rPr>
                <w:rFonts w:ascii="Times New Roman" w:cs="Times New Roman" w:eastAsia="Times New Roman" w:hAnsi="Times New Roman"/>
                <w:b w:val="false"/>
                <w:bCs w:val="false"/>
                <w:sz w:val="13"/>
                <w:szCs w:val="13"/>
                <w:vertAlign w:val="superscript"/>
              </w:rPr>
              <w:t xml:space="preserve">−12</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0.116</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+0.029 [+0.020, +0.036]</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0.70</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2.7 × 10</w:t>
            </w:r>
            <w:r>
              <w:rPr>
                <w:rFonts w:ascii="Times New Roman" w:cs="Times New Roman" w:eastAsia="Times New Roman" w:hAnsi="Times New Roman"/>
                <w:b w:val="false"/>
                <w:bCs w:val="false"/>
                <w:sz w:val="13"/>
                <w:szCs w:val="13"/>
                <w:vertAlign w:val="superscript"/>
              </w:rPr>
              <w:t xml:space="preserve">−20</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6.4 × 10</w:t>
            </w:r>
            <w:r>
              <w:rPr>
                <w:rFonts w:ascii="Times New Roman" w:cs="Times New Roman" w:eastAsia="Times New Roman" w:hAnsi="Times New Roman"/>
                <w:b w:val="false"/>
                <w:bCs w:val="false"/>
                <w:sz w:val="13"/>
                <w:szCs w:val="13"/>
                <w:vertAlign w:val="superscript"/>
              </w:rPr>
              <w:t xml:space="preserve">−20</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0.112</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+0.031 [+0.026, +0.037]</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0.71</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1.5 × 10</w:t>
            </w:r>
            <w:r>
              <w:rPr>
                <w:rFonts w:ascii="Times New Roman" w:cs="Times New Roman" w:eastAsia="Times New Roman" w:hAnsi="Times New Roman"/>
                <w:b w:val="false"/>
                <w:bCs w:val="false"/>
                <w:sz w:val="13"/>
                <w:szCs w:val="13"/>
                <w:vertAlign w:val="superscript"/>
              </w:rPr>
              <w:t xml:space="preserve">−19</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 × 10</w:t>
            </w:r>
            <w:r>
              <w:rPr>
                <w:rFonts w:ascii="Times New Roman" w:cs="Times New Roman" w:eastAsia="Times New Roman" w:hAnsi="Times New Roman"/>
                <w:b w:val="false"/>
                <w:bCs w:val="false"/>
                <w:sz w:val="13"/>
                <w:szCs w:val="13"/>
                <w:vertAlign w:val="superscript"/>
              </w:rPr>
              <w:t xml:space="preserve">−19</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0.563</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0.524</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+0.021 [-0.001, +0.054]</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0.55</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6.3 × 10</w:t>
            </w:r>
            <w:r>
              <w:rPr>
                <w:rFonts w:ascii="Times New Roman" w:cs="Times New Roman" w:eastAsia="Times New Roman" w:hAnsi="Times New Roman"/>
                <w:b w:val="false"/>
                <w:bCs w:val="false"/>
                <w:sz w:val="13"/>
                <w:szCs w:val="13"/>
                <w:vertAlign w:val="superscript"/>
              </w:rPr>
              <w:t xml:space="preserve">−5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7.4 × 10</w:t>
            </w:r>
            <w:r>
              <w:rPr>
                <w:rFonts w:ascii="Times New Roman" w:cs="Times New Roman" w:eastAsia="Times New Roman" w:hAnsi="Times New Roman"/>
                <w:b w:val="false"/>
                <w:bCs w:val="false"/>
                <w:sz w:val="13"/>
                <w:szCs w:val="13"/>
                <w:vertAlign w:val="superscript"/>
              </w:rPr>
              <w:t xml:space="preserve">−5</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0.252</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+0.012 [+0.002, +0.019]</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0.003</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0.003</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0.338</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-0.012 [-0.021, -0.002]</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0.0005</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Network convergence (K d⁻¹)</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early growth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374</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0.058</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-0.056</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+0.120 [+0.115, +0.135]</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0.93</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2.7 × 10</w:t>
            </w:r>
            <w:r>
              <w:rPr>
                <w:rFonts w:ascii="Times New Roman" w:cs="Times New Roman" w:eastAsia="Times New Roman" w:hAnsi="Times New Roman"/>
                <w:b w:val="false"/>
                <w:bCs w:val="false"/>
                <w:sz w:val="13"/>
                <w:szCs w:val="13"/>
                <w:vertAlign w:val="superscript"/>
              </w:rPr>
              <w:t xml:space="preserve">−55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9.3 × 10</w:t>
            </w:r>
            <w:r>
              <w:rPr>
                <w:rFonts w:ascii="Times New Roman" w:cs="Times New Roman" w:eastAsia="Times New Roman" w:hAnsi="Times New Roman"/>
                <w:b w:val="false"/>
                <w:bCs w:val="false"/>
                <w:sz w:val="13"/>
                <w:szCs w:val="13"/>
                <w:vertAlign w:val="superscript"/>
              </w:rPr>
              <w:t xml:space="preserve">−55</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0.171</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0.303</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-0.130 [-0.142, -0.119]</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3.5 × 10</w:t>
            </w:r>
            <w:r>
              <w:rPr>
                <w:rFonts w:ascii="Times New Roman" w:cs="Times New Roman" w:eastAsia="Times New Roman" w:hAnsi="Times New Roman"/>
                <w:b w:val="false"/>
                <w:bCs w:val="false"/>
                <w:sz w:val="13"/>
                <w:szCs w:val="13"/>
                <w:vertAlign w:val="superscript"/>
              </w:rPr>
              <w:t xml:space="preserve">−50</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2.4 × 10</w:t>
            </w:r>
            <w:r>
              <w:rPr>
                <w:rFonts w:ascii="Times New Roman" w:cs="Times New Roman" w:eastAsia="Times New Roman" w:hAnsi="Times New Roman"/>
                <w:b w:val="false"/>
                <w:bCs w:val="false"/>
                <w:sz w:val="13"/>
                <w:szCs w:val="13"/>
                <w:vertAlign w:val="superscript"/>
              </w:rPr>
              <w:t xml:space="preserve">−49</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0.171</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0.278</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-0.102 [-0.119, -0.095]</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0.94</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3.2 × 10</w:t>
            </w:r>
            <w:r>
              <w:rPr>
                <w:rFonts w:ascii="Times New Roman" w:cs="Times New Roman" w:eastAsia="Times New Roman" w:hAnsi="Times New Roman"/>
                <w:b w:val="false"/>
                <w:bCs w:val="false"/>
                <w:sz w:val="13"/>
                <w:szCs w:val="13"/>
                <w:vertAlign w:val="superscript"/>
              </w:rPr>
              <w:t xml:space="preserve">−48</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1.5 × 10</w:t>
            </w:r>
            <w:r>
              <w:rPr>
                <w:rFonts w:ascii="Times New Roman" w:cs="Times New Roman" w:eastAsia="Times New Roman" w:hAnsi="Times New Roman"/>
                <w:b w:val="false"/>
                <w:bCs w:val="false"/>
                <w:sz w:val="13"/>
                <w:szCs w:val="13"/>
                <w:vertAlign w:val="superscript"/>
              </w:rPr>
              <w:t xml:space="preserve">−47</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onset (first 3 d)</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0.171</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0.774</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-0.587 [-0.615, -0.547]</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1.00</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9.4 × 10</w:t>
            </w:r>
            <w:r>
              <w:rPr>
                <w:rFonts w:ascii="Times New Roman" w:cs="Times New Roman" w:eastAsia="Times New Roman" w:hAnsi="Times New Roman"/>
                <w:b w:val="false"/>
                <w:bCs w:val="false"/>
                <w:sz w:val="13"/>
                <w:szCs w:val="13"/>
                <w:vertAlign w:val="superscript"/>
              </w:rPr>
              <w:t xml:space="preserve">−51</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 × 10</w:t>
            </w:r>
            <w:r>
              <w:rPr>
                <w:rFonts w:ascii="Times New Roman" w:cs="Times New Roman" w:eastAsia="Times New Roman" w:hAnsi="Times New Roman"/>
                <w:b w:val="false"/>
                <w:bCs w:val="false"/>
                <w:sz w:val="13"/>
                <w:szCs w:val="13"/>
                <w:vertAlign w:val="superscript"/>
              </w:rPr>
              <w:t xml:space="preserve">−49</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0.19</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0.107</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+0.058 [+0.039, +0.068]</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0.66</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 × 10</w:t>
            </w:r>
            <w:r>
              <w:rPr>
                <w:rFonts w:ascii="Times New Roman" w:cs="Times New Roman" w:eastAsia="Times New Roman" w:hAnsi="Times New Roman"/>
                <w:b w:val="false"/>
                <w:bCs w:val="false"/>
                <w:sz w:val="13"/>
                <w:szCs w:val="13"/>
                <w:vertAlign w:val="superscript"/>
              </w:rPr>
              <w:t xml:space="preserve">−15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2.3 × 10</w:t>
            </w:r>
            <w:r>
              <w:rPr>
                <w:rFonts w:ascii="Times New Roman" w:cs="Times New Roman" w:eastAsia="Times New Roman" w:hAnsi="Times New Roman"/>
                <w:b w:val="false"/>
                <w:bCs w:val="false"/>
                <w:sz w:val="13"/>
                <w:szCs w:val="13"/>
                <w:vertAlign w:val="superscript"/>
              </w:rPr>
              <w:t xml:space="preserve">−15</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0.189</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0.141</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+0.029 [+0.006, +0.046]</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0.59</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 × 10</w:t>
            </w:r>
            <w:r>
              <w:rPr>
                <w:rFonts w:ascii="Times New Roman" w:cs="Times New Roman" w:eastAsia="Times New Roman" w:hAnsi="Times New Roman"/>
                <w:b w:val="false"/>
                <w:bCs w:val="false"/>
                <w:sz w:val="13"/>
                <w:szCs w:val="13"/>
                <w:vertAlign w:val="superscript"/>
              </w:rPr>
              <w:t xml:space="preserve">−8</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1.5 × 10</w:t>
            </w:r>
            <w:r>
              <w:rPr>
                <w:rFonts w:ascii="Times New Roman" w:cs="Times New Roman" w:eastAsia="Times New Roman" w:hAnsi="Times New Roman"/>
                <w:b w:val="false"/>
                <w:bCs w:val="false"/>
                <w:sz w:val="13"/>
                <w:szCs w:val="13"/>
                <w:vertAlign w:val="superscript"/>
              </w:rPr>
              <w:t xml:space="preserve">−8</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0.029</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-0.043</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+0.057 [+0.039, +0.077]</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8.3 × 10</w:t>
            </w:r>
            <w:r>
              <w:rPr>
                <w:rFonts w:ascii="Times New Roman" w:cs="Times New Roman" w:eastAsia="Times New Roman" w:hAnsi="Times New Roman"/>
                <w:b w:val="false"/>
                <w:bCs w:val="false"/>
                <w:sz w:val="13"/>
                <w:szCs w:val="13"/>
                <w:vertAlign w:val="superscript"/>
              </w:rPr>
              <w:t xml:space="preserve">−15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 × 10</w:t>
            </w:r>
            <w:r>
              <w:rPr>
                <w:rFonts w:ascii="Times New Roman" w:cs="Times New Roman" w:eastAsia="Times New Roman" w:hAnsi="Times New Roman"/>
                <w:b w:val="false"/>
                <w:bCs w:val="false"/>
                <w:sz w:val="13"/>
                <w:szCs w:val="13"/>
                <w:vertAlign w:val="superscript"/>
              </w:rPr>
              <w:t xml:space="preserve">−14</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0.913</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-0.084 [-0.108, -0.067]</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0.73</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1.7 × 10</w:t>
            </w:r>
            <w:r>
              <w:rPr>
                <w:rFonts w:ascii="Times New Roman" w:cs="Times New Roman" w:eastAsia="Times New Roman" w:hAnsi="Times New Roman"/>
                <w:b w:val="false"/>
                <w:bCs w:val="false"/>
                <w:sz w:val="13"/>
                <w:szCs w:val="13"/>
                <w:vertAlign w:val="superscript"/>
              </w:rPr>
              <w:t xml:space="preserve">−23</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4.7 × 10</w:t>
            </w:r>
            <w:r>
              <w:rPr>
                <w:rFonts w:ascii="Times New Roman" w:cs="Times New Roman" w:eastAsia="Times New Roman" w:hAnsi="Times New Roman"/>
                <w:b w:val="false"/>
                <w:bCs w:val="false"/>
                <w:sz w:val="13"/>
                <w:szCs w:val="13"/>
                <w:vertAlign w:val="superscript"/>
              </w:rPr>
              <w:t xml:space="preserve">−23</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&lt;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0.866</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-0.051 [-0.073, -0.027]</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6.9 × 10</w:t>
            </w:r>
            <w:r>
              <w:rPr>
                <w:rFonts w:ascii="Times New Roman" w:cs="Times New Roman" w:eastAsia="Times New Roman" w:hAnsi="Times New Roman"/>
                <w:b w:val="false"/>
                <w:bCs w:val="false"/>
                <w:sz w:val="13"/>
                <w:szCs w:val="13"/>
                <w:vertAlign w:val="superscript"/>
              </w:rPr>
              <w:t xml:space="preserve">−14</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9.7 × 10</w:t>
            </w:r>
            <w:r>
              <w:rPr>
                <w:rFonts w:ascii="Times New Roman" w:cs="Times New Roman" w:eastAsia="Times New Roman" w:hAnsi="Times New Roman"/>
                <w:b w:val="false"/>
                <w:bCs w:val="false"/>
                <w:sz w:val="13"/>
                <w:szCs w:val="13"/>
                <w:vertAlign w:val="superscript"/>
              </w:rPr>
              <w:t xml:space="preserve">−14</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0.149</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0.119</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+0.034 [+0.025, +0.039]</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0.71</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5.6 × 10</w:t>
            </w:r>
            <w:r>
              <w:rPr>
                <w:rFonts w:ascii="Times New Roman" w:cs="Times New Roman" w:eastAsia="Times New Roman" w:hAnsi="Times New Roman"/>
                <w:b w:val="false"/>
                <w:bCs w:val="false"/>
                <w:sz w:val="13"/>
                <w:szCs w:val="13"/>
                <w:vertAlign w:val="superscript"/>
              </w:rPr>
              <w:t xml:space="preserve">−17</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 × 10</w:t>
            </w:r>
            <w:r>
              <w:rPr>
                <w:rFonts w:ascii="Times New Roman" w:cs="Times New Roman" w:eastAsia="Times New Roman" w:hAnsi="Times New Roman"/>
                <w:b w:val="false"/>
                <w:bCs w:val="false"/>
                <w:sz w:val="13"/>
                <w:szCs w:val="13"/>
                <w:vertAlign w:val="superscript"/>
              </w:rPr>
              <w:t xml:space="preserve">−16</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0.148</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0.118</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+0.029 [+0.021, +0.034]</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0.70</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3.2 × 10</w:t>
            </w:r>
            <w:r>
              <w:rPr>
                <w:rFonts w:ascii="Times New Roman" w:cs="Times New Roman" w:eastAsia="Times New Roman" w:hAnsi="Times New Roman"/>
                <w:b w:val="false"/>
                <w:bCs w:val="false"/>
                <w:sz w:val="13"/>
                <w:szCs w:val="13"/>
                <w:vertAlign w:val="superscript"/>
              </w:rPr>
              <w:t xml:space="preserve">−19</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7.4 × 10</w:t>
            </w:r>
            <w:r>
              <w:rPr>
                <w:rFonts w:ascii="Times New Roman" w:cs="Times New Roman" w:eastAsia="Times New Roman" w:hAnsi="Times New Roman"/>
                <w:b w:val="false"/>
                <w:bCs w:val="false"/>
                <w:sz w:val="13"/>
                <w:szCs w:val="13"/>
                <w:vertAlign w:val="superscript"/>
              </w:rPr>
              <w:t xml:space="preserve">−19</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0.561</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0.538</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+0.034 [+0.011, +0.057]</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0.003</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0.003</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0.249</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+0.012 [+0.007, +0.018]</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2.1 × 10</w:t>
            </w:r>
            <w:r>
              <w:rPr>
                <w:rFonts w:ascii="Times New Roman" w:cs="Times New Roman" w:eastAsia="Times New Roman" w:hAnsi="Times New Roman"/>
                <w:b w:val="false"/>
                <w:bCs w:val="false"/>
                <w:sz w:val="13"/>
                <w:szCs w:val="13"/>
                <w:vertAlign w:val="superscript"/>
              </w:rPr>
              <w:t xml:space="preserve">−5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2.5 × 10</w:t>
            </w:r>
            <w:r>
              <w:rPr>
                <w:rFonts w:ascii="Times New Roman" w:cs="Times New Roman" w:eastAsia="Times New Roman" w:hAnsi="Times New Roman"/>
                <w:b w:val="false"/>
                <w:bCs w:val="false"/>
                <w:sz w:val="13"/>
                <w:szCs w:val="13"/>
                <w:vertAlign w:val="superscript"/>
              </w:rPr>
              <w:t xml:space="preserve">−5</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 vs early growth</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0.313</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0.327</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 [-0.021, -0.000]</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0.005</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0.005</w:t>
            </w:r>
          </w:p>
        </w:tc>
      </w:tr>
      <w:tr>
        <w:trPr>
          <w:tblHeader w:val="false"/>
        </w:trPr>
        <w:tc>
          <w:tcPr>
            <w:tcW w:type="dxa" w:w="7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Network convergence (K d⁻¹)</w:t>
            </w:r>
          </w:p>
        </w:tc>
        <w:tc>
          <w:tcPr>
            <w:tcW w:type="dxa" w:w="213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early growth vs late decay</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 &gt; b</w:t>
            </w:r>
          </w:p>
        </w:tc>
        <w:tc>
          <w:tcPr>
            <w:tcW w:type="dxa" w:w="4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0.033</w:t>
            </w:r>
          </w:p>
        </w:tc>
        <w:tc>
          <w:tcPr>
            <w:tcW w:type="dxa" w:w="5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-0.083</w:t>
            </w:r>
          </w:p>
        </w:tc>
        <w:tc>
          <w:tcPr>
            <w:tcW w:type="dxa" w:w="185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+0.120 [+0.106, +0.138]</w:t>
            </w:r>
          </w:p>
        </w:tc>
        <w:tc>
          <w:tcPr>
            <w:tcW w:type="dxa" w:w="27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0.95</w:t>
            </w:r>
          </w:p>
        </w:tc>
        <w:tc>
          <w:tcPr>
            <w:tcW w:type="dxa" w:w="9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3.3 × 10</w:t>
            </w:r>
            <w:r>
              <w:rPr>
                <w:rFonts w:ascii="Times New Roman" w:cs="Times New Roman" w:eastAsia="Times New Roman" w:hAnsi="Times New Roman"/>
                <w:b w:val="false"/>
                <w:bCs w:val="false"/>
                <w:sz w:val="13"/>
                <w:szCs w:val="13"/>
                <w:vertAlign w:val="superscript"/>
              </w:rPr>
              <w:t xml:space="preserve">−47</w:t>
            </w:r>
          </w:p>
        </w:tc>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 × 10</w:t>
            </w:r>
            <w:r>
              <w:rPr>
                <w:rFonts w:ascii="Times New Roman" w:cs="Times New Roman" w:eastAsia="Times New Roman" w:hAnsi="Times New Roman"/>
                <w:b w:val="false"/>
                <w:bCs w:val="false"/>
                <w:sz w:val="13"/>
                <w:szCs w:val="13"/>
                <w:vertAlign w:val="superscript"/>
              </w:rPr>
              <w:t xml:space="preserve">−46</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3 | Warm–cold contrasts of near-peak features (main set): two-sided Mann–Whitney U tests with Cliff's δ (MHW − MCS), FDR across features, within-year label permutation (1,000 permutations) and the phenomenon coefficient of an OLS model with log10 N_peak and season as covariates (year-clustered standard errors).</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4"/>
        <w:gridCol w:w="760"/>
        <w:gridCol w:w="690"/>
        <w:gridCol w:w="690"/>
        <w:gridCol w:w="621"/>
        <w:gridCol w:w="1105"/>
        <w:gridCol w:w="829"/>
        <w:gridCol w:w="1865"/>
        <w:gridCol w:w="1589"/>
        <w:gridCol w:w="1174"/>
        <w:gridCol w:w="1663"/>
      </w:tblGrid>
      <w:tr>
        <w:trPr>
          <w:tblHeader/>
        </w:trPr>
        <w:tc>
          <w:tcPr>
            <w:tcW w:type="dxa" w:w="269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Near-peak feature</w:t>
            </w:r>
          </w:p>
        </w:tc>
        <w:tc>
          <w:tcPr>
            <w:tcW w:type="dxa" w:w="76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n (MHW/MCS)</w:t>
            </w:r>
          </w:p>
        </w:tc>
        <w:tc>
          <w:tcPr>
            <w:tcW w:type="dxa" w:w="69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MHW</w:t>
            </w:r>
          </w:p>
        </w:tc>
        <w:tc>
          <w:tcPr>
            <w:tcW w:type="dxa" w:w="69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MCS</w:t>
            </w:r>
          </w:p>
        </w:tc>
        <w:tc>
          <w:tcPr>
            <w:tcW w:type="dxa" w:w="62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Cliff's δ</w:t>
            </w:r>
          </w:p>
        </w:tc>
        <w:tc>
          <w:tcPr>
            <w:tcW w:type="dxa" w:w="1105"/>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(Mann–Whitney)</w:t>
            </w:r>
          </w:p>
        </w:tc>
        <w:tc>
          <w:tcPr>
            <w:tcW w:type="dxa" w:w="82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p_FDR</w:t>
            </w:r>
          </w:p>
        </w:tc>
        <w:tc>
          <w:tcPr>
            <w:tcW w:type="dxa" w:w="1865"/>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(within-year permutation)</w:t>
            </w:r>
          </w:p>
        </w:tc>
        <w:tc>
          <w:tcPr>
            <w:tcW w:type="dxa" w:w="158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Size-adjusted MHW − MCS</w:t>
            </w:r>
          </w:p>
        </w:tc>
        <w:tc>
          <w:tcPr>
            <w:tcW w:type="dxa" w:w="117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(size-adjusted)</w:t>
            </w:r>
          </w:p>
        </w:tc>
        <w:tc>
          <w:tcPr>
            <w:tcW w:type="dxa" w:w="166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log10 N_peak coefficient</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0.256</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0.259</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-0.007</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0.883</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0.883</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0.344</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-0.0017</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0.390</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+0.080 (1.6 × 10</w:t>
            </w:r>
            <w:r>
              <w:rPr>
                <w:rFonts w:ascii="Times New Roman" w:cs="Times New Roman" w:eastAsia="Times New Roman" w:hAnsi="Times New Roman"/>
                <w:b w:val="false"/>
                <w:bCs w:val="false"/>
                <w:sz w:val="13"/>
                <w:szCs w:val="13"/>
                <w:vertAlign w:val="superscript"/>
              </w:rPr>
              <w:t xml:space="preserve">−60</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0.314</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0.313</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0.810</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0.872</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0.944</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-0.0019</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0.529</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+0.126 (8.7 × 10</w:t>
            </w:r>
            <w:r>
              <w:rPr>
                <w:rFonts w:ascii="Times New Roman" w:cs="Times New Roman" w:eastAsia="Times New Roman" w:hAnsi="Times New Roman"/>
                <w:b w:val="false"/>
                <w:bCs w:val="false"/>
                <w:sz w:val="13"/>
                <w:szCs w:val="13"/>
                <w:vertAlign w:val="superscript"/>
              </w:rPr>
              <w:t xml:space="preserve">−66</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edge flux</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1.315</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1.293</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0.026</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0.053</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0.0217</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0.034</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+0.083 (9.7 × 10</w:t>
            </w:r>
            <w:r>
              <w:rPr>
                <w:rFonts w:ascii="Times New Roman" w:cs="Times New Roman" w:eastAsia="Times New Roman" w:hAnsi="Times New Roman"/>
                <w:b w:val="false"/>
                <w:bCs w:val="false"/>
                <w:sz w:val="13"/>
                <w:szCs w:val="13"/>
                <w:vertAlign w:val="superscript"/>
              </w:rPr>
              <w:t xml:space="preserve">−11</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node strength</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0.703</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0.676</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0.055</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0.223</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0.345</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0.0137</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0.102</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+0.305 (2.9 × 10</w:t>
            </w:r>
            <w:r>
              <w:rPr>
                <w:rFonts w:ascii="Times New Roman" w:cs="Times New Roman" w:eastAsia="Times New Roman" w:hAnsi="Times New Roman"/>
                <w:b w:val="false"/>
                <w:bCs w:val="false"/>
                <w:sz w:val="13"/>
                <w:szCs w:val="13"/>
                <w:vertAlign w:val="superscript"/>
              </w:rPr>
              <w:t xml:space="preserve">−71</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0.111</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0.189</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-0.191</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2.1 × 10</w:t>
            </w:r>
            <w:r>
              <w:rPr>
                <w:rFonts w:ascii="Times New Roman" w:cs="Times New Roman" w:eastAsia="Times New Roman" w:hAnsi="Times New Roman"/>
                <w:b w:val="false"/>
                <w:bCs w:val="false"/>
                <w:sz w:val="13"/>
                <w:szCs w:val="13"/>
                <w:vertAlign w:val="superscript"/>
              </w:rPr>
              <w:t xml:space="preserve">−5</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6.9 × 10</w:t>
            </w:r>
            <w:r>
              <w:rPr>
                <w:rFonts w:ascii="Times New Roman" w:cs="Times New Roman" w:eastAsia="Times New Roman" w:hAnsi="Times New Roman"/>
                <w:b w:val="false"/>
                <w:bCs w:val="false"/>
                <w:sz w:val="13"/>
                <w:szCs w:val="13"/>
                <w:vertAlign w:val="superscript"/>
              </w:rPr>
              <w:t xml:space="preserve">−5</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-0.0562</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0.0005</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+0.063 (0.030)</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0.028</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-0.189</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2.5 × 10</w:t>
            </w:r>
            <w:r>
              <w:rPr>
                <w:rFonts w:ascii="Times New Roman" w:cs="Times New Roman" w:eastAsia="Times New Roman" w:hAnsi="Times New Roman"/>
                <w:b w:val="false"/>
                <w:bCs w:val="false"/>
                <w:sz w:val="13"/>
                <w:szCs w:val="13"/>
                <w:vertAlign w:val="superscript"/>
              </w:rPr>
              <w:t xml:space="preserve">−5</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6.9 × 10</w:t>
            </w:r>
            <w:r>
              <w:rPr>
                <w:rFonts w:ascii="Times New Roman" w:cs="Times New Roman" w:eastAsia="Times New Roman" w:hAnsi="Times New Roman"/>
                <w:b w:val="false"/>
                <w:bCs w:val="false"/>
                <w:sz w:val="13"/>
                <w:szCs w:val="13"/>
                <w:vertAlign w:val="superscript"/>
              </w:rPr>
              <w:t xml:space="preserve">−5</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-0.0599</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0.0001</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+0.148 (1.7 × 10</w:t>
            </w:r>
            <w:r>
              <w:rPr>
                <w:rFonts w:ascii="Times New Roman" w:cs="Times New Roman" w:eastAsia="Times New Roman" w:hAnsi="Times New Roman"/>
                <w:b w:val="false"/>
                <w:bCs w:val="false"/>
                <w:sz w:val="13"/>
                <w:szCs w:val="13"/>
                <w:vertAlign w:val="superscript"/>
              </w:rPr>
              <w:t xml:space="preserve">−8</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0.896</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0.197</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 × 10</w:t>
            </w:r>
            <w:r>
              <w:rPr>
                <w:rFonts w:ascii="Times New Roman" w:cs="Times New Roman" w:eastAsia="Times New Roman" w:hAnsi="Times New Roman"/>
                <w:b w:val="false"/>
                <w:bCs w:val="false"/>
                <w:sz w:val="13"/>
                <w:szCs w:val="13"/>
                <w:vertAlign w:val="superscript"/>
              </w:rPr>
              <w:t xml:space="preserve">−5</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5.4 × 10</w:t>
            </w:r>
            <w:r>
              <w:rPr>
                <w:rFonts w:ascii="Times New Roman" w:cs="Times New Roman" w:eastAsia="Times New Roman" w:hAnsi="Times New Roman"/>
                <w:b w:val="false"/>
                <w:bCs w:val="false"/>
                <w:sz w:val="13"/>
                <w:szCs w:val="13"/>
                <w:vertAlign w:val="superscript"/>
              </w:rPr>
              <w:t xml:space="preserve">−5</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0.0665</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0.0002</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-0.146 (7.3 × 10</w:t>
            </w:r>
            <w:r>
              <w:rPr>
                <w:rFonts w:ascii="Times New Roman" w:cs="Times New Roman" w:eastAsia="Times New Roman" w:hAnsi="Times New Roman"/>
                <w:b w:val="false"/>
                <w:bCs w:val="false"/>
                <w:sz w:val="13"/>
                <w:szCs w:val="13"/>
                <w:vertAlign w:val="superscript"/>
              </w:rPr>
              <w:t xml:space="preserve">−6</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0.148</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-0.083</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0.065</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0.114</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0.176</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-0.0116</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0.019</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-0.046 (7.5 × 10</w:t>
            </w:r>
            <w:r>
              <w:rPr>
                <w:rFonts w:ascii="Times New Roman" w:cs="Times New Roman" w:eastAsia="Times New Roman" w:hAnsi="Times New Roman"/>
                <w:b w:val="false"/>
                <w:bCs w:val="false"/>
                <w:sz w:val="13"/>
                <w:szCs w:val="13"/>
                <w:vertAlign w:val="superscript"/>
              </w:rPr>
              <w:t xml:space="preserve">−6</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0.563</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0.561</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0.052</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0.246</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0.345</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0.854</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0.0146</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0.051</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+0.074 (1.7 × 10</w:t>
            </w:r>
            <w:r>
              <w:rPr>
                <w:rFonts w:ascii="Times New Roman" w:cs="Times New Roman" w:eastAsia="Times New Roman" w:hAnsi="Times New Roman"/>
                <w:b w:val="false"/>
                <w:bCs w:val="false"/>
                <w:sz w:val="13"/>
                <w:szCs w:val="13"/>
                <w:vertAlign w:val="superscript"/>
              </w:rPr>
              <w:t xml:space="preserve">−6</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0.152</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0.171</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-0.206</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4.2 × 10</w:t>
            </w:r>
            <w:r>
              <w:rPr>
                <w:rFonts w:ascii="Times New Roman" w:cs="Times New Roman" w:eastAsia="Times New Roman" w:hAnsi="Times New Roman"/>
                <w:b w:val="false"/>
                <w:bCs w:val="false"/>
                <w:sz w:val="13"/>
                <w:szCs w:val="13"/>
                <w:vertAlign w:val="superscript"/>
              </w:rPr>
              <w:t xml:space="preserve">−6</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5.4 × 10</w:t>
            </w:r>
            <w:r>
              <w:rPr>
                <w:rFonts w:ascii="Times New Roman" w:cs="Times New Roman" w:eastAsia="Times New Roman" w:hAnsi="Times New Roman"/>
                <w:b w:val="false"/>
                <w:bCs w:val="false"/>
                <w:sz w:val="13"/>
                <w:szCs w:val="13"/>
                <w:vertAlign w:val="superscript"/>
              </w:rPr>
              <w:t xml:space="preserve">−5</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-0.0157</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0.0002</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-0.093 (4.1 × 10</w:t>
            </w:r>
            <w:r>
              <w:rPr>
                <w:rFonts w:ascii="Times New Roman" w:cs="Times New Roman" w:eastAsia="Times New Roman" w:hAnsi="Times New Roman"/>
                <w:b w:val="false"/>
                <w:bCs w:val="false"/>
                <w:sz w:val="13"/>
                <w:szCs w:val="13"/>
                <w:vertAlign w:val="superscript"/>
              </w:rPr>
              <w:t xml:space="preserve">−44</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 (early growth)</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375/296</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0.303</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-0.149</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0.0009</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0.002</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0.012</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-0.0193</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0.002</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-0.095 (2.1 × 10</w:t>
            </w:r>
            <w:r>
              <w:rPr>
                <w:rFonts w:ascii="Times New Roman" w:cs="Times New Roman" w:eastAsia="Times New Roman" w:hAnsi="Times New Roman"/>
                <w:b w:val="false"/>
                <w:bCs w:val="false"/>
                <w:sz w:val="13"/>
                <w:szCs w:val="13"/>
                <w:vertAlign w:val="superscript"/>
              </w:rPr>
              <w:t xml:space="preserve">−14</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Backbone flux share</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0.493</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0.488</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0.037</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0.410</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0.478</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0.546</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0.0025</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0.654</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-0.007 (0.502)</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Modularity</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0.689</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0.693</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-0.039</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0.387</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0.478</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0.336</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-0.0082</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4.9 × 10</w:t>
            </w:r>
            <w:r>
              <w:rPr>
                <w:rFonts w:ascii="Times New Roman" w:cs="Times New Roman" w:eastAsia="Times New Roman" w:hAnsi="Times New Roman"/>
                <w:b w:val="false"/>
                <w:bCs w:val="false"/>
                <w:sz w:val="13"/>
                <w:szCs w:val="13"/>
                <w:vertAlign w:val="superscript"/>
              </w:rPr>
              <w:t xml:space="preserve">−5</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+0.184 (&lt; 10</w:t>
            </w:r>
            <w:r>
              <w:rPr>
                <w:rFonts w:ascii="Times New Roman" w:cs="Times New Roman" w:eastAsia="Times New Roman" w:hAnsi="Times New Roman"/>
                <w:b w:val="false"/>
                <w:bCs w:val="false"/>
                <w:sz w:val="13"/>
                <w:szCs w:val="13"/>
                <w:vertAlign w:val="superscript"/>
              </w:rPr>
              <w:t xml:space="preserve">−300</w:t>
            </w:r>
            <w:r>
              <w:rPr>
                <w:rFonts w:ascii="Times New Roman" w:cs="Times New Roman" w:eastAsia="Times New Roman" w:hAnsi="Times New Roman"/>
                <w:b w:val="false"/>
                <w:bCs w:val="false"/>
                <w:sz w:val="13"/>
                <w:szCs w:val="13"/>
              </w:rPr>
              <w:t xml:space="preserve">)</w:t>
            </w:r>
          </w:p>
        </w:tc>
      </w:tr>
      <w:tr>
        <w:trPr>
          <w:tblHeader w:val="false"/>
        </w:trPr>
        <w:tc>
          <w:tcPr>
            <w:tcW w:type="dxa" w:w="269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Flux fraction on cycles</w:t>
            </w:r>
          </w:p>
        </w:tc>
        <w:tc>
          <w:tcPr>
            <w:tcW w:type="dxa" w:w="7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375/297</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0.092</w:t>
            </w:r>
          </w:p>
        </w:tc>
        <w:tc>
          <w:tcPr>
            <w:tcW w:type="dxa" w:w="6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0.188</w:t>
            </w:r>
          </w:p>
        </w:tc>
        <w:tc>
          <w:tcPr>
            <w:tcW w:type="dxa" w:w="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w:t>
            </w:r>
          </w:p>
        </w:tc>
        <w:tc>
          <w:tcPr>
            <w:tcW w:type="dxa" w:w="110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8.6 × 10</w:t>
            </w:r>
            <w:r>
              <w:rPr>
                <w:rFonts w:ascii="Times New Roman" w:cs="Times New Roman" w:eastAsia="Times New Roman" w:hAnsi="Times New Roman"/>
                <w:b w:val="false"/>
                <w:bCs w:val="false"/>
                <w:sz w:val="13"/>
                <w:szCs w:val="13"/>
                <w:vertAlign w:val="superscript"/>
              </w:rPr>
              <w:t xml:space="preserve">−6</w:t>
            </w:r>
          </w:p>
        </w:tc>
        <w:tc>
          <w:tcPr>
            <w:tcW w:type="dxa" w:w="8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5.4 × 10</w:t>
            </w:r>
            <w:r>
              <w:rPr>
                <w:rFonts w:ascii="Times New Roman" w:cs="Times New Roman" w:eastAsia="Times New Roman" w:hAnsi="Times New Roman"/>
                <w:b w:val="false"/>
                <w:bCs w:val="false"/>
                <w:sz w:val="13"/>
                <w:szCs w:val="13"/>
                <w:vertAlign w:val="superscript"/>
              </w:rPr>
              <w:t xml:space="preserve">−5</w:t>
            </w:r>
          </w:p>
        </w:tc>
        <w:tc>
          <w:tcPr>
            <w:tcW w:type="dxa" w:w="186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w:t>
            </w:r>
          </w:p>
        </w:tc>
        <w:tc>
          <w:tcPr>
            <w:tcW w:type="dxa" w:w="15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-0.069</w:t>
            </w:r>
          </w:p>
        </w:tc>
        <w:tc>
          <w:tcPr>
            <w:tcW w:type="dxa" w:w="117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0.0004</w:t>
            </w:r>
          </w:p>
        </w:tc>
        <w:tc>
          <w:tcPr>
            <w:tcW w:type="dxa" w:w="166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+0.181 (7.8 × 10</w:t>
            </w:r>
            <w:r>
              <w:rPr>
                <w:rFonts w:ascii="Times New Roman" w:cs="Times New Roman" w:eastAsia="Times New Roman" w:hAnsi="Times New Roman"/>
                <w:b w:val="false"/>
                <w:bCs w:val="false"/>
                <w:sz w:val="13"/>
                <w:szCs w:val="13"/>
                <w:vertAlign w:val="superscript"/>
              </w:rPr>
              <w:t xml:space="preserve">−7</w:t>
            </w:r>
            <w:r>
              <w:rPr>
                <w:rFonts w:ascii="Times New Roman" w:cs="Times New Roman" w:eastAsia="Times New Roman" w:hAnsi="Times New Roman"/>
                <w:b w:val="false"/>
                <w:bCs w:val="false"/>
                <w:sz w:val="13"/>
                <w:szCs w:val="13"/>
              </w:rPr>
              <w:t xml:space="preserve">)</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4 | Seasonal differences within each phenomenon (Kruskal–Wallis across the four seasons, FDR across features) and the JJA-versus-DJF contrast.</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
        <w:gridCol w:w="3654"/>
        <w:gridCol w:w="936"/>
        <w:gridCol w:w="936"/>
        <w:gridCol w:w="936"/>
        <w:gridCol w:w="936"/>
        <w:gridCol w:w="1686"/>
        <w:gridCol w:w="562"/>
        <w:gridCol w:w="1780"/>
        <w:gridCol w:w="1318"/>
      </w:tblGrid>
      <w:tr>
        <w:trPr>
          <w:tblHeader/>
        </w:trPr>
        <w:tc>
          <w:tcPr>
            <w:tcW w:type="dxa" w:w="9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Phenomenon</w:t>
            </w:r>
          </w:p>
        </w:tc>
        <w:tc>
          <w:tcPr>
            <w:tcW w:type="dxa" w:w="365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Near-peak feature</w:t>
            </w:r>
          </w:p>
        </w:tc>
        <w:tc>
          <w:tcPr>
            <w:tcW w:type="dxa" w:w="9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DJF</w:t>
            </w:r>
          </w:p>
        </w:tc>
        <w:tc>
          <w:tcPr>
            <w:tcW w:type="dxa" w:w="9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MAM</w:t>
            </w:r>
          </w:p>
        </w:tc>
        <w:tc>
          <w:tcPr>
            <w:tcW w:type="dxa" w:w="9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JJA</w:t>
            </w:r>
          </w:p>
        </w:tc>
        <w:tc>
          <w:tcPr>
            <w:tcW w:type="dxa" w:w="9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SON</w:t>
            </w:r>
          </w:p>
        </w:tc>
        <w:tc>
          <w:tcPr>
            <w:tcW w:type="dxa" w:w="168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(Kruskal–Wallis)</w:t>
            </w:r>
          </w:p>
        </w:tc>
        <w:tc>
          <w:tcPr>
            <w:tcW w:type="dxa" w:w="56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p_FDR</w:t>
            </w:r>
          </w:p>
        </w:tc>
        <w:tc>
          <w:tcPr>
            <w:tcW w:type="dxa" w:w="178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Cliff's δ JJA − DJF</w:t>
            </w:r>
          </w:p>
        </w:tc>
        <w:tc>
          <w:tcPr>
            <w:tcW w:type="dxa" w:w="131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(JJA vs DJF)</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0.258</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0.268</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0.249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0.251</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0.034</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0.075</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0.32</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0.327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0.292</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0.065</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0.182</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0.104</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edge flux</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1.323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1.344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1.301</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1.293</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0.134</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0.211</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0.881</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node strength</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0.717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0.668</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0.666</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0.152</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0.111</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0.116</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0.487</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0.568</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0.171</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-0.075</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0.113</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0.211</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0.050</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0.889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0.915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0.895</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0.434</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0.568</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0.155</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0.141</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0.147</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0.81</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0.81</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0.678</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0.541</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0.555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0.586</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0.064</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0.182</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0.21</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0.010</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0.168</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0.144</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0.0003</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0.004</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0.0002</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 (early growth)</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0.301</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0.286</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0.115</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0.211</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0.083</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Backbone flux share</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0.505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0.488</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0.473</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0.136</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0.211</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0.563</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Modularity</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0.692</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0.692</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0.682</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0.734</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0.798</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Flux fraction on cycles</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0.088</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0.448</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0.568</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0.161</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0.266</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0.248</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0.076</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0.207</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0.089</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0.324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0.312</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0.312</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0.304</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0.141</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0.207</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0.181</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edge flux</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1.286</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1.303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1.283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1.295</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0.596</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0.642</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0.571</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node strength</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0.676</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0.676</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0.632</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0.138</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0.207</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0.248</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0.178</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0.202</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0.107</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0.207</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0.051</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0.029</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0.132</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0.207</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0.129</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0.795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0.867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0.739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0.781</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0.184</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0.235</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0.085</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0.164</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0.008</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0.006</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0.505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0.566</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0.608</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0.558</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0.0006</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0.008</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0.38</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3.3 × 10</w:t>
            </w:r>
            <w:r>
              <w:rPr>
                <w:rFonts w:ascii="Times New Roman" w:cs="Times New Roman" w:eastAsia="Times New Roman" w:hAnsi="Times New Roman"/>
                <w:b w:val="false"/>
                <w:bCs w:val="false"/>
                <w:sz w:val="13"/>
                <w:szCs w:val="13"/>
                <w:vertAlign w:val="superscript"/>
              </w:rPr>
              <w:t xml:space="preserve">−5</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0.181</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0.171</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0.147</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0.003</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0.013</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0.103</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 (early growth)</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0.302</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0.276</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0.124</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0.207</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0.400</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Backbone flux share</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0.494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0.489</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0.483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0.479</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0.962</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0.962</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0.993</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Modularity</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0.707</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0.692</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0.693</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0.689</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0.148</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0.207</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0.230</w:t>
            </w:r>
          </w:p>
        </w:tc>
      </w:tr>
      <w:tr>
        <w:trPr>
          <w:tblHeader w:val="false"/>
        </w:trPr>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6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Flux fraction on cycles</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0.174</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0.255</w:t>
            </w:r>
          </w:p>
        </w:tc>
        <w:tc>
          <w:tcPr>
            <w:tcW w:type="dxa" w:w="9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0.195</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0.313</w:t>
            </w:r>
          </w:p>
        </w:tc>
        <w:tc>
          <w:tcPr>
            <w:tcW w:type="dxa" w:w="56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0.365</w:t>
            </w:r>
          </w:p>
        </w:tc>
        <w:tc>
          <w:tcPr>
            <w:tcW w:type="dxa" w:w="178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13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0.120</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5 | Recirculation relative to the direction-randomized null model: per-object SCC excess (observed − null) and hierarchy deficit (null − observed), medians with year-block 95% confidence intervals and one-sided Wilcoxon tests against zero.</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9"/>
        <w:gridCol w:w="701"/>
        <w:gridCol w:w="4676"/>
        <w:gridCol w:w="701"/>
        <w:gridCol w:w="3040"/>
        <w:gridCol w:w="1403"/>
        <w:gridCol w:w="1990"/>
      </w:tblGrid>
      <w:tr>
        <w:trPr>
          <w:tblHeader/>
        </w:trPr>
        <w:tc>
          <w:tcPr>
            <w:tcW w:type="dxa" w:w="116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Phenomenon</w:t>
            </w:r>
          </w:p>
        </w:tc>
        <w:tc>
          <w:tcPr>
            <w:tcW w:type="dxa" w:w="70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Season</w:t>
            </w:r>
          </w:p>
        </w:tc>
        <w:tc>
          <w:tcPr>
            <w:tcW w:type="dxa" w:w="467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Quantity</w:t>
            </w:r>
          </w:p>
        </w:tc>
        <w:tc>
          <w:tcPr>
            <w:tcW w:type="dxa" w:w="70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n</w:t>
            </w:r>
          </w:p>
        </w:tc>
        <w:tc>
          <w:tcPr>
            <w:tcW w:type="dxa" w:w="304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Median [95% year-block CI]</w:t>
            </w:r>
          </w:p>
        </w:tc>
        <w:tc>
          <w:tcPr>
            <w:tcW w:type="dxa" w:w="140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Fraction &gt; 0</w:t>
            </w:r>
          </w:p>
        </w:tc>
        <w:tc>
          <w:tcPr>
            <w:tcW w:type="dxa" w:w="199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 (Wilcoxon, &gt; 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-0.057 [-0.078, -0.032]</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0.39</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0.794</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-0.074 [-0.080, -0.068]</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0.22</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-0.052 [-0.061, -0.043]</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0.31</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-0.162 [-0.191, -0.148]</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0.29</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103</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-0.053 [-0.066, -0.006]</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0.42</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0.452</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103</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-0.079 [-0.097, -0.074]</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0.18</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102</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-0.041 [-0.052, -0.030]</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0.32</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0.995</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103</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-0.143 [-0.171, -0.092]</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0.999</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85</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-0.045 [-0.075, +0.036]</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0.42</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0.418</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85</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-0.062 [-0.077, -0.041]</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0.15</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85</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-0.043 [-0.074, -0.010]</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0.36</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0.947</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85</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-0.148 [-0.189, -0.064]</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0.29</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0.997</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101</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-0.075 [-0.110, -0.027]</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0.33</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0.925</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101</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-0.068 [-0.101, -0.055]</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0.29</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101</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-0.081 [-0.092, -0.057]</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101</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-0.200 [-0.233, -0.153]</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0.25</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86</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-0.075 [-0.113, -0.011]</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0.714</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86</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-0.095 [-0.114, -0.061]</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0.24</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86</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-0.049 [-0.068, -0.025]</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0.36</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0.968</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86</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-0.185 [-0.222, -0.128]</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+0.028 [-0.010, +0.059]</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0.54</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1.9 × 10</w:t>
            </w:r>
            <w:r>
              <w:rPr>
                <w:rFonts w:ascii="Times New Roman" w:cs="Times New Roman" w:eastAsia="Times New Roman" w:hAnsi="Times New Roman"/>
                <w:b w:val="false"/>
                <w:bCs w:val="false"/>
                <w:sz w:val="15"/>
                <w:szCs w:val="15"/>
                <w:vertAlign w:val="superscript"/>
              </w:rPr>
              <w:t xml:space="preserve">−5</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296</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-0.043 [-0.062, -0.030]</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0.35</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-0.022 [-0.038, +0.004]</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0.43</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0.731</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All</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-0.069 [-0.104, -0.037]</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0.979</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80</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+0.030 [-0.027, +0.079]</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0.54</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0.026</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79</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-0.060 [-0.072, -0.005]</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0.38</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0.983</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80</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-0.016 [-0.034, +0.033]</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0.45</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0.291</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DJF</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80</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-0.065 [-0.131, -0.014]</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0.36</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0.998</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-0.044 [-0.076, +0.049]</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0.44</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0.400</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-0.046 [-0.070, -0.016]</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0.31</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0.999</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-0.021 [-0.035, +0.025]</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0.44</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0.532</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MAM</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-0.130 [-0.181, -0.047]</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0.33</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0.971</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79</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+0.067 [+0.020, +0.135]</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0.63</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0.0002</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79</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-0.043 [-0.073, -0.009]</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0.39</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0.641</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79</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-0.028 [-0.053, +0.022]</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0.43</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0.843</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JJA</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79</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-0.033 [-0.072, +0.044]</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0.48</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0.224</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+0.029 [-0.046, +0.165]</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0.51</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0.007</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early growth</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-0.036 [-0.074, -0.011]</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0.32</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0.985</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late decay</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-0.028 [-0.057, +0.016]</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0.41</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0.715</w:t>
            </w:r>
          </w:p>
        </w:tc>
      </w:tr>
      <w:tr>
        <w:trPr>
          <w:tblHeader w:val="false"/>
        </w:trPr>
        <w:tc>
          <w:tcPr>
            <w:tcW w:type="dxa" w:w="11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SON</w:t>
            </w:r>
          </w:p>
        </w:tc>
        <w:tc>
          <w:tcPr>
            <w:tcW w:type="dxa" w:w="4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Hierarchy deficit (null − observed), near peak</w:t>
            </w:r>
          </w:p>
        </w:tc>
        <w:tc>
          <w:tcPr>
            <w:tcW w:type="dxa" w:w="7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74</w:t>
            </w:r>
          </w:p>
        </w:tc>
        <w:tc>
          <w:tcPr>
            <w:tcW w:type="dxa" w:w="30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-0.073 [-0.157, +0.085]</w:t>
            </w:r>
          </w:p>
        </w:tc>
        <w:tc>
          <w:tcPr>
            <w:tcW w:type="dxa" w:w="140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0.41</w:t>
            </w:r>
          </w:p>
        </w:tc>
        <w:tc>
          <w:tcPr>
            <w:tcW w:type="dxa" w:w="19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0.676</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6 | Scaling of peak internal transport Φ_peak and of near-peak topology with event size N_peak and intensity I_peak (ordinary least squares on log-transformed variables where indicated; Spearman correlations on the raw variables).</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36"/>
        <w:gridCol w:w="2120"/>
        <w:gridCol w:w="636"/>
        <w:gridCol w:w="2014"/>
        <w:gridCol w:w="636"/>
        <w:gridCol w:w="1484"/>
        <w:gridCol w:w="1166"/>
        <w:gridCol w:w="954"/>
        <w:gridCol w:w="1484"/>
        <w:gridCol w:w="1060"/>
        <w:gridCol w:w="1490"/>
      </w:tblGrid>
      <w:tr>
        <w:trPr>
          <w:tblHeader/>
        </w:trPr>
        <w:tc>
          <w:tcPr>
            <w:tcW w:type="dxa" w:w="6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Set</w:t>
            </w:r>
          </w:p>
        </w:tc>
        <w:tc>
          <w:tcPr>
            <w:tcW w:type="dxa" w:w="212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y</w:t>
            </w:r>
          </w:p>
        </w:tc>
        <w:tc>
          <w:tcPr>
            <w:tcW w:type="dxa" w:w="6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x</w:t>
            </w:r>
          </w:p>
        </w:tc>
        <w:tc>
          <w:tcPr>
            <w:tcW w:type="dxa" w:w="201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Model</w:t>
            </w:r>
          </w:p>
        </w:tc>
        <w:tc>
          <w:tcPr>
            <w:tcW w:type="dxa" w:w="6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n</w:t>
            </w:r>
          </w:p>
        </w:tc>
        <w:tc>
          <w:tcPr>
            <w:tcW w:type="dxa" w:w="148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Slope b ± s.e.</w:t>
            </w:r>
          </w:p>
        </w:tc>
        <w:tc>
          <w:tcPr>
            <w:tcW w:type="dxa" w:w="116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Intercept a</w:t>
            </w:r>
          </w:p>
        </w:tc>
        <w:tc>
          <w:tcPr>
            <w:tcW w:type="dxa" w:w="95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Pearson r</w:t>
            </w:r>
          </w:p>
        </w:tc>
        <w:tc>
          <w:tcPr>
            <w:tcW w:type="dxa" w:w="148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w:t>
            </w:r>
          </w:p>
        </w:tc>
        <w:tc>
          <w:tcPr>
            <w:tcW w:type="dxa" w:w="106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Spearman ρ</w:t>
            </w:r>
          </w:p>
        </w:tc>
        <w:tc>
          <w:tcPr>
            <w:tcW w:type="dxa" w:w="149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(Spearman)</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Φ_peak</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log y = a + b log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1.165 ± 0.042</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-3.572</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0.823</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8.4 × 10</w:t>
            </w:r>
            <w:r>
              <w:rPr>
                <w:rFonts w:ascii="Times New Roman" w:cs="Times New Roman" w:eastAsia="Times New Roman" w:hAnsi="Times New Roman"/>
                <w:b w:val="false"/>
                <w:bCs w:val="false"/>
                <w:sz w:val="13"/>
                <w:szCs w:val="13"/>
                <w:vertAlign w:val="superscript"/>
              </w:rPr>
              <w:t xml:space="preserve">−94</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0.77</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7.0 × 10</w:t>
            </w:r>
            <w:r>
              <w:rPr>
                <w:rFonts w:ascii="Times New Roman" w:cs="Times New Roman" w:eastAsia="Times New Roman" w:hAnsi="Times New Roman"/>
                <w:b w:val="false"/>
                <w:bCs w:val="false"/>
                <w:sz w:val="13"/>
                <w:szCs w:val="13"/>
                <w:vertAlign w:val="superscript"/>
              </w:rPr>
              <w:t xml:space="preserve">−75</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Φ_peak</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I_peak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log y = a + b log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1.144 ± 0.030</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-5.837</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8.0 × 10</w:t>
            </w:r>
            <w:r>
              <w:rPr>
                <w:rFonts w:ascii="Times New Roman" w:cs="Times New Roman" w:eastAsia="Times New Roman" w:hAnsi="Times New Roman"/>
                <w:b w:val="false"/>
                <w:bCs w:val="false"/>
                <w:sz w:val="13"/>
                <w:szCs w:val="13"/>
                <w:vertAlign w:val="superscript"/>
              </w:rPr>
              <w:t xml:space="preserve">−133</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0.863</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2.0 × 10</w:t>
            </w:r>
            <w:r>
              <w:rPr>
                <w:rFonts w:ascii="Times New Roman" w:cs="Times New Roman" w:eastAsia="Times New Roman" w:hAnsi="Times New Roman"/>
                <w:b w:val="false"/>
                <w:bCs w:val="false"/>
                <w:sz w:val="13"/>
                <w:szCs w:val="13"/>
                <w:vertAlign w:val="superscript"/>
              </w:rPr>
              <w:t xml:space="preserve">−112</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0.109 ± 0.035</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-0.029</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0.161</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0.002</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0.204</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 × 10</w:t>
            </w:r>
            <w:r>
              <w:rPr>
                <w:rFonts w:ascii="Times New Roman" w:cs="Times New Roman" w:eastAsia="Times New Roman" w:hAnsi="Times New Roman"/>
                <w:b w:val="false"/>
                <w:bCs w:val="false"/>
                <w:sz w:val="13"/>
                <w:szCs w:val="13"/>
                <w:vertAlign w:val="superscript"/>
              </w:rPr>
              <w:t xml:space="preserve">−5</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share</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0.088 ± 0.006</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0.078</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0.621</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1.9 × 10</w:t>
            </w:r>
            <w:r>
              <w:rPr>
                <w:rFonts w:ascii="Times New Roman" w:cs="Times New Roman" w:eastAsia="Times New Roman" w:hAnsi="Times New Roman"/>
                <w:b w:val="false"/>
                <w:bCs w:val="false"/>
                <w:sz w:val="13"/>
                <w:szCs w:val="13"/>
                <w:vertAlign w:val="superscript"/>
              </w:rPr>
              <w:t xml:space="preserve">−41</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0.585</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7.8 × 10</w:t>
            </w:r>
            <w:r>
              <w:rPr>
                <w:rFonts w:ascii="Times New Roman" w:cs="Times New Roman" w:eastAsia="Times New Roman" w:hAnsi="Times New Roman"/>
                <w:b w:val="false"/>
                <w:bCs w:val="false"/>
                <w:sz w:val="13"/>
                <w:szCs w:val="13"/>
                <w:vertAlign w:val="superscript"/>
              </w:rPr>
              <w:t xml:space="preserve">−36</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0.139 ± 0.009</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0.028</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0.612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6.6 × 10</w:t>
            </w:r>
            <w:r>
              <w:rPr>
                <w:rFonts w:ascii="Times New Roman" w:cs="Times New Roman" w:eastAsia="Times New Roman" w:hAnsi="Times New Roman"/>
                <w:b w:val="false"/>
                <w:bCs w:val="false"/>
                <w:sz w:val="13"/>
                <w:szCs w:val="13"/>
                <w:vertAlign w:val="superscript"/>
              </w:rPr>
              <w:t xml:space="preserve">−40</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0.578</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9.0 × 10</w:t>
            </w:r>
            <w:r>
              <w:rPr>
                <w:rFonts w:ascii="Times New Roman" w:cs="Times New Roman" w:eastAsia="Times New Roman" w:hAnsi="Times New Roman"/>
                <w:b w:val="false"/>
                <w:bCs w:val="false"/>
                <w:sz w:val="13"/>
                <w:szCs w:val="13"/>
                <w:vertAlign w:val="superscript"/>
              </w:rPr>
              <w:t xml:space="preserve">−35</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 betweenness</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-0.030 ± 0.012</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0.217</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-0.121</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0.019</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edge flux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0.109 ± 0.026</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1.095</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0.213</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3.1 × 10</w:t>
            </w:r>
            <w:r>
              <w:rPr>
                <w:rFonts w:ascii="Times New Roman" w:cs="Times New Roman" w:eastAsia="Times New Roman" w:hAnsi="Times New Roman"/>
                <w:b w:val="false"/>
                <w:bCs w:val="false"/>
                <w:sz w:val="13"/>
                <w:szCs w:val="13"/>
                <w:vertAlign w:val="superscript"/>
              </w:rPr>
              <w:t xml:space="preserve">−5</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0.228</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8.5 × 10</w:t>
            </w:r>
            <w:r>
              <w:rPr>
                <w:rFonts w:ascii="Times New Roman" w:cs="Times New Roman" w:eastAsia="Times New Roman" w:hAnsi="Times New Roman"/>
                <w:b w:val="false"/>
                <w:bCs w:val="false"/>
                <w:sz w:val="13"/>
                <w:szCs w:val="13"/>
                <w:vertAlign w:val="superscript"/>
              </w:rPr>
              <w:t xml:space="preserve">−6</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Φ_peak</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log y = a + b log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1.158 ± 0.047</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-3.677</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0.822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5.5 × 10</w:t>
            </w:r>
            <w:r>
              <w:rPr>
                <w:rFonts w:ascii="Times New Roman" w:cs="Times New Roman" w:eastAsia="Times New Roman" w:hAnsi="Times New Roman"/>
                <w:b w:val="false"/>
                <w:bCs w:val="false"/>
                <w:sz w:val="13"/>
                <w:szCs w:val="13"/>
                <w:vertAlign w:val="superscript"/>
              </w:rPr>
              <w:t xml:space="preserve">−74</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0.788</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5.1 × 10</w:t>
            </w:r>
            <w:r>
              <w:rPr>
                <w:rFonts w:ascii="Times New Roman" w:cs="Times New Roman" w:eastAsia="Times New Roman" w:hAnsi="Times New Roman"/>
                <w:b w:val="false"/>
                <w:bCs w:val="false"/>
                <w:sz w:val="13"/>
                <w:szCs w:val="13"/>
                <w:vertAlign w:val="superscript"/>
              </w:rPr>
              <w:t xml:space="preserve">−64</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Φ_peak</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I_peak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log y = a + b log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1.029 ± 0.037</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-5.503</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0.851</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1.5 × 10</w:t>
            </w:r>
            <w:r>
              <w:rPr>
                <w:rFonts w:ascii="Times New Roman" w:cs="Times New Roman" w:eastAsia="Times New Roman" w:hAnsi="Times New Roman"/>
                <w:b w:val="false"/>
                <w:bCs w:val="false"/>
                <w:sz w:val="13"/>
                <w:szCs w:val="13"/>
                <w:vertAlign w:val="superscript"/>
              </w:rPr>
              <w:t xml:space="preserve">−84</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0.811</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 × 10</w:t>
            </w:r>
            <w:r>
              <w:rPr>
                <w:rFonts w:ascii="Times New Roman" w:cs="Times New Roman" w:eastAsia="Times New Roman" w:hAnsi="Times New Roman"/>
                <w:b w:val="false"/>
                <w:bCs w:val="false"/>
                <w:sz w:val="13"/>
                <w:szCs w:val="13"/>
                <w:vertAlign w:val="superscript"/>
              </w:rPr>
              <w:t xml:space="preserve">−70</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-0.005 ± 0.045</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0.263</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0.906</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0.089</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0.127</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share</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0.065 ± 0.007</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0.128</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0.491</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1.9 × 10</w:t>
            </w:r>
            <w:r>
              <w:rPr>
                <w:rFonts w:ascii="Times New Roman" w:cs="Times New Roman" w:eastAsia="Times New Roman" w:hAnsi="Times New Roman"/>
                <w:b w:val="false"/>
                <w:bCs w:val="false"/>
                <w:sz w:val="13"/>
                <w:szCs w:val="13"/>
                <w:vertAlign w:val="superscript"/>
              </w:rPr>
              <w:t xml:space="preserve">−19</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0.511</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4.0 × 10</w:t>
            </w:r>
            <w:r>
              <w:rPr>
                <w:rFonts w:ascii="Times New Roman" w:cs="Times New Roman" w:eastAsia="Times New Roman" w:hAnsi="Times New Roman"/>
                <w:b w:val="false"/>
                <w:bCs w:val="false"/>
                <w:sz w:val="13"/>
                <w:szCs w:val="13"/>
                <w:vertAlign w:val="superscript"/>
              </w:rPr>
              <w:t xml:space="preserve">−21</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0.102 ± 0.010</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0.106</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0.512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3.0 × 10</w:t>
            </w:r>
            <w:r>
              <w:rPr>
                <w:rFonts w:ascii="Times New Roman" w:cs="Times New Roman" w:eastAsia="Times New Roman" w:hAnsi="Times New Roman"/>
                <w:b w:val="false"/>
                <w:bCs w:val="false"/>
                <w:sz w:val="13"/>
                <w:szCs w:val="13"/>
                <w:vertAlign w:val="superscript"/>
              </w:rPr>
              <w:t xml:space="preserve">−21</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0.504</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1.4 × 10</w:t>
            </w:r>
            <w:r>
              <w:rPr>
                <w:rFonts w:ascii="Times New Roman" w:cs="Times New Roman" w:eastAsia="Times New Roman" w:hAnsi="Times New Roman"/>
                <w:b w:val="false"/>
                <w:bCs w:val="false"/>
                <w:sz w:val="13"/>
                <w:szCs w:val="13"/>
                <w:vertAlign w:val="superscript"/>
              </w:rPr>
              <w:t xml:space="preserve">−20</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 betweenness</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-0.067 ± 0.016</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0.304</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-0.231</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5.9 × 10</w:t>
            </w:r>
            <w:r>
              <w:rPr>
                <w:rFonts w:ascii="Times New Roman" w:cs="Times New Roman" w:eastAsia="Times New Roman" w:hAnsi="Times New Roman"/>
                <w:b w:val="false"/>
                <w:bCs w:val="false"/>
                <w:sz w:val="13"/>
                <w:szCs w:val="13"/>
                <w:vertAlign w:val="superscript"/>
              </w:rPr>
              <w:t xml:space="preserve">−5</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0.006</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edge flux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0.037 ± 0.024</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1.222</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0.089</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0.127</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0.093</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0.111</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Both</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Φ_peak</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log y = a + b log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1.171 ± 0.032</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-3.638</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0.817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2.8 × 10</w:t>
            </w:r>
            <w:r>
              <w:rPr>
                <w:rFonts w:ascii="Times New Roman" w:cs="Times New Roman" w:eastAsia="Times New Roman" w:hAnsi="Times New Roman"/>
                <w:b w:val="false"/>
                <w:bCs w:val="false"/>
                <w:sz w:val="13"/>
                <w:szCs w:val="13"/>
                <w:vertAlign w:val="superscript"/>
              </w:rPr>
              <w:t xml:space="preserve">−162</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0.766</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 × 10</w:t>
            </w:r>
            <w:r>
              <w:rPr>
                <w:rFonts w:ascii="Times New Roman" w:cs="Times New Roman" w:eastAsia="Times New Roman" w:hAnsi="Times New Roman"/>
                <w:b w:val="false"/>
                <w:bCs w:val="false"/>
                <w:sz w:val="13"/>
                <w:szCs w:val="13"/>
                <w:vertAlign w:val="superscript"/>
              </w:rPr>
              <w:t xml:space="preserve">−130</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Both</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Φ_peak</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I_peak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log y = a + b log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1.101 ± 0.024</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-5.72</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0.867</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5.1 × 10</w:t>
            </w:r>
            <w:r>
              <w:rPr>
                <w:rFonts w:ascii="Times New Roman" w:cs="Times New Roman" w:eastAsia="Times New Roman" w:hAnsi="Times New Roman"/>
                <w:b w:val="false"/>
                <w:bCs w:val="false"/>
                <w:sz w:val="13"/>
                <w:szCs w:val="13"/>
                <w:vertAlign w:val="superscript"/>
              </w:rPr>
              <w:t xml:space="preserve">−205</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0.826</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3.3 × 10</w:t>
            </w:r>
            <w:r>
              <w:rPr>
                <w:rFonts w:ascii="Times New Roman" w:cs="Times New Roman" w:eastAsia="Times New Roman" w:hAnsi="Times New Roman"/>
                <w:b w:val="false"/>
                <w:bCs w:val="false"/>
                <w:sz w:val="13"/>
                <w:szCs w:val="13"/>
                <w:vertAlign w:val="superscript"/>
              </w:rPr>
              <w:t xml:space="preserve">−169</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Both</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0.060 ± 0.028</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0.098</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0.083</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0.032</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0.147</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0.0001</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Both</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share</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0.079 ± 0.004</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0.098</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1.3 × 10</w:t>
            </w:r>
            <w:r>
              <w:rPr>
                <w:rFonts w:ascii="Times New Roman" w:cs="Times New Roman" w:eastAsia="Times New Roman" w:hAnsi="Times New Roman"/>
                <w:b w:val="false"/>
                <w:bCs w:val="false"/>
                <w:sz w:val="13"/>
                <w:szCs w:val="13"/>
                <w:vertAlign w:val="superscript"/>
              </w:rPr>
              <w:t xml:space="preserve">−59</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0.553</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4.8 × 10</w:t>
            </w:r>
            <w:r>
              <w:rPr>
                <w:rFonts w:ascii="Times New Roman" w:cs="Times New Roman" w:eastAsia="Times New Roman" w:hAnsi="Times New Roman"/>
                <w:b w:val="false"/>
                <w:bCs w:val="false"/>
                <w:sz w:val="13"/>
                <w:szCs w:val="13"/>
                <w:vertAlign w:val="superscript"/>
              </w:rPr>
              <w:t xml:space="preserve">−55</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Both</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0.124 ± 0.007</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0.059</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0.575</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2.6 × 10</w:t>
            </w:r>
            <w:r>
              <w:rPr>
                <w:rFonts w:ascii="Times New Roman" w:cs="Times New Roman" w:eastAsia="Times New Roman" w:hAnsi="Times New Roman"/>
                <w:b w:val="false"/>
                <w:bCs w:val="false"/>
                <w:sz w:val="13"/>
                <w:szCs w:val="13"/>
                <w:vertAlign w:val="superscript"/>
              </w:rPr>
              <w:t xml:space="preserve">−60</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0.546</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1.6 × 10</w:t>
            </w:r>
            <w:r>
              <w:rPr>
                <w:rFonts w:ascii="Times New Roman" w:cs="Times New Roman" w:eastAsia="Times New Roman" w:hAnsi="Times New Roman"/>
                <w:b w:val="false"/>
                <w:bCs w:val="false"/>
                <w:sz w:val="13"/>
                <w:szCs w:val="13"/>
                <w:vertAlign w:val="superscript"/>
              </w:rPr>
              <w:t xml:space="preserve">−53</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Both</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 betweenness</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-0.045 ± 0.010</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0.254</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-0.178</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3.3 × 10</w:t>
            </w:r>
            <w:r>
              <w:rPr>
                <w:rFonts w:ascii="Times New Roman" w:cs="Times New Roman" w:eastAsia="Times New Roman" w:hAnsi="Times New Roman"/>
                <w:b w:val="false"/>
                <w:bCs w:val="false"/>
                <w:sz w:val="13"/>
                <w:szCs w:val="13"/>
                <w:vertAlign w:val="superscript"/>
              </w:rPr>
              <w:t xml:space="preserve">−6</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-0.141</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0.0003</w:t>
            </w:r>
          </w:p>
        </w:tc>
      </w:tr>
      <w:tr>
        <w:trPr>
          <w:tblHeader w:val="false"/>
        </w:trPr>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Both</w:t>
            </w:r>
          </w:p>
        </w:tc>
        <w:tc>
          <w:tcPr>
            <w:tcW w:type="dxa" w:w="21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edge flux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N_peak</w:t>
            </w:r>
          </w:p>
        </w:tc>
        <w:tc>
          <w:tcPr>
            <w:tcW w:type="dxa" w:w="20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y = a + b log10 x</w:t>
            </w:r>
          </w:p>
        </w:tc>
        <w:tc>
          <w:tcPr>
            <w:tcW w:type="dxa" w:w="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0.082 ± 0.018</w:t>
            </w:r>
          </w:p>
        </w:tc>
        <w:tc>
          <w:tcPr>
            <w:tcW w:type="dxa" w:w="116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1.141</w:t>
            </w:r>
          </w:p>
        </w:tc>
        <w:tc>
          <w:tcPr>
            <w:tcW w:type="dxa" w:w="9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0.173</w:t>
            </w:r>
          </w:p>
        </w:tc>
        <w:tc>
          <w:tcPr>
            <w:tcW w:type="dxa" w:w="14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6.8 × 10</w:t>
            </w:r>
            <w:r>
              <w:rPr>
                <w:rFonts w:ascii="Times New Roman" w:cs="Times New Roman" w:eastAsia="Times New Roman" w:hAnsi="Times New Roman"/>
                <w:b w:val="false"/>
                <w:bCs w:val="false"/>
                <w:sz w:val="13"/>
                <w:szCs w:val="13"/>
                <w:vertAlign w:val="superscript"/>
              </w:rPr>
              <w:t xml:space="preserve">−6</w:t>
            </w:r>
          </w:p>
        </w:tc>
        <w:tc>
          <w:tcPr>
            <w:tcW w:type="dxa" w:w="106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0.182</w:t>
            </w:r>
          </w:p>
        </w:tc>
        <w:tc>
          <w:tcPr>
            <w:tcW w:type="dxa" w:w="14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2.0 × 10</w:t>
            </w:r>
            <w:r>
              <w:rPr>
                <w:rFonts w:ascii="Times New Roman" w:cs="Times New Roman" w:eastAsia="Times New Roman" w:hAnsi="Times New Roman"/>
                <w:b w:val="false"/>
                <w:bCs w:val="false"/>
                <w:sz w:val="13"/>
                <w:szCs w:val="13"/>
                <w:vertAlign w:val="superscript"/>
              </w:rPr>
              <w:t xml:space="preserve">−6</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7 | Sensitivity summary over the 432 combinations of peak definition (P_n, P_i, P_a), offshore distance (30, 50, 75, 100 km), size threshold (N_peak ≥ 20, 50, 100, 200), life-cycle threshold (10, 15, 30 d) and exceedance-duration cut-off (120, 200, 365 d). The full set of 432 results is provided in Supplementary Data 1.</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8"/>
        <w:gridCol w:w="577"/>
        <w:gridCol w:w="2251"/>
        <w:gridCol w:w="461"/>
        <w:gridCol w:w="750"/>
        <w:gridCol w:w="923"/>
        <w:gridCol w:w="1616"/>
        <w:gridCol w:w="981"/>
        <w:gridCol w:w="2020"/>
        <w:gridCol w:w="1793"/>
      </w:tblGrid>
      <w:tr>
        <w:trPr>
          <w:tblHeader/>
        </w:trPr>
        <w:tc>
          <w:tcPr>
            <w:tcW w:type="dxa" w:w="230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Test</w:t>
            </w:r>
          </w:p>
        </w:tc>
        <w:tc>
          <w:tcPr>
            <w:tcW w:type="dxa" w:w="57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Phenomenon</w:t>
            </w:r>
          </w:p>
        </w:tc>
        <w:tc>
          <w:tcPr>
            <w:tcW w:type="dxa" w:w="225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Feature</w:t>
            </w:r>
          </w:p>
        </w:tc>
        <w:tc>
          <w:tcPr>
            <w:tcW w:type="dxa" w:w="46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Settings</w:t>
            </w:r>
          </w:p>
        </w:tc>
        <w:tc>
          <w:tcPr>
            <w:tcW w:type="dxa" w:w="75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effect</w:t>
            </w:r>
          </w:p>
        </w:tc>
        <w:tc>
          <w:tcPr>
            <w:tcW w:type="dxa" w:w="92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Effect range</w:t>
            </w:r>
          </w:p>
        </w:tc>
        <w:tc>
          <w:tcPr>
            <w:tcW w:type="dxa" w:w="161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Fraction same sign as median</w:t>
            </w:r>
          </w:p>
        </w:tc>
        <w:tc>
          <w:tcPr>
            <w:tcW w:type="dxa" w:w="98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Fraction p &lt; 0.05</w:t>
            </w:r>
          </w:p>
        </w:tc>
        <w:tc>
          <w:tcPr>
            <w:tcW w:type="dxa" w:w="202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Fraction significant with same sign</w:t>
            </w:r>
          </w:p>
        </w:tc>
        <w:tc>
          <w:tcPr>
            <w:tcW w:type="dxa" w:w="179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Fraction size-adjusted p &lt; 0.05</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Backbone flux share</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0.026</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[-0.084, +0.302]</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0.64</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-0.057</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[-0.127, +0.112]</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0.76</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0.23</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0.23</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0.36</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Flux fraction on cycles</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[-0.253, +0.104]</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0.92</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 (early growth)</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-0.139</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[-0.450, -0.055]</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0.50</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-0.229</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[-0.415, -0.110]</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0.90</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0.054</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[-0.099, +0.305]</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0.62</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0.50</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0.181</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[-0.071, +0.252]</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0.96</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0.008</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[-0.122, +0.119]</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node strength</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0.131</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[-0.055, +0.423]</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0.83</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Modularity</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-0.033</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[-0.345, +0.078]</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0.72</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0.94</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-0.175</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[-0.255, +0.093]</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0.62</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0.62</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0.60</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-0.182</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[-0.263, +0.090]</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0.55</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σ of log edge flux</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0.161</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 +0.448]</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0.74</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Warm–cold contrast (Cliff's δ)</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 vs 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0.002</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[-0.101, +0.262]</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0.06</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0.43</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0.025</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 +0.038]</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-0.121</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[-0.143, -0.095]</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-0.096</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[-0.166, -0.045]</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-0.003</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[-0.014, +0.019]</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0.67</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0.35</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0.34</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0.034</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[-0.002, +0.063]</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0.99</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0.85</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0.85</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0.058</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[+0.023, +0.115]</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0.058</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[+0.027, +0.123]</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0.016</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[+0.007, +0.026]</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Maximum betweenness</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0.026</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[+0.017, +0.039]</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External inflow fraction</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-0.118</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[-0.134, -0.098]</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hierarchy</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-0.048</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[-0.129, +0.000]</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0.84</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0.84</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Gini of node strength</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-0.006</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[-0.026, +0.022]</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0.56</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0.52</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0.47</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Hub persistence</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0.032</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 +0.084]</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0.99</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0.99</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0.033</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[-0.009, +0.106]</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Largest-SCC fraction</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0.027</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[-0.011, +0.096]</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Life-cycle effect (near peak − early growth)</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Top-10% edge-flux share</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0.013</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[-0.001, +0.031]</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 near peak</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near peak</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0.042</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[-0.051, +0.130]</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0.84</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over null, near peak</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225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SCC excess, near peak</w:t>
            </w:r>
          </w:p>
        </w:tc>
        <w:tc>
          <w:tcPr>
            <w:tcW w:type="dxa" w:w="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432</w:t>
            </w:r>
          </w:p>
        </w:tc>
        <w:tc>
          <w:tcPr>
            <w:tcW w:type="dxa" w:w="75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-0.041</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[-0.116, +0.164]</w:t>
            </w:r>
          </w:p>
        </w:tc>
        <w:tc>
          <w:tcPr>
            <w:tcW w:type="dxa" w:w="16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w:t>
            </w:r>
          </w:p>
        </w:tc>
        <w:tc>
          <w:tcPr>
            <w:tcW w:type="dxa" w:w="98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0.45</w:t>
            </w:r>
          </w:p>
        </w:tc>
        <w:tc>
          <w:tcPr>
            <w:tcW w:type="dxa" w:w="202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w:t>
            </w:r>
          </w:p>
        </w:tc>
        <w:tc>
          <w:tcPr>
            <w:tcW w:type="dxa" w:w="179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8 | (a) Lags between the three peak definitions in the main set.</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49"/>
        <w:gridCol w:w="1034"/>
        <w:gridCol w:w="689"/>
        <w:gridCol w:w="2299"/>
        <w:gridCol w:w="2299"/>
        <w:gridCol w:w="2414"/>
        <w:gridCol w:w="3796"/>
      </w:tblGrid>
      <w:tr>
        <w:trPr>
          <w:tblHeader/>
        </w:trPr>
        <w:tc>
          <w:tcPr>
            <w:tcW w:type="dxa" w:w="114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Phenomenon</w:t>
            </w:r>
          </w:p>
        </w:tc>
        <w:tc>
          <w:tcPr>
            <w:tcW w:type="dxa" w:w="103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Lag</w:t>
            </w:r>
          </w:p>
        </w:tc>
        <w:tc>
          <w:tcPr>
            <w:tcW w:type="dxa" w:w="68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n</w:t>
            </w:r>
          </w:p>
        </w:tc>
        <w:tc>
          <w:tcPr>
            <w:tcW w:type="dxa" w:w="229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Median lag (d) [IQR]</w:t>
            </w:r>
          </w:p>
        </w:tc>
        <w:tc>
          <w:tcPr>
            <w:tcW w:type="dxa" w:w="229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Fraction within ±5 d</w:t>
            </w:r>
          </w:p>
        </w:tc>
        <w:tc>
          <w:tcPr>
            <w:tcW w:type="dxa" w:w="241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Fraction within ±10 d</w:t>
            </w:r>
          </w:p>
        </w:tc>
        <w:tc>
          <w:tcPr>
            <w:tcW w:type="dxa" w:w="379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Fraction with first before second</w:t>
            </w:r>
          </w:p>
        </w:tc>
      </w:tr>
      <w:tr>
        <w:trPr>
          <w:tblHeader w:val="false"/>
        </w:trPr>
        <w:tc>
          <w:tcPr>
            <w:tcW w:type="dxa" w:w="1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10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P_n − P_i</w:t>
            </w:r>
          </w:p>
        </w:tc>
        <w:tc>
          <w:tcPr>
            <w:tcW w:type="dxa" w:w="6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 [-4, +2]</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0.74</w:t>
            </w:r>
          </w:p>
        </w:tc>
        <w:tc>
          <w:tcPr>
            <w:tcW w:type="dxa" w:w="24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0.95</w:t>
            </w:r>
          </w:p>
        </w:tc>
        <w:tc>
          <w:tcPr>
            <w:tcW w:type="dxa" w:w="379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0.58</w:t>
            </w:r>
          </w:p>
        </w:tc>
      </w:tr>
      <w:tr>
        <w:trPr>
          <w:tblHeader w:val="false"/>
        </w:trPr>
        <w:tc>
          <w:tcPr>
            <w:tcW w:type="dxa" w:w="1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10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P_a − P_i</w:t>
            </w:r>
          </w:p>
        </w:tc>
        <w:tc>
          <w:tcPr>
            <w:tcW w:type="dxa" w:w="6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 [-2, +2]</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w:t>
            </w:r>
          </w:p>
        </w:tc>
        <w:tc>
          <w:tcPr>
            <w:tcW w:type="dxa" w:w="24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0.79</w:t>
            </w:r>
          </w:p>
        </w:tc>
        <w:tc>
          <w:tcPr>
            <w:tcW w:type="dxa" w:w="379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0.35</w:t>
            </w:r>
          </w:p>
        </w:tc>
      </w:tr>
      <w:tr>
        <w:trPr>
          <w:tblHeader w:val="false"/>
        </w:trPr>
        <w:tc>
          <w:tcPr>
            <w:tcW w:type="dxa" w:w="1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10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P_n − P_a</w:t>
            </w:r>
          </w:p>
        </w:tc>
        <w:tc>
          <w:tcPr>
            <w:tcW w:type="dxa" w:w="6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 [-6, +3]</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0.56</w:t>
            </w:r>
          </w:p>
        </w:tc>
        <w:tc>
          <w:tcPr>
            <w:tcW w:type="dxa" w:w="24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w:t>
            </w:r>
          </w:p>
        </w:tc>
        <w:tc>
          <w:tcPr>
            <w:tcW w:type="dxa" w:w="379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0.58</w:t>
            </w:r>
          </w:p>
        </w:tc>
      </w:tr>
      <w:tr>
        <w:trPr>
          <w:tblHeader w:val="false"/>
        </w:trPr>
        <w:tc>
          <w:tcPr>
            <w:tcW w:type="dxa" w:w="1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10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P_n − P_i</w:t>
            </w:r>
          </w:p>
        </w:tc>
        <w:tc>
          <w:tcPr>
            <w:tcW w:type="dxa" w:w="6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 [-5, +3]</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w:t>
            </w:r>
          </w:p>
        </w:tc>
        <w:tc>
          <w:tcPr>
            <w:tcW w:type="dxa" w:w="24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0.87</w:t>
            </w:r>
          </w:p>
        </w:tc>
        <w:tc>
          <w:tcPr>
            <w:tcW w:type="dxa" w:w="379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0.56</w:t>
            </w:r>
          </w:p>
        </w:tc>
      </w:tr>
      <w:tr>
        <w:trPr>
          <w:tblHeader w:val="false"/>
        </w:trPr>
        <w:tc>
          <w:tcPr>
            <w:tcW w:type="dxa" w:w="1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10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P_a − P_i</w:t>
            </w:r>
          </w:p>
        </w:tc>
        <w:tc>
          <w:tcPr>
            <w:tcW w:type="dxa" w:w="6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 [-3, +3]</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0.61</w:t>
            </w:r>
          </w:p>
        </w:tc>
        <w:tc>
          <w:tcPr>
            <w:tcW w:type="dxa" w:w="24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0.76</w:t>
            </w:r>
          </w:p>
        </w:tc>
        <w:tc>
          <w:tcPr>
            <w:tcW w:type="dxa" w:w="379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0.42</w:t>
            </w:r>
          </w:p>
        </w:tc>
      </w:tr>
      <w:tr>
        <w:trPr>
          <w:tblHeader w:val="false"/>
        </w:trPr>
        <w:tc>
          <w:tcPr>
            <w:tcW w:type="dxa" w:w="1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10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P_n − P_a</w:t>
            </w:r>
          </w:p>
        </w:tc>
        <w:tc>
          <w:tcPr>
            <w:tcW w:type="dxa" w:w="6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 [-6, +5]</w:t>
            </w:r>
          </w:p>
        </w:tc>
        <w:tc>
          <w:tcPr>
            <w:tcW w:type="dxa" w:w="22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0.49</w:t>
            </w:r>
          </w:p>
        </w:tc>
        <w:tc>
          <w:tcPr>
            <w:tcW w:type="dxa" w:w="241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0.72</w:t>
            </w:r>
          </w:p>
        </w:tc>
        <w:tc>
          <w:tcPr>
            <w:tcW w:type="dxa" w:w="379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0.53</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8 | (b) Warm–cold contrasts of near-peak features for each peak definition (main filter).</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33"/>
        <w:gridCol w:w="1741"/>
        <w:gridCol w:w="1741"/>
        <w:gridCol w:w="1741"/>
        <w:gridCol w:w="1741"/>
        <w:gridCol w:w="1741"/>
        <w:gridCol w:w="1742"/>
      </w:tblGrid>
      <w:tr>
        <w:trPr>
          <w:tblHeader/>
        </w:trPr>
        <w:tc>
          <w:tcPr>
            <w:tcW w:type="dxa" w:w="323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Near-peak feature</w:t>
            </w:r>
          </w:p>
        </w:tc>
        <w:tc>
          <w:tcPr>
            <w:tcW w:type="dxa" w:w="174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P_n: median MHW / MCS</w:t>
            </w:r>
          </w:p>
        </w:tc>
        <w:tc>
          <w:tcPr>
            <w:tcW w:type="dxa" w:w="174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P_n: Cliff's δ (p)</w:t>
            </w:r>
          </w:p>
        </w:tc>
        <w:tc>
          <w:tcPr>
            <w:tcW w:type="dxa" w:w="174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P_i: median MHW / MCS</w:t>
            </w:r>
          </w:p>
        </w:tc>
        <w:tc>
          <w:tcPr>
            <w:tcW w:type="dxa" w:w="174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P_i: Cliff's δ (p)</w:t>
            </w:r>
          </w:p>
        </w:tc>
        <w:tc>
          <w:tcPr>
            <w:tcW w:type="dxa" w:w="174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P_a: median MHW / MCS</w:t>
            </w:r>
          </w:p>
        </w:tc>
        <w:tc>
          <w:tcPr>
            <w:tcW w:type="dxa" w:w="174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P_a: Cliff's δ (p)</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Largest-SCC fraction</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0.097 / 0.183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-0.190 (2.3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0.111 / 0.189</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-0.191 (2.1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0.111 / 0.185</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-0.198 (1.1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SCC excess over null</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-0.053 / 0.028</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-0.179 (6.7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-0.057 / 0.028</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-0.189 (2.5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-0.057 / 0.015</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-0.195 (1.3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Flow hierarchy</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0.906 / 0.800</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+0.196 (1.2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0.896 / 0.780</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+0.197 (1.2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0.896 / 0.799</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+0.197 (1.1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External inflow fraction</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0.159 / 0.175</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-0.180 (6.2 × 10</w:t>
            </w:r>
            <w:r>
              <w:rPr>
                <w:rFonts w:ascii="Times New Roman" w:cs="Times New Roman" w:eastAsia="Times New Roman" w:hAnsi="Times New Roman"/>
                <w:b w:val="false"/>
                <w:bCs w:val="false"/>
                <w:sz w:val="15"/>
                <w:szCs w:val="15"/>
                <w:vertAlign w:val="superscript"/>
              </w:rPr>
              <w:t xml:space="preserve">−5</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0.152 / 0.171</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-0.206 (4.2 × 10</w:t>
            </w:r>
            <w:r>
              <w:rPr>
                <w:rFonts w:ascii="Times New Roman" w:cs="Times New Roman" w:eastAsia="Times New Roman" w:hAnsi="Times New Roman"/>
                <w:b w:val="false"/>
                <w:bCs w:val="false"/>
                <w:sz w:val="15"/>
                <w:szCs w:val="15"/>
                <w:vertAlign w:val="superscript"/>
              </w:rPr>
              <w:t xml:space="preserve">−6</w:t>
            </w:r>
            <w:r>
              <w:rPr>
                <w:rFonts w:ascii="Times New Roman" w:cs="Times New Roman" w:eastAsia="Times New Roman" w:hAnsi="Times New Roman"/>
                <w:b w:val="false"/>
                <w:bCs w:val="false"/>
                <w:sz w:val="15"/>
                <w:szCs w:val="15"/>
              </w:rPr>
              <w:t xml:space="preserv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0.157 / 0.177</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-0.226 (4.9 × 10</w:t>
            </w:r>
            <w:r>
              <w:rPr>
                <w:rFonts w:ascii="Times New Roman" w:cs="Times New Roman" w:eastAsia="Times New Roman" w:hAnsi="Times New Roman"/>
                <w:b w:val="false"/>
                <w:bCs w:val="false"/>
                <w:sz w:val="15"/>
                <w:szCs w:val="15"/>
                <w:vertAlign w:val="superscript"/>
              </w:rPr>
              <w:t xml:space="preserve">−7</w:t>
            </w:r>
            <w:r>
              <w:rPr>
                <w:rFonts w:ascii="Times New Roman" w:cs="Times New Roman" w:eastAsia="Times New Roman" w:hAnsi="Times New Roman"/>
                <w:b w:val="false"/>
                <w:bCs w:val="false"/>
                <w:sz w:val="15"/>
                <w:szCs w:val="15"/>
              </w:rPr>
              <w:t xml:space="preserve">)</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External inflow fraction (early growth)</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0.286 / 0.314</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-0.128 (0.004)</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0.280 / 0.303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-0.149 (0.0009)</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0.284 / 0.303</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-0.159 (0.0004)</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σ of log edge flux</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1.315 / 1.293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+0.100 (0.026)</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1.315 / 1.293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+0.100 (0.026)</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1.315 / 1.293</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+0.100 (0.026)</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σ of log node strength</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0.731 / 0.693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+0.083 (0.066)</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0.703 / 0.676</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+0.055 (0.223)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0.720 / 0.692</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+0.066 (0.141)</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Top-10% edge-flux share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0.259 / 0.259</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+0.003 (0.946)</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0.256 / 0.259</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-0.007 (0.883)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0.257 / 0.260</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-0.032 (0.474)</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Gini of node strength</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0.321 / 0.317</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+0.035 (0.431)</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0.314 / 0.313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+0.011 (0.810)</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0.318 / 0.322</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-0.006 (0.890)</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Maximum betweenness</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0.141 / 0.144</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-0.058 (0.193)</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0.140 / 0.148</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-0.083 (0.065)</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0.139 / 0.150</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-0.075 (0.096)</w:t>
            </w:r>
          </w:p>
        </w:tc>
      </w:tr>
      <w:tr>
        <w:trPr>
          <w:tblHeader w:val="false"/>
        </w:trPr>
        <w:tc>
          <w:tcPr>
            <w:tcW w:type="dxa" w:w="32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Hub persistence</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0.558 / 0.559</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+0.036 (0.418)</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0.563 / 0.561</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+0.052 (0.246)</w:t>
            </w:r>
          </w:p>
        </w:tc>
        <w:tc>
          <w:tcPr>
            <w:tcW w:type="dxa" w:w="17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0.554 / 0.560</w:t>
            </w:r>
          </w:p>
        </w:tc>
        <w:tc>
          <w:tcPr>
            <w:tcW w:type="dxa" w:w="17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+0.016 (0.729)</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9 | Peak-day kinematic diagnostics of the member cells: MHW–MCS contrasts and Spearman correlations with near-peak recirculation (SCC excess over null) and flow hierarchy.</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8"/>
        <w:gridCol w:w="577"/>
        <w:gridCol w:w="577"/>
        <w:gridCol w:w="519"/>
        <w:gridCol w:w="923"/>
        <w:gridCol w:w="1327"/>
        <w:gridCol w:w="1558"/>
        <w:gridCol w:w="1327"/>
        <w:gridCol w:w="1558"/>
        <w:gridCol w:w="1385"/>
        <w:gridCol w:w="1621"/>
      </w:tblGrid>
      <w:tr>
        <w:trPr>
          <w:tblHeader/>
        </w:trPr>
        <w:tc>
          <w:tcPr>
            <w:tcW w:type="dxa" w:w="230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Peak-day kinematic diagnostic</w:t>
            </w:r>
          </w:p>
        </w:tc>
        <w:tc>
          <w:tcPr>
            <w:tcW w:type="dxa" w:w="57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MHW</w:t>
            </w:r>
          </w:p>
        </w:tc>
        <w:tc>
          <w:tcPr>
            <w:tcW w:type="dxa" w:w="57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Median MCS</w:t>
            </w:r>
          </w:p>
        </w:tc>
        <w:tc>
          <w:tcPr>
            <w:tcW w:type="dxa" w:w="51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Cliff's δ</w:t>
            </w:r>
          </w:p>
        </w:tc>
        <w:tc>
          <w:tcPr>
            <w:tcW w:type="dxa" w:w="92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 (Mann–Whitney)</w:t>
            </w:r>
          </w:p>
        </w:tc>
        <w:tc>
          <w:tcPr>
            <w:tcW w:type="dxa" w:w="132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ρ with SCC excess (MHW)</w:t>
            </w:r>
          </w:p>
        </w:tc>
        <w:tc>
          <w:tcPr>
            <w:tcW w:type="dxa" w:w="155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ρ with Flow hierarchy (MHW)</w:t>
            </w:r>
          </w:p>
        </w:tc>
        <w:tc>
          <w:tcPr>
            <w:tcW w:type="dxa" w:w="132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ρ with SCC excess (MCS)</w:t>
            </w:r>
          </w:p>
        </w:tc>
        <w:tc>
          <w:tcPr>
            <w:tcW w:type="dxa" w:w="155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ρ with Flow hierarchy (MCS)</w:t>
            </w:r>
          </w:p>
        </w:tc>
        <w:tc>
          <w:tcPr>
            <w:tcW w:type="dxa" w:w="1385"/>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ρ with SCC excess (both)</w:t>
            </w:r>
          </w:p>
        </w:tc>
        <w:tc>
          <w:tcPr>
            <w:tcW w:type="dxa" w:w="162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ρ with Flow hierarchy (both)</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Mean ζ/f of member cells</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-0.057</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0.058</w:t>
            </w:r>
          </w:p>
        </w:tc>
        <w:tc>
          <w:tcPr>
            <w:tcW w:type="dxa" w:w="51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-0.936</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1.1 × 10</w:t>
            </w:r>
            <w:r>
              <w:rPr>
                <w:rFonts w:ascii="Times New Roman" w:cs="Times New Roman" w:eastAsia="Times New Roman" w:hAnsi="Times New Roman"/>
                <w:b w:val="false"/>
                <w:bCs w:val="false"/>
                <w:sz w:val="13"/>
                <w:szCs w:val="13"/>
                <w:vertAlign w:val="superscript"/>
              </w:rPr>
              <w:t xml:space="preserve">−96</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 (4.5 × 10</w:t>
            </w:r>
            <w:r>
              <w:rPr>
                <w:rFonts w:ascii="Times New Roman" w:cs="Times New Roman" w:eastAsia="Times New Roman" w:hAnsi="Times New Roman"/>
                <w:b w:val="false"/>
                <w:bCs w:val="false"/>
                <w:sz w:val="13"/>
                <w:szCs w:val="13"/>
                <w:vertAlign w:val="superscript"/>
              </w:rPr>
              <w:t xml:space="preserve">−7</w:t>
            </w:r>
            <w:r>
              <w:rPr>
                <w:rFonts w:ascii="Times New Roman" w:cs="Times New Roman" w:eastAsia="Times New Roman" w:hAnsi="Times New Roman"/>
                <w:b w:val="false"/>
                <w:bCs w:val="false"/>
                <w:sz w:val="13"/>
                <w:szCs w:val="13"/>
              </w:rPr>
              <w:t xml:space="preserve">)</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+0.22 (1.1 × 10</w:t>
            </w:r>
            <w:r>
              <w:rPr>
                <w:rFonts w:ascii="Times New Roman" w:cs="Times New Roman" w:eastAsia="Times New Roman" w:hAnsi="Times New Roman"/>
                <w:b w:val="false"/>
                <w:bCs w:val="false"/>
                <w:sz w:val="13"/>
                <w:szCs w:val="13"/>
                <w:vertAlign w:val="superscript"/>
              </w:rPr>
              <w:t xml:space="preserve">−5</w:t>
            </w:r>
            <w:r>
              <w:rPr>
                <w:rFonts w:ascii="Times New Roman" w:cs="Times New Roman" w:eastAsia="Times New Roman" w:hAnsi="Times New Roman"/>
                <w:b w:val="false"/>
                <w:bCs w:val="false"/>
                <w:sz w:val="13"/>
                <w:szCs w:val="13"/>
              </w:rPr>
              <w:t xml:space="preserve">)</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+0.40 (3.9 × 10</w:t>
            </w:r>
            <w:r>
              <w:rPr>
                <w:rFonts w:ascii="Times New Roman" w:cs="Times New Roman" w:eastAsia="Times New Roman" w:hAnsi="Times New Roman"/>
                <w:b w:val="false"/>
                <w:bCs w:val="false"/>
                <w:sz w:val="13"/>
                <w:szCs w:val="13"/>
                <w:vertAlign w:val="superscript"/>
              </w:rPr>
              <w:t xml:space="preserve">−13</w:t>
            </w:r>
            <w:r>
              <w:rPr>
                <w:rFonts w:ascii="Times New Roman" w:cs="Times New Roman" w:eastAsia="Times New Roman" w:hAnsi="Times New Roman"/>
                <w:b w:val="false"/>
                <w:bCs w:val="false"/>
                <w:sz w:val="13"/>
                <w:szCs w:val="13"/>
              </w:rPr>
              <w:t xml:space="preserve">)</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-0.40 (6.1 × 10</w:t>
            </w:r>
            <w:r>
              <w:rPr>
                <w:rFonts w:ascii="Times New Roman" w:cs="Times New Roman" w:eastAsia="Times New Roman" w:hAnsi="Times New Roman"/>
                <w:b w:val="false"/>
                <w:bCs w:val="false"/>
                <w:sz w:val="13"/>
                <w:szCs w:val="13"/>
                <w:vertAlign w:val="superscript"/>
              </w:rPr>
              <w:t xml:space="preserve">−13</w:t>
            </w:r>
            <w:r>
              <w:rPr>
                <w:rFonts w:ascii="Times New Roman" w:cs="Times New Roman" w:eastAsia="Times New Roman" w:hAnsi="Times New Roman"/>
                <w:b w:val="false"/>
                <w:bCs w:val="false"/>
                <w:sz w:val="13"/>
                <w:szCs w:val="13"/>
              </w:rPr>
              <w:t xml:space="preserve">)</w:t>
            </w:r>
          </w:p>
        </w:tc>
        <w:tc>
          <w:tcPr>
            <w:tcW w:type="dxa" w:w="138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 (0.003)</w:t>
            </w:r>
          </w:p>
        </w:tc>
        <w:tc>
          <w:tcPr>
            <w:tcW w:type="dxa" w:w="1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 (0.0009)</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Fraction of cyclonic cells</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0.236</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0.787</w:t>
            </w:r>
          </w:p>
        </w:tc>
        <w:tc>
          <w:tcPr>
            <w:tcW w:type="dxa" w:w="51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-0.924</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3.6 × 10</w:t>
            </w:r>
            <w:r>
              <w:rPr>
                <w:rFonts w:ascii="Times New Roman" w:cs="Times New Roman" w:eastAsia="Times New Roman" w:hAnsi="Times New Roman"/>
                <w:b w:val="false"/>
                <w:bCs w:val="false"/>
                <w:sz w:val="13"/>
                <w:szCs w:val="13"/>
                <w:vertAlign w:val="superscript"/>
              </w:rPr>
              <w:t xml:space="preserve">−94</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 (0.004)</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+0.14 (0.009)</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 (8.9 × 10</w:t>
            </w:r>
            <w:r>
              <w:rPr>
                <w:rFonts w:ascii="Times New Roman" w:cs="Times New Roman" w:eastAsia="Times New Roman" w:hAnsi="Times New Roman"/>
                <w:b w:val="false"/>
                <w:bCs w:val="false"/>
                <w:sz w:val="13"/>
                <w:szCs w:val="13"/>
                <w:vertAlign w:val="superscript"/>
              </w:rPr>
              <w:t xml:space="preserve">−7</w:t>
            </w:r>
            <w:r>
              <w:rPr>
                <w:rFonts w:ascii="Times New Roman" w:cs="Times New Roman" w:eastAsia="Times New Roman" w:hAnsi="Times New Roman"/>
                <w:b w:val="false"/>
                <w:bCs w:val="false"/>
                <w:sz w:val="13"/>
                <w:szCs w:val="13"/>
              </w:rPr>
              <w:t xml:space="preserve">)</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 (9.8 × 10</w:t>
            </w:r>
            <w:r>
              <w:rPr>
                <w:rFonts w:ascii="Times New Roman" w:cs="Times New Roman" w:eastAsia="Times New Roman" w:hAnsi="Times New Roman"/>
                <w:b w:val="false"/>
                <w:bCs w:val="false"/>
                <w:sz w:val="13"/>
                <w:szCs w:val="13"/>
                <w:vertAlign w:val="superscript"/>
              </w:rPr>
              <w:t xml:space="preserve">−7</w:t>
            </w:r>
            <w:r>
              <w:rPr>
                <w:rFonts w:ascii="Times New Roman" w:cs="Times New Roman" w:eastAsia="Times New Roman" w:hAnsi="Times New Roman"/>
                <w:b w:val="false"/>
                <w:bCs w:val="false"/>
                <w:sz w:val="13"/>
                <w:szCs w:val="13"/>
              </w:rPr>
              <w:t xml:space="preserve">)</w:t>
            </w:r>
          </w:p>
        </w:tc>
        <w:tc>
          <w:tcPr>
            <w:tcW w:type="dxa" w:w="138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 (0.001)</w:t>
            </w:r>
          </w:p>
        </w:tc>
        <w:tc>
          <w:tcPr>
            <w:tcW w:type="dxa" w:w="1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 (0.0006)</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Mean absolute relative vorticity, mean(|ζ/f|)</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0.088</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0.085</w:t>
            </w:r>
          </w:p>
        </w:tc>
        <w:tc>
          <w:tcPr>
            <w:tcW w:type="dxa" w:w="51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0.055</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0.222</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 (5.9 × 10</w:t>
            </w:r>
            <w:r>
              <w:rPr>
                <w:rFonts w:ascii="Times New Roman" w:cs="Times New Roman" w:eastAsia="Times New Roman" w:hAnsi="Times New Roman"/>
                <w:b w:val="false"/>
                <w:bCs w:val="false"/>
                <w:sz w:val="13"/>
                <w:szCs w:val="13"/>
                <w:vertAlign w:val="superscript"/>
              </w:rPr>
              <w:t xml:space="preserve">−7</w:t>
            </w:r>
            <w:r>
              <w:rPr>
                <w:rFonts w:ascii="Times New Roman" w:cs="Times New Roman" w:eastAsia="Times New Roman" w:hAnsi="Times New Roman"/>
                <w:b w:val="false"/>
                <w:bCs w:val="false"/>
                <w:sz w:val="13"/>
                <w:szCs w:val="13"/>
              </w:rPr>
              <w:t xml:space="preserve">)</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 (0.0001)</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+0.44 (1.3 × 10</w:t>
            </w:r>
            <w:r>
              <w:rPr>
                <w:rFonts w:ascii="Times New Roman" w:cs="Times New Roman" w:eastAsia="Times New Roman" w:hAnsi="Times New Roman"/>
                <w:b w:val="false"/>
                <w:bCs w:val="false"/>
                <w:sz w:val="13"/>
                <w:szCs w:val="13"/>
                <w:vertAlign w:val="superscript"/>
              </w:rPr>
              <w:t xml:space="preserve">−15</w:t>
            </w:r>
            <w:r>
              <w:rPr>
                <w:rFonts w:ascii="Times New Roman" w:cs="Times New Roman" w:eastAsia="Times New Roman" w:hAnsi="Times New Roman"/>
                <w:b w:val="false"/>
                <w:bCs w:val="false"/>
                <w:sz w:val="13"/>
                <w:szCs w:val="13"/>
              </w:rPr>
              <w:t xml:space="preserve">)</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-0.43 (8.8 × 10</w:t>
            </w:r>
            <w:r>
              <w:rPr>
                <w:rFonts w:ascii="Times New Roman" w:cs="Times New Roman" w:eastAsia="Times New Roman" w:hAnsi="Times New Roman"/>
                <w:b w:val="false"/>
                <w:bCs w:val="false"/>
                <w:sz w:val="13"/>
                <w:szCs w:val="13"/>
                <w:vertAlign w:val="superscript"/>
              </w:rPr>
              <w:t xml:space="preserve">−15</w:t>
            </w:r>
            <w:r>
              <w:rPr>
                <w:rFonts w:ascii="Times New Roman" w:cs="Times New Roman" w:eastAsia="Times New Roman" w:hAnsi="Times New Roman"/>
                <w:b w:val="false"/>
                <w:bCs w:val="false"/>
                <w:sz w:val="13"/>
                <w:szCs w:val="13"/>
              </w:rPr>
              <w:t xml:space="preserve">)</w:t>
            </w:r>
          </w:p>
        </w:tc>
        <w:tc>
          <w:tcPr>
            <w:tcW w:type="dxa" w:w="138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+0.32 (1.0 × 10</w:t>
            </w:r>
            <w:r>
              <w:rPr>
                <w:rFonts w:ascii="Times New Roman" w:cs="Times New Roman" w:eastAsia="Times New Roman" w:hAnsi="Times New Roman"/>
                <w:b w:val="false"/>
                <w:bCs w:val="false"/>
                <w:sz w:val="13"/>
                <w:szCs w:val="13"/>
                <w:vertAlign w:val="superscript"/>
              </w:rPr>
              <w:t xml:space="preserve">−17</w:t>
            </w:r>
            <w:r>
              <w:rPr>
                <w:rFonts w:ascii="Times New Roman" w:cs="Times New Roman" w:eastAsia="Times New Roman" w:hAnsi="Times New Roman"/>
                <w:b w:val="false"/>
                <w:bCs w:val="false"/>
                <w:sz w:val="13"/>
                <w:szCs w:val="13"/>
              </w:rPr>
              <w:t xml:space="preserve">)</w:t>
            </w:r>
          </w:p>
        </w:tc>
        <w:tc>
          <w:tcPr>
            <w:tcW w:type="dxa" w:w="1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-0.29 (3.1 × 10</w:t>
            </w:r>
            <w:r>
              <w:rPr>
                <w:rFonts w:ascii="Times New Roman" w:cs="Times New Roman" w:eastAsia="Times New Roman" w:hAnsi="Times New Roman"/>
                <w:b w:val="false"/>
                <w:bCs w:val="false"/>
                <w:sz w:val="13"/>
                <w:szCs w:val="13"/>
                <w:vertAlign w:val="superscript"/>
              </w:rPr>
              <w:t xml:space="preserve">−14</w:t>
            </w:r>
            <w:r>
              <w:rPr>
                <w:rFonts w:ascii="Times New Roman" w:cs="Times New Roman" w:eastAsia="Times New Roman" w:hAnsi="Times New Roman"/>
                <w:b w:val="false"/>
                <w:bCs w:val="false"/>
                <w:sz w:val="13"/>
                <w:szCs w:val="13"/>
              </w:rPr>
              <w:t xml:space="preserve">)</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Mean layer speed (m s⁻¹)</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0.178</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0.128</w:t>
            </w:r>
          </w:p>
        </w:tc>
        <w:tc>
          <w:tcPr>
            <w:tcW w:type="dxa" w:w="51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0.314</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2.6 × 10</w:t>
            </w:r>
            <w:r>
              <w:rPr>
                <w:rFonts w:ascii="Times New Roman" w:cs="Times New Roman" w:eastAsia="Times New Roman" w:hAnsi="Times New Roman"/>
                <w:b w:val="false"/>
                <w:bCs w:val="false"/>
                <w:sz w:val="13"/>
                <w:szCs w:val="13"/>
                <w:vertAlign w:val="superscript"/>
              </w:rPr>
              <w:t xml:space="preserve">−12</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 (0.425)</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+0.12 (0.021)</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+0.20 (0.0005)</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 (0.004)</w:t>
            </w:r>
          </w:p>
        </w:tc>
        <w:tc>
          <w:tcPr>
            <w:tcW w:type="dxa" w:w="138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 (0.706)</w:t>
            </w:r>
          </w:p>
        </w:tc>
        <w:tc>
          <w:tcPr>
            <w:tcW w:type="dxa" w:w="1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+0.04 (0.313)</w:t>
            </w:r>
          </w:p>
        </w:tc>
      </w:tr>
      <w:tr>
        <w:trPr>
          <w:tblHeader w:val="false"/>
        </w:trPr>
        <w:tc>
          <w:tcPr>
            <w:tcW w:type="dxa" w:w="230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Flow coherence c (equation S10)</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0.687</w:t>
            </w:r>
          </w:p>
        </w:tc>
        <w:tc>
          <w:tcPr>
            <w:tcW w:type="dxa" w:w="5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0.59</w:t>
            </w:r>
          </w:p>
        </w:tc>
        <w:tc>
          <w:tcPr>
            <w:tcW w:type="dxa" w:w="51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0.176</w:t>
            </w:r>
          </w:p>
        </w:tc>
        <w:tc>
          <w:tcPr>
            <w:tcW w:type="dxa" w:w="9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9.0 × 10</w:t>
            </w:r>
            <w:r>
              <w:rPr>
                <w:rFonts w:ascii="Times New Roman" w:cs="Times New Roman" w:eastAsia="Times New Roman" w:hAnsi="Times New Roman"/>
                <w:b w:val="false"/>
                <w:bCs w:val="false"/>
                <w:sz w:val="13"/>
                <w:szCs w:val="13"/>
                <w:vertAlign w:val="superscript"/>
              </w:rPr>
              <w:t xml:space="preserve">−5</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-0.64 (4.4 × 10</w:t>
            </w:r>
            <w:r>
              <w:rPr>
                <w:rFonts w:ascii="Times New Roman" w:cs="Times New Roman" w:eastAsia="Times New Roman" w:hAnsi="Times New Roman"/>
                <w:b w:val="false"/>
                <w:bCs w:val="false"/>
                <w:sz w:val="13"/>
                <w:szCs w:val="13"/>
                <w:vertAlign w:val="superscript"/>
              </w:rPr>
              <w:t xml:space="preserve">−44</w:t>
            </w:r>
            <w:r>
              <w:rPr>
                <w:rFonts w:ascii="Times New Roman" w:cs="Times New Roman" w:eastAsia="Times New Roman" w:hAnsi="Times New Roman"/>
                <w:b w:val="false"/>
                <w:bCs w:val="false"/>
                <w:sz w:val="13"/>
                <w:szCs w:val="13"/>
              </w:rPr>
              <w:t xml:space="preserve">)</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+0.64 (9.6 × 10</w:t>
            </w:r>
            <w:r>
              <w:rPr>
                <w:rFonts w:ascii="Times New Roman" w:cs="Times New Roman" w:eastAsia="Times New Roman" w:hAnsi="Times New Roman"/>
                <w:b w:val="false"/>
                <w:bCs w:val="false"/>
                <w:sz w:val="13"/>
                <w:szCs w:val="13"/>
                <w:vertAlign w:val="superscript"/>
              </w:rPr>
              <w:t xml:space="preserve">−45</w:t>
            </w:r>
            <w:r>
              <w:rPr>
                <w:rFonts w:ascii="Times New Roman" w:cs="Times New Roman" w:eastAsia="Times New Roman" w:hAnsi="Times New Roman"/>
                <w:b w:val="false"/>
                <w:bCs w:val="false"/>
                <w:sz w:val="13"/>
                <w:szCs w:val="13"/>
              </w:rPr>
              <w:t xml:space="preserve">)</w:t>
            </w:r>
          </w:p>
        </w:tc>
        <w:tc>
          <w:tcPr>
            <w:tcW w:type="dxa" w:w="13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 (3.0 × 10</w:t>
            </w:r>
            <w:r>
              <w:rPr>
                <w:rFonts w:ascii="Times New Roman" w:cs="Times New Roman" w:eastAsia="Times New Roman" w:hAnsi="Times New Roman"/>
                <w:b w:val="false"/>
                <w:bCs w:val="false"/>
                <w:sz w:val="13"/>
                <w:szCs w:val="13"/>
                <w:vertAlign w:val="superscript"/>
              </w:rPr>
              <w:t xml:space="preserve">−37</w:t>
            </w:r>
            <w:r>
              <w:rPr>
                <w:rFonts w:ascii="Times New Roman" w:cs="Times New Roman" w:eastAsia="Times New Roman" w:hAnsi="Times New Roman"/>
                <w:b w:val="false"/>
                <w:bCs w:val="false"/>
                <w:sz w:val="13"/>
                <w:szCs w:val="13"/>
              </w:rPr>
              <w:t xml:space="preserve">)</w:t>
            </w:r>
          </w:p>
        </w:tc>
        <w:tc>
          <w:tcPr>
            <w:tcW w:type="dxa" w:w="15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+0.64 (4.8 × 10</w:t>
            </w:r>
            <w:r>
              <w:rPr>
                <w:rFonts w:ascii="Times New Roman" w:cs="Times New Roman" w:eastAsia="Times New Roman" w:hAnsi="Times New Roman"/>
                <w:b w:val="false"/>
                <w:bCs w:val="false"/>
                <w:sz w:val="13"/>
                <w:szCs w:val="13"/>
                <w:vertAlign w:val="superscript"/>
              </w:rPr>
              <w:t xml:space="preserve">−36</w:t>
            </w:r>
            <w:r>
              <w:rPr>
                <w:rFonts w:ascii="Times New Roman" w:cs="Times New Roman" w:eastAsia="Times New Roman" w:hAnsi="Times New Roman"/>
                <w:b w:val="false"/>
                <w:bCs w:val="false"/>
                <w:sz w:val="13"/>
                <w:szCs w:val="13"/>
              </w:rPr>
              <w:t xml:space="preserve">)</w:t>
            </w:r>
          </w:p>
        </w:tc>
        <w:tc>
          <w:tcPr>
            <w:tcW w:type="dxa" w:w="138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-0.66 (1.3 × 10</w:t>
            </w:r>
            <w:r>
              <w:rPr>
                <w:rFonts w:ascii="Times New Roman" w:cs="Times New Roman" w:eastAsia="Times New Roman" w:hAnsi="Times New Roman"/>
                <w:b w:val="false"/>
                <w:bCs w:val="false"/>
                <w:sz w:val="13"/>
                <w:szCs w:val="13"/>
                <w:vertAlign w:val="superscript"/>
              </w:rPr>
              <w:t xml:space="preserve">−84</w:t>
            </w:r>
            <w:r>
              <w:rPr>
                <w:rFonts w:ascii="Times New Roman" w:cs="Times New Roman" w:eastAsia="Times New Roman" w:hAnsi="Times New Roman"/>
                <w:b w:val="false"/>
                <w:bCs w:val="false"/>
                <w:sz w:val="13"/>
                <w:szCs w:val="13"/>
              </w:rPr>
              <w:t xml:space="preserve">)</w:t>
            </w:r>
          </w:p>
        </w:tc>
        <w:tc>
          <w:tcPr>
            <w:tcW w:type="dxa" w:w="162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+0.66 (1.1 × 10</w:t>
            </w:r>
            <w:r>
              <w:rPr>
                <w:rFonts w:ascii="Times New Roman" w:cs="Times New Roman" w:eastAsia="Times New Roman" w:hAnsi="Times New Roman"/>
                <w:b w:val="false"/>
                <w:bCs w:val="false"/>
                <w:sz w:val="13"/>
                <w:szCs w:val="13"/>
                <w:vertAlign w:val="superscript"/>
              </w:rPr>
              <w:t xml:space="preserve">−83</w:t>
            </w:r>
            <w:r>
              <w:rPr>
                <w:rFonts w:ascii="Times New Roman" w:cs="Times New Roman" w:eastAsia="Times New Roman" w:hAnsi="Times New Roman"/>
                <w:b w:val="false"/>
                <w:bCs w:val="false"/>
                <w:sz w:val="13"/>
                <w:szCs w:val="13"/>
              </w:rPr>
              <w:t xml:space="preserve">)</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10 | Warm–cold contrasts (Cliff's δ, MHW − MCS, with FDR-adjusted p) within seasons and within quartiles of log10 N_peak (quartiles defined on the pooled main set).</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64"/>
        <w:gridCol w:w="1154"/>
        <w:gridCol w:w="1154"/>
        <w:gridCol w:w="1243"/>
        <w:gridCol w:w="1154"/>
        <w:gridCol w:w="1598"/>
        <w:gridCol w:w="1243"/>
        <w:gridCol w:w="1154"/>
        <w:gridCol w:w="1516"/>
      </w:tblGrid>
      <w:tr>
        <w:trPr>
          <w:tblHeader/>
        </w:trPr>
        <w:tc>
          <w:tcPr>
            <w:tcW w:type="dxa" w:w="346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Near-peak feature</w:t>
            </w:r>
          </w:p>
        </w:tc>
        <w:tc>
          <w:tcPr>
            <w:tcW w:type="dxa" w:w="115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DJF</w:t>
            </w:r>
          </w:p>
        </w:tc>
        <w:tc>
          <w:tcPr>
            <w:tcW w:type="dxa" w:w="115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MAM</w:t>
            </w:r>
          </w:p>
        </w:tc>
        <w:tc>
          <w:tcPr>
            <w:tcW w:type="dxa" w:w="124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JJA</w:t>
            </w:r>
          </w:p>
        </w:tc>
        <w:tc>
          <w:tcPr>
            <w:tcW w:type="dxa" w:w="115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SON</w:t>
            </w:r>
          </w:p>
        </w:tc>
        <w:tc>
          <w:tcPr>
            <w:tcW w:type="dxa" w:w="159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Size Q1 (smallest)</w:t>
            </w:r>
          </w:p>
        </w:tc>
        <w:tc>
          <w:tcPr>
            <w:tcW w:type="dxa" w:w="124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Size Q2</w:t>
            </w:r>
          </w:p>
        </w:tc>
        <w:tc>
          <w:tcPr>
            <w:tcW w:type="dxa" w:w="115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Size Q3</w:t>
            </w:r>
          </w:p>
        </w:tc>
        <w:tc>
          <w:tcPr>
            <w:tcW w:type="dxa" w:w="151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Size Q4 (largest)</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n (MHW/MCS)</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103/80</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85/64</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101/79</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86/74</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91/67</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94/83</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89/80</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101/67</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Largest-SCC fraction</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-0.13 (0.232)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-0.06 (0.712)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-0.30 (0.001)</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-0.23 (0.066)</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-0.21 (0.089)</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-0.28 (0.004)</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-0.27 (0.018)</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 (0.714)</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SCC excess over null</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 (0.211)</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(0.989)</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-0.36 (0.0005)</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-0.21 (0.066)</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-0.23 (0.089)</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-0.30 (0.002)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-0.25 (0.018)</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 (0.714)</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Flux fraction on cycles</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-0.16 (0.208)</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-0.09 (0.712)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-0.31 (0.001)</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-0.21 (0.066)</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-0.21 (0.089)</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-0.30 (0.002)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-0.25 (0.018)</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-0.08 (0.594)</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Flow hierarchy</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+0.13 (0.232)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+0.07 (0.712)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+0.32 (0.001)</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+0.23 (0.066)</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+0.21 (0.089)</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+0.29 (0.002)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+0.26 (0.018)</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+0.07 (0.606)</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External inflow fraction</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-0.16 (0.208)</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-0.24 (0.155)</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-0.32 (0.001)</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 (0.251)</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-0.17 (0.170)</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-0.36 (0.0005)</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-0.13 (0.292)</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-0.29 (0.014)</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External inflow fraction (early growth)</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 (0.208)</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-0.12 (0.609)</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-0.25 (0.009)</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-0.07 (0.654)</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-0.08 (0.512)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-0.25 (0.011)</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-0.17 (0.164)</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-0.10 (0.462)</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Maximum betweenness</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 (0.829)</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+0.09 (0.712)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-0.25 (0.009)</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-0.21 (0.066)</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(0.950)</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-0.22 (0.027)</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-0.12 (0.321)</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 (0.714)</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σ of log edge flux</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+0.16 (0.208)</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 (0.526)</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+0.08 (0.592)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 (0.889)</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(0.950)</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(0.912)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 (0.239)</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+0.28 (0.014)</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σ of log node strength</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 (0.855)</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+0.17 (0.482)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(0.920)</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 (0.889)</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-0.09 (0.472)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 (0.695)</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+0.06 (0.764)</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+0.25 (0.030)</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Top-10% edge-flux share</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 (0.868)</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 (0.778)</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-0.06 (0.687)</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 (0.889)</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 (0.216)</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(0.912)</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 (0.789)</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+0.11 (0.432)</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Gini of node strength</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(0.894)</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+0.07 (0.712)</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 (0.755)</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 (0.990)</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-0.13 (0.271)</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-0.10 (0.368)</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 (0.989)</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 (0.276)</w:t>
            </w:r>
          </w:p>
        </w:tc>
      </w:tr>
      <w:tr>
        <w:trPr>
          <w:tblHeader w:val="false"/>
        </w:trPr>
        <w:tc>
          <w:tcPr>
            <w:tcW w:type="dxa" w:w="346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Hub persistence</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+0.12 (0.257)</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 (0.989)</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 (0.755)</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+0.11 (0.432)</w:t>
            </w:r>
          </w:p>
        </w:tc>
        <w:tc>
          <w:tcPr>
            <w:tcW w:type="dxa" w:w="159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+0.17 (0.170)</w:t>
            </w:r>
          </w:p>
        </w:tc>
        <w:tc>
          <w:tcPr>
            <w:tcW w:type="dxa" w:w="124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+0.06 (0.610)</w:t>
            </w:r>
          </w:p>
        </w:tc>
        <w:tc>
          <w:tcPr>
            <w:tcW w:type="dxa" w:w="115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 (0.942)</w:t>
            </w:r>
          </w:p>
        </w:tc>
        <w:tc>
          <w:tcPr>
            <w:tcW w:type="dxa" w:w="151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 (0.714)</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11 | Directional statistics of the persistent backbone edges accumulated over all main-set objects (Fig. 6): fractions of backbone edge-days pointing east, west, north and south, and the mean resultant length of the local backbone direction.</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0"/>
        <w:gridCol w:w="1488"/>
        <w:gridCol w:w="1675"/>
        <w:gridCol w:w="2326"/>
        <w:gridCol w:w="1395"/>
        <w:gridCol w:w="2140"/>
        <w:gridCol w:w="3726"/>
      </w:tblGrid>
      <w:tr>
        <w:trPr>
          <w:tblHeader/>
        </w:trPr>
        <w:tc>
          <w:tcPr>
            <w:tcW w:type="dxa" w:w="93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Phenomenon</w:t>
            </w:r>
          </w:p>
        </w:tc>
        <w:tc>
          <w:tcPr>
            <w:tcW w:type="dxa" w:w="148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Member cell-days</w:t>
            </w:r>
          </w:p>
        </w:tc>
        <w:tc>
          <w:tcPr>
            <w:tcW w:type="dxa" w:w="1675"/>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Backbone edge-days</w:t>
            </w:r>
          </w:p>
        </w:tc>
        <w:tc>
          <w:tcPr>
            <w:tcW w:type="dxa" w:w="232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Fraction E / W / N / S</w:t>
            </w:r>
          </w:p>
        </w:tc>
        <w:tc>
          <w:tcPr>
            <w:tcW w:type="dxa" w:w="1395"/>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Fraction E or N</w:t>
            </w:r>
          </w:p>
        </w:tc>
        <w:tc>
          <w:tcPr>
            <w:tcW w:type="dxa" w:w="214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Pooled resultant length</w:t>
            </w:r>
          </w:p>
        </w:tc>
        <w:tc>
          <w:tcPr>
            <w:tcW w:type="dxa" w:w="372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Mean per-cell resultant length (cells with ≥ 10 backbone edge-days)</w:t>
            </w:r>
          </w:p>
        </w:tc>
      </w:tr>
      <w:tr>
        <w:trPr>
          <w:tblHeader w:val="false"/>
        </w:trPr>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148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3,960,864</w:t>
            </w:r>
          </w:p>
        </w:tc>
        <w:tc>
          <w:tcPr>
            <w:tcW w:type="dxa" w:w="16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2,090,619</w:t>
            </w:r>
          </w:p>
        </w:tc>
        <w:tc>
          <w:tcPr>
            <w:tcW w:type="dxa" w:w="23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0.40 / 0.19 / 0.31 / 0.10</w:t>
            </w:r>
          </w:p>
        </w:tc>
        <w:tc>
          <w:tcPr>
            <w:tcW w:type="dxa" w:w="13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0.71</w:t>
            </w:r>
          </w:p>
        </w:tc>
        <w:tc>
          <w:tcPr>
            <w:tcW w:type="dxa" w:w="21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0.3</w:t>
            </w:r>
          </w:p>
        </w:tc>
        <w:tc>
          <w:tcPr>
            <w:tcW w:type="dxa" w:w="37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0.50 (n = 12,072)</w:t>
            </w:r>
          </w:p>
        </w:tc>
      </w:tr>
      <w:tr>
        <w:trPr>
          <w:tblHeader w:val="false"/>
        </w:trPr>
        <w:tc>
          <w:tcPr>
            <w:tcW w:type="dxa" w:w="93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148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4,730,002</w:t>
            </w:r>
          </w:p>
        </w:tc>
        <w:tc>
          <w:tcPr>
            <w:tcW w:type="dxa" w:w="16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2,554,668</w:t>
            </w:r>
          </w:p>
        </w:tc>
        <w:tc>
          <w:tcPr>
            <w:tcW w:type="dxa" w:w="23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0.40 / 0.19 / 0.17 / 0.24</w:t>
            </w:r>
          </w:p>
        </w:tc>
        <w:tc>
          <w:tcPr>
            <w:tcW w:type="dxa" w:w="13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0.57</w:t>
            </w:r>
          </w:p>
        </w:tc>
        <w:tc>
          <w:tcPr>
            <w:tcW w:type="dxa" w:w="21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0.22</w:t>
            </w:r>
          </w:p>
        </w:tc>
        <w:tc>
          <w:tcPr>
            <w:tcW w:type="dxa" w:w="37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0.40 (n = 12,315)</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12 | Dependence on the background field: comparison of the daily network metrics of 63 objects (the four Letter events and 59 random main-set objects) computed with the detrended anomaly (main analysis) and with the trend retained. Columns give the correlation across the life cycle between the two versions (median and 10th percentile over objects, fraction of objects above 0.8), the absolute difference Δ of the near-peak and early-growth window means (median and 90th percentile over objects) and, for scale, the standard deviation of the near-peak mean across objects.</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8"/>
        <w:gridCol w:w="1695"/>
        <w:gridCol w:w="1753"/>
        <w:gridCol w:w="1870"/>
        <w:gridCol w:w="1812"/>
        <w:gridCol w:w="1461"/>
        <w:gridCol w:w="1636"/>
        <w:gridCol w:w="1875"/>
      </w:tblGrid>
      <w:tr>
        <w:trPr>
          <w:tblHeader/>
        </w:trPr>
        <w:tc>
          <w:tcPr>
            <w:tcW w:type="dxa" w:w="157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Daily metric</w:t>
            </w:r>
          </w:p>
        </w:tc>
        <w:tc>
          <w:tcPr>
            <w:tcW w:type="dxa" w:w="1695"/>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Median day-to-day correlation</w:t>
            </w:r>
          </w:p>
        </w:tc>
        <w:tc>
          <w:tcPr>
            <w:tcW w:type="dxa" w:w="175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10th percentile of correlation</w:t>
            </w:r>
          </w:p>
        </w:tc>
        <w:tc>
          <w:tcPr>
            <w:tcW w:type="dxa" w:w="187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Fraction of objects with r &gt; 0.8</w:t>
            </w:r>
          </w:p>
        </w:tc>
        <w:tc>
          <w:tcPr>
            <w:tcW w:type="dxa" w:w="181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Median abs. Δ of near-peak mean</w:t>
            </w:r>
          </w:p>
        </w:tc>
        <w:tc>
          <w:tcPr>
            <w:tcW w:type="dxa" w:w="146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90th pct abs. Δ near peak</w:t>
            </w:r>
          </w:p>
        </w:tc>
        <w:tc>
          <w:tcPr>
            <w:tcW w:type="dxa" w:w="16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90th pct abs. Δ early growth</w:t>
            </w:r>
          </w:p>
        </w:tc>
        <w:tc>
          <w:tcPr>
            <w:tcW w:type="dxa" w:w="1875"/>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s.d. between objects (near peak)</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External inflow fraction</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0.99</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0.86</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0.97</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0.003</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0.027</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0.053</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Largest-SCC fraction</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0.95</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0.38</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0.76</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0.013</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0.153</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SCC excess over null</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0.56</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0.67</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0.007</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0.018</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0.044</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0.158</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Flow hierarchy</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0.94</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0.28</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0.001</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0.018</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0.045</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0.177</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Top-10% edge-flux share</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0.95</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0.51</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0.75</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0.004</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0.013</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0.041</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Gini of node strength</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0.93</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0.56</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0.68</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0.007</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0.032</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0.081</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0.078</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σ of log edge flux (daily)</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0.87</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0.62</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0.62</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0.111</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0.187</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0.144</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Maximum betweenness</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0.96</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0.75</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0.83</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0.001</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0.005</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0.013</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0.053</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Hub persistence</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0.71</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0.29</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0.023</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0.112</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0.175</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0.152</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Backbone flux share</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0.97</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0.83</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0.004</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0.019</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0.038</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0.085</w:t>
            </w:r>
          </w:p>
        </w:tc>
      </w:tr>
      <w:tr>
        <w:trPr>
          <w:tblHeader w:val="false"/>
        </w:trPr>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Network convergence (K d⁻¹)</w:t>
            </w:r>
          </w:p>
        </w:tc>
        <w:tc>
          <w:tcPr>
            <w:tcW w:type="dxa" w:w="169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w:t>
            </w:r>
          </w:p>
        </w:tc>
        <w:tc>
          <w:tcPr>
            <w:tcW w:type="dxa" w:w="1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0.98</w:t>
            </w:r>
          </w:p>
        </w:tc>
        <w:tc>
          <w:tcPr>
            <w:tcW w:type="dxa" w:w="187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0.98</w:t>
            </w:r>
          </w:p>
        </w:tc>
        <w:tc>
          <w:tcPr>
            <w:tcW w:type="dxa" w:w="18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0.006</w:t>
            </w:r>
          </w:p>
        </w:tc>
        <w:tc>
          <w:tcPr>
            <w:tcW w:type="dxa" w:w="14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0.024</w:t>
            </w:r>
          </w:p>
        </w:tc>
        <w:tc>
          <w:tcPr>
            <w:tcW w:type="dxa" w:w="16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0.03</w:t>
            </w:r>
          </w:p>
        </w:tc>
        <w:tc>
          <w:tcPr>
            <w:tcW w:type="dxa" w:w="1875"/>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0.059</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13 | Event-level frequency of the life-cycle changes (main set): number and fraction of objects in which the window means satisfy the stated condition (windows: onset = first 3 days, early growth τ &lt; −0.25, near peak |τ| ≤ 0.25, late decay τ &gt; 0.25, end = last 3 days; topological metrics use days with ≥10 member cells only). These frequencies complement the population-level tests of Supplementary Table 2.</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4"/>
        <w:gridCol w:w="8418"/>
        <w:gridCol w:w="3158"/>
      </w:tblGrid>
      <w:tr>
        <w:trPr>
          <w:tblHeader/>
        </w:trPr>
        <w:tc>
          <w:tcPr>
            <w:tcW w:type="dxa" w:w="210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6"/>
                <w:szCs w:val="16"/>
              </w:rPr>
              <w:t xml:space="preserve">Phenomenon</w:t>
            </w:r>
          </w:p>
        </w:tc>
        <w:tc>
          <w:tcPr>
            <w:tcW w:type="dxa" w:w="841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6"/>
                <w:szCs w:val="16"/>
              </w:rPr>
              <w:t xml:space="preserve">Condition</w:t>
            </w:r>
          </w:p>
        </w:tc>
        <w:tc>
          <w:tcPr>
            <w:tcW w:type="dxa" w:w="315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6"/>
                <w:szCs w:val="16"/>
              </w:rPr>
              <w:t xml:space="preserve">Objects</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near peak &lt;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365/375 (97.3%)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near peak &lt; early growth and &lt;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352/374 (94.1%)</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near peak &lt; onset (first 3 d) and &lt; end (last 3 d)</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373/375 (99.5%)</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&gt; 0.5 at onset and at end</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284/375 (75.7%)</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Net convergence: early growth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346/374 (92.5%)</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Net convergence: early growth &gt; 0 and late decay &lt; 0 (sign reversal)</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265/374 (70.9%)</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Largest-SCC fraction: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219/375 (58.4%)</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Largest-SCC fraction: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158/374 (42.2%)</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SCC excess over null: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215/375 (57.3%)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SCC excess over null: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153/374 (40.9%)</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Flow hierarchy: near peak &lt;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241/375 (64.3%)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Flow hierarchy: near peak &lt; early growth and &lt;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180/374 (48.1%)</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Maximum betweenness: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261/375 (69.6%)</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Maximum betweenness: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203/374 (54.3%)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Hub persistence: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205/375 (54.7%)</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Hub persistence: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145/374 (38.8%)</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Top-10% edge-flux share: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220/375 (58.7%)</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Top-10% edge-flux share: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139/374 (37.2%)</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Gini of node strength: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164/375 (43.7%)</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MHW</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Gini of node strength: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83/374 (22.2%)</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near peak &lt;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286/296 (96.6%)</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near peak &lt; early growth and &lt;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269/296 (90.9%)</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near peak &lt; onset (first 3 d) and &lt; end (last 3 d)</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291/297 (98.0%)</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External inflow fraction &gt; 0.5 at onset and at end</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221/297 (74.4%)</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Net convergence: early growth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281/296 (94.9%)</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Net convergence: early growth &gt; 0 and late decay &lt; 0 (sign reversal)</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214/296 (72.3%)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Largest-SCC fraction: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194/296 (65.5%)</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Largest-SCC fraction: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143/296 (48.3%)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SCC excess over null: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192/296 (64.9%)</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SCC excess over null: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144/296 (48.6%)</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Flow hierarchy: near peak &lt;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216/296 (73.0%)</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Flow hierarchy: near peak &lt; early growth and &lt;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165/296 (55.7%)</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Maximum betweenness: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211/296 (71.3%)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Maximum betweenness: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155/296 (52.4%)</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Hub persistence: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166/296 (56.1%)</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Hub persistence: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124/296 (41.9%)</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Top-10% edge-flux share: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183/296 (61.8%)</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Top-10% edge-flux share: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113/296 (38.2%)</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Gini of node strength: near peak &gt; early growth</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131/296 (44.3%)</w:t>
            </w:r>
          </w:p>
        </w:tc>
      </w:tr>
      <w:tr>
        <w:trPr>
          <w:tblHeader w:val="false"/>
        </w:trPr>
        <w:tc>
          <w:tcPr>
            <w:tcW w:type="dxa" w:w="210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MCS</w:t>
            </w:r>
          </w:p>
        </w:tc>
        <w:tc>
          <w:tcPr>
            <w:tcW w:type="dxa" w:w="8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Gini of node strength: near peak &gt; early growth and &gt; late decay</w:t>
            </w:r>
          </w:p>
        </w:tc>
        <w:tc>
          <w:tcPr>
            <w:tcW w:type="dxa" w:w="315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6"/>
                <w:szCs w:val="16"/>
              </w:rPr>
              <w:t xml:space="preserve">57/296 (19.3%)</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14 | Closure diagnostics of the diagnostic residual R = ⟨dq/dt⟩ − C between the member-cell mean anomaly tendency and the mean net network convergence C (main set; medians and interquartile ranges over objects; the sample unit is the object, statistics within an object are computed over its life-cycle days).</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9"/>
        <w:gridCol w:w="333"/>
        <w:gridCol w:w="1501"/>
        <w:gridCol w:w="1390"/>
        <w:gridCol w:w="1167"/>
        <w:gridCol w:w="1279"/>
        <w:gridCol w:w="1112"/>
        <w:gridCol w:w="1056"/>
        <w:gridCol w:w="834"/>
        <w:gridCol w:w="1501"/>
        <w:gridCol w:w="889"/>
        <w:gridCol w:w="2229"/>
      </w:tblGrid>
      <w:tr>
        <w:trPr>
          <w:tblHeader/>
        </w:trPr>
        <w:tc>
          <w:tcPr>
            <w:tcW w:type="dxa" w:w="38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Objects</w:t>
            </w:r>
          </w:p>
        </w:tc>
        <w:tc>
          <w:tcPr>
            <w:tcW w:type="dxa" w:w="33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n</w:t>
            </w:r>
          </w:p>
        </w:tc>
        <w:tc>
          <w:tcPr>
            <w:tcW w:type="dxa" w:w="150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r (all edges), median [IQR]</w:t>
            </w:r>
          </w:p>
        </w:tc>
        <w:tc>
          <w:tcPr>
            <w:tcW w:type="dxa" w:w="139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r (horizontal edges only)</w:t>
            </w:r>
          </w:p>
        </w:tc>
        <w:tc>
          <w:tcPr>
            <w:tcW w:type="dxa" w:w="116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1 − Var(R)/Var(dq/dt)</w:t>
            </w:r>
          </w:p>
        </w:tc>
        <w:tc>
          <w:tcPr>
            <w:tcW w:type="dxa" w:w="127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Bias of R (K d⁻¹)</w:t>
            </w:r>
          </w:p>
        </w:tc>
        <w:tc>
          <w:tcPr>
            <w:tcW w:type="dxa" w:w="111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RMSE of R (K d⁻¹)</w:t>
            </w:r>
          </w:p>
        </w:tc>
        <w:tc>
          <w:tcPr>
            <w:tcW w:type="dxa" w:w="105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SD of dq/dt (K d⁻¹)</w:t>
            </w:r>
          </w:p>
        </w:tc>
        <w:tc>
          <w:tcPr>
            <w:tcW w:type="dxa" w:w="83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SD of C (K d⁻¹)</w:t>
            </w:r>
          </w:p>
        </w:tc>
        <w:tc>
          <w:tcPr>
            <w:tcW w:type="dxa" w:w="150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Regression slope dq/dt on C</w:t>
            </w:r>
          </w:p>
        </w:tc>
        <w:tc>
          <w:tcPr>
            <w:tcW w:type="dxa" w:w="88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Fraction r &gt; 0.5</w:t>
            </w:r>
          </w:p>
        </w:tc>
        <w:tc>
          <w:tcPr>
            <w:tcW w:type="dxa" w:w="222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Fraction with positive variance fraction</w:t>
            </w:r>
          </w:p>
        </w:tc>
      </w:tr>
      <w:tr>
        <w:trPr>
          <w:tblHeader w:val="false"/>
        </w:trPr>
        <w:tc>
          <w:tcPr>
            <w:tcW w:type="dxa" w:w="3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3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w:t>
            </w:r>
          </w:p>
        </w:tc>
        <w:tc>
          <w:tcPr>
            <w:tcW w:type="dxa" w:w="15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0.73 [0.56, 0.83]</w:t>
            </w:r>
          </w:p>
        </w:tc>
        <w:tc>
          <w:tcPr>
            <w:tcW w:type="dxa" w:w="13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0.64 [0.47, 0.76]</w:t>
            </w:r>
          </w:p>
        </w:tc>
        <w:tc>
          <w:tcPr>
            <w:tcW w:type="dxa" w:w="116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0.34 [-0.14, 0.55]</w:t>
            </w:r>
          </w:p>
        </w:tc>
        <w:tc>
          <w:tcPr>
            <w:tcW w:type="dxa" w:w="12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+0.008 [-0.018, +0.026]</w:t>
            </w:r>
          </w:p>
        </w:tc>
        <w:tc>
          <w:tcPr>
            <w:tcW w:type="dxa" w:w="11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0.097 [0.069, 0.130]</w:t>
            </w:r>
          </w:p>
        </w:tc>
        <w:tc>
          <w:tcPr>
            <w:tcW w:type="dxa" w:w="105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0.106</w:t>
            </w:r>
          </w:p>
        </w:tc>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0.112</w:t>
            </w:r>
          </w:p>
        </w:tc>
        <w:tc>
          <w:tcPr>
            <w:tcW w:type="dxa" w:w="15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0.65 [0.47, 0.83]</w:t>
            </w:r>
          </w:p>
        </w:tc>
        <w:tc>
          <w:tcPr>
            <w:tcW w:type="dxa" w:w="8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0.81</w:t>
            </w:r>
          </w:p>
        </w:tc>
        <w:tc>
          <w:tcPr>
            <w:tcW w:type="dxa" w:w="22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w:t>
            </w:r>
          </w:p>
        </w:tc>
      </w:tr>
      <w:tr>
        <w:trPr>
          <w:tblHeader w:val="false"/>
        </w:trPr>
        <w:tc>
          <w:tcPr>
            <w:tcW w:type="dxa" w:w="3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3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w:t>
            </w:r>
          </w:p>
        </w:tc>
        <w:tc>
          <w:tcPr>
            <w:tcW w:type="dxa" w:w="15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0.74 [0.57, 0.83]</w:t>
            </w:r>
          </w:p>
        </w:tc>
        <w:tc>
          <w:tcPr>
            <w:tcW w:type="dxa" w:w="13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0.61 [0.36, 0.76]</w:t>
            </w:r>
          </w:p>
        </w:tc>
        <w:tc>
          <w:tcPr>
            <w:tcW w:type="dxa" w:w="116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0.38 [0.05, 0.58]</w:t>
            </w:r>
          </w:p>
        </w:tc>
        <w:tc>
          <w:tcPr>
            <w:tcW w:type="dxa" w:w="12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+0.020 [-0.002, +0.046]</w:t>
            </w:r>
          </w:p>
        </w:tc>
        <w:tc>
          <w:tcPr>
            <w:tcW w:type="dxa" w:w="11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0.095 [0.073, 0.125]</w:t>
            </w:r>
          </w:p>
        </w:tc>
        <w:tc>
          <w:tcPr>
            <w:tcW w:type="dxa" w:w="105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0.111</w:t>
            </w:r>
          </w:p>
        </w:tc>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w:t>
            </w:r>
          </w:p>
        </w:tc>
        <w:tc>
          <w:tcPr>
            <w:tcW w:type="dxa" w:w="15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0.70 [0.52, 0.84]</w:t>
            </w:r>
          </w:p>
        </w:tc>
        <w:tc>
          <w:tcPr>
            <w:tcW w:type="dxa" w:w="8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0.82</w:t>
            </w:r>
          </w:p>
        </w:tc>
        <w:tc>
          <w:tcPr>
            <w:tcW w:type="dxa" w:w="22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0.77</w:t>
            </w:r>
          </w:p>
        </w:tc>
      </w:tr>
      <w:tr>
        <w:trPr>
          <w:tblHeader w:val="false"/>
        </w:trPr>
        <w:tc>
          <w:tcPr>
            <w:tcW w:type="dxa" w:w="3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All</w:t>
            </w:r>
          </w:p>
        </w:tc>
        <w:tc>
          <w:tcPr>
            <w:tcW w:type="dxa" w:w="33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672</w:t>
            </w:r>
          </w:p>
        </w:tc>
        <w:tc>
          <w:tcPr>
            <w:tcW w:type="dxa" w:w="15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0.73 [0.56, 0.83]</w:t>
            </w:r>
          </w:p>
        </w:tc>
        <w:tc>
          <w:tcPr>
            <w:tcW w:type="dxa" w:w="13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0.63 [0.42, 0.76]</w:t>
            </w:r>
          </w:p>
        </w:tc>
        <w:tc>
          <w:tcPr>
            <w:tcW w:type="dxa" w:w="116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0.36 [-0.05, 0.57]</w:t>
            </w:r>
          </w:p>
        </w:tc>
        <w:tc>
          <w:tcPr>
            <w:tcW w:type="dxa" w:w="12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+0.012 [-0.010, +0.036]</w:t>
            </w:r>
          </w:p>
        </w:tc>
        <w:tc>
          <w:tcPr>
            <w:tcW w:type="dxa" w:w="111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0.097 [0.071, 0.129]</w:t>
            </w:r>
          </w:p>
        </w:tc>
        <w:tc>
          <w:tcPr>
            <w:tcW w:type="dxa" w:w="105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0.108</w:t>
            </w:r>
          </w:p>
        </w:tc>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0.111</w:t>
            </w:r>
          </w:p>
        </w:tc>
        <w:tc>
          <w:tcPr>
            <w:tcW w:type="dxa" w:w="150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0.66 [0.48, 0.84]</w:t>
            </w:r>
          </w:p>
        </w:tc>
        <w:tc>
          <w:tcPr>
            <w:tcW w:type="dxa" w:w="88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0.82</w:t>
            </w:r>
          </w:p>
        </w:tc>
        <w:tc>
          <w:tcPr>
            <w:tcW w:type="dxa" w:w="22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0.72</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15 | (a) External inflow fraction, geometric baseline and per-face transport ratios by life-cycle window (main set; Supplementary Note 6). ε is the external inflow fraction (ring + ATM + SUB), ε_ring = I/(Φ + I) the ring-only fraction, ε_geo = (B/2)/(E_geo + B/2) the value of ε_ring expected if every face carried the same flux with a random direction, where E_geo is the number of interior faces and B the number of boundary faces, both counted directly from the daily object mask; r_in = (2I/B)/(Φ/E_geo) is the ring inflow per boundary face (with B/2 inflow faces expected) relative to the interior flux per face, equal to the odds ratio [ε_ring/(1 − ε_ring)]/[ε_geo/(1 − ε_geo)], and r_ex = ((I + O)/B)/(Φ/E_geo) the two-way exchange per boundary face relative to the interior flux per face; neither is a mean over inflowing faces only. Φ is the sum over active edges (|F| ≥ 1 kW), which coincide with the interior faces on 96.9% of object-days. The ratios are defined on days with Φ &gt; 0, E_geo &gt; 0 and B &gt; 0; within an object a window is summarized by the mean (fractions) or the median (ratios) over its valid days; the table gives medians over objects with 95% year-block bootstrap intervals (1,000 resamples), the number of objects with a valid value, and the number and share of valid objects with a ratio below one.</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4"/>
        <w:gridCol w:w="1061"/>
        <w:gridCol w:w="2123"/>
        <w:gridCol w:w="1499"/>
        <w:gridCol w:w="1249"/>
        <w:gridCol w:w="1249"/>
        <w:gridCol w:w="1249"/>
        <w:gridCol w:w="1249"/>
        <w:gridCol w:w="1686"/>
        <w:gridCol w:w="1691"/>
      </w:tblGrid>
      <w:tr>
        <w:trPr>
          <w:tblHeader/>
        </w:trPr>
        <w:tc>
          <w:tcPr>
            <w:tcW w:type="dxa" w:w="62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Phenomenon</w:t>
            </w:r>
          </w:p>
        </w:tc>
        <w:tc>
          <w:tcPr>
            <w:tcW w:type="dxa" w:w="106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Window</w:t>
            </w:r>
          </w:p>
        </w:tc>
        <w:tc>
          <w:tcPr>
            <w:tcW w:type="dxa" w:w="212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Objects with a valid ratio / total</w:t>
            </w:r>
          </w:p>
        </w:tc>
        <w:tc>
          <w:tcPr>
            <w:tcW w:type="dxa" w:w="149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ε (all), median [95% CI]</w:t>
            </w:r>
          </w:p>
        </w:tc>
        <w:tc>
          <w:tcPr>
            <w:tcW w:type="dxa" w:w="124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ε_ring</w:t>
            </w:r>
          </w:p>
        </w:tc>
        <w:tc>
          <w:tcPr>
            <w:tcW w:type="dxa" w:w="124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ε_geo</w:t>
            </w:r>
          </w:p>
        </w:tc>
        <w:tc>
          <w:tcPr>
            <w:tcW w:type="dxa" w:w="124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r_in</w:t>
            </w:r>
          </w:p>
        </w:tc>
        <w:tc>
          <w:tcPr>
            <w:tcW w:type="dxa" w:w="124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r_ex</w:t>
            </w:r>
          </w:p>
        </w:tc>
        <w:tc>
          <w:tcPr>
            <w:tcW w:type="dxa" w:w="168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Valid objects with r_in &lt; 1</w:t>
            </w:r>
          </w:p>
        </w:tc>
        <w:tc>
          <w:tcPr>
            <w:tcW w:type="dxa" w:w="169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Valid objects with r_ex &lt; 1</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onset (first 3 d)</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318 / 375</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0.736 [0.717, 0.768]</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0.715 [0.695, 0.748]</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0.722 [0.694, 0.750]</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0.970 [0.934, 1.019]</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0.954 [0.920, 0.996]</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171/318 (54%)</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178/318 (56%)</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early growth</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 / 375</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0.280 [0.268, 0.291]</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0.252 [0.245, 0.261]</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0.284 [0.270, 0.290]</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0.836 [0.807, 0.858]</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0.798 [0.772, 0.818]</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289/375 (77%)</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319/375 (85%)</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375 / 375</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0.152 [0.145, 0.161]</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0.132 [0.126, 0.137]</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0.182 [0.174, 0.189]</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0.670 [0.651, 0.685]</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0.692 [0.677, 0.704]</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353/375 (94%)</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353/375 (94%)</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late decay</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374 / 375</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0.278 [0.264, 0.292]</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0.250 [0.243, 0.268]</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0.304 [0.292, 0.320]</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0.743 [0.725, 0.756]</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0.826 [0.794, 0.857]</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330/374 (88%)</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302/374 (81%)</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end (last 3 d)</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313 / 375</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0.752 [0.723, 0.782]</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0.725 [0.703, 0.764]</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0.750 [0.722, 0.772]</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0.890 [0.845, 0.966]</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0.957 [0.906, 1.015]</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183/313 (58%)</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166/313 (53%)</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onset (first 3 d)</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239 / 297</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0.774 [0.716, 0.803]</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0.752 [0.706, 0.790]</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0.750 [0.722, 0.764]</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0.956 [0.922, 1.010]</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0.963 [0.932, 1.033]</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128/239 (54%)</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127/239 (53%)</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early growth</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296 / 297</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0.303 [0.291, 0.320]</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0.281 [0.267, 0.295]</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0.285 [0.276, 0.295]</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0.890 [0.868, 0.926]</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0.855 [0.815, 0.871]</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206/296 (70%)</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233/296 (79%)</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near peak</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 / 297</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0.171 [0.166, 0.177]</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0.154 [0.147, 0.158]</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0.187 [0.182, 0.194]</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0.770 [0.745, 0.818]</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0.767 [0.746, 0.795]</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269/297 (91%)</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276/297 (93%)</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late decay</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297 / 297</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0.278 [0.270, 0.288]</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0.260 [0.251, 0.272]</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0.296 [0.286, 0.305]</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0.802 [0.788, 0.830]</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0.884 [0.859, 0.906]</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258/297 (87%)</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222/297 (75%)</w:t>
            </w:r>
          </w:p>
        </w:tc>
      </w:tr>
      <w:tr>
        <w:trPr>
          <w:tblHeader w:val="false"/>
        </w:trPr>
        <w:tc>
          <w:tcPr>
            <w:tcW w:type="dxa" w:w="62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t>
            </w:r>
          </w:p>
        </w:tc>
        <w:tc>
          <w:tcPr>
            <w:tcW w:type="dxa" w:w="106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end (last 3 d)</w:t>
            </w:r>
          </w:p>
        </w:tc>
        <w:tc>
          <w:tcPr>
            <w:tcW w:type="dxa" w:w="212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240 / 297</w:t>
            </w:r>
          </w:p>
        </w:tc>
        <w:tc>
          <w:tcPr>
            <w:tcW w:type="dxa" w:w="149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0.729 [0.696, 0.789]</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0.718 [0.676, 0.771]</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0.750 [0.694, 0.757]</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0.895 [0.847, 0.959]</w:t>
            </w:r>
          </w:p>
        </w:tc>
        <w:tc>
          <w:tcPr>
            <w:tcW w:type="dxa" w:w="12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0.932 [0.878, 0.990]</w:t>
            </w:r>
          </w:p>
        </w:tc>
        <w:tc>
          <w:tcPr>
            <w:tcW w:type="dxa" w:w="16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146/240 (61%)</w:t>
            </w:r>
          </w:p>
        </w:tc>
        <w:tc>
          <w:tcPr>
            <w:tcW w:type="dxa" w:w="169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140/240 (58%)</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15 | (b) Paired differences of the per-face ratios between windows, on the objects with valid values in both windows (Wilcoxon signed-rank test; 95% year-block bootstrap interval of the median difference, 1,000 resamples).</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4"/>
        <w:gridCol w:w="590"/>
        <w:gridCol w:w="3444"/>
        <w:gridCol w:w="590"/>
        <w:gridCol w:w="3641"/>
        <w:gridCol w:w="3149"/>
        <w:gridCol w:w="1282"/>
      </w:tblGrid>
      <w:tr>
        <w:trPr>
          <w:tblHeader/>
        </w:trPr>
        <w:tc>
          <w:tcPr>
            <w:tcW w:type="dxa" w:w="98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Phenomenon</w:t>
            </w:r>
          </w:p>
        </w:tc>
        <w:tc>
          <w:tcPr>
            <w:tcW w:type="dxa" w:w="59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Ratio</w:t>
            </w:r>
          </w:p>
        </w:tc>
        <w:tc>
          <w:tcPr>
            <w:tcW w:type="dxa" w:w="344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Comparison (paired, common support)</w:t>
            </w:r>
          </w:p>
        </w:tc>
        <w:tc>
          <w:tcPr>
            <w:tcW w:type="dxa" w:w="59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n</w:t>
            </w:r>
          </w:p>
        </w:tc>
        <w:tc>
          <w:tcPr>
            <w:tcW w:type="dxa" w:w="3641"/>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Median difference [95% year-block CI]</w:t>
            </w:r>
          </w:p>
        </w:tc>
        <w:tc>
          <w:tcPr>
            <w:tcW w:type="dxa" w:w="314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Objects with negative difference</w:t>
            </w:r>
          </w:p>
        </w:tc>
        <w:tc>
          <w:tcPr>
            <w:tcW w:type="dxa" w:w="128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Wilcoxon p</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early growth</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-0.155 [-0.174, -0.122]</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80%</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6.9 × 10</w:t>
            </w:r>
            <w:r>
              <w:rPr>
                <w:rFonts w:ascii="Times New Roman" w:cs="Times New Roman" w:eastAsia="Times New Roman" w:hAnsi="Times New Roman"/>
                <w:b w:val="false"/>
                <w:bCs w:val="false"/>
                <w:sz w:val="15"/>
                <w:szCs w:val="15"/>
                <w:vertAlign w:val="superscript"/>
              </w:rPr>
              <w:t xml:space="preserve">−39</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374</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-0.068 [-0.080, -0.045]</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68%</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4.0 × 10</w:t>
            </w:r>
            <w:r>
              <w:rPr>
                <w:rFonts w:ascii="Times New Roman" w:cs="Times New Roman" w:eastAsia="Times New Roman" w:hAnsi="Times New Roman"/>
                <w:b w:val="false"/>
                <w:bCs w:val="false"/>
                <w:sz w:val="15"/>
                <w:szCs w:val="15"/>
                <w:vertAlign w:val="superscript"/>
              </w:rPr>
              <w:t xml:space="preserve">−14</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onset</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318</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-0.272 [-0.350, -0.234]</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77%</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9.6 × 10</w:t>
            </w:r>
            <w:r>
              <w:rPr>
                <w:rFonts w:ascii="Times New Roman" w:cs="Times New Roman" w:eastAsia="Times New Roman" w:hAnsi="Times New Roman"/>
                <w:b w:val="false"/>
                <w:bCs w:val="false"/>
                <w:sz w:val="15"/>
                <w:szCs w:val="15"/>
                <w:vertAlign w:val="superscript"/>
              </w:rPr>
              <w:t xml:space="preserve">−31</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end</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313</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-0.217 [-0.284, -0.174]</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71%</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9.6 × 10</w:t>
            </w:r>
            <w:r>
              <w:rPr>
                <w:rFonts w:ascii="Times New Roman" w:cs="Times New Roman" w:eastAsia="Times New Roman" w:hAnsi="Times New Roman"/>
                <w:b w:val="false"/>
                <w:bCs w:val="false"/>
                <w:sz w:val="15"/>
                <w:szCs w:val="15"/>
                <w:vertAlign w:val="superscript"/>
              </w:rPr>
              <w:t xml:space="preserve">−23</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early growth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374</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+0.077 [+0.044, +0.110]</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36%</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4.9 × 10</w:t>
            </w:r>
            <w:r>
              <w:rPr>
                <w:rFonts w:ascii="Times New Roman" w:cs="Times New Roman" w:eastAsia="Times New Roman" w:hAnsi="Times New Roman"/>
                <w:b w:val="false"/>
                <w:bCs w:val="false"/>
                <w:sz w:val="15"/>
                <w:szCs w:val="15"/>
                <w:vertAlign w:val="superscript"/>
              </w:rPr>
              <w:t xml:space="preserve">−11</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early growth</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-0.093 [-0.109, -0.081]</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75%</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2.3 × 10</w:t>
            </w:r>
            <w:r>
              <w:rPr>
                <w:rFonts w:ascii="Times New Roman" w:cs="Times New Roman" w:eastAsia="Times New Roman" w:hAnsi="Times New Roman"/>
                <w:b w:val="false"/>
                <w:bCs w:val="false"/>
                <w:sz w:val="15"/>
                <w:szCs w:val="15"/>
                <w:vertAlign w:val="superscript"/>
              </w:rPr>
              <w:t xml:space="preserve">−26</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374</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-0.114 [-0.132, -0.102]</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76%</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 × 10</w:t>
            </w:r>
            <w:r>
              <w:rPr>
                <w:rFonts w:ascii="Times New Roman" w:cs="Times New Roman" w:eastAsia="Times New Roman" w:hAnsi="Times New Roman"/>
                <w:b w:val="false"/>
                <w:bCs w:val="false"/>
                <w:sz w:val="15"/>
                <w:szCs w:val="15"/>
                <w:vertAlign w:val="superscript"/>
              </w:rPr>
              <w:t xml:space="preserve">−30</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onset</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318</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-0.270 [-0.318, -0.232]</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76%</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3.1 × 10</w:t>
            </w:r>
            <w:r>
              <w:rPr>
                <w:rFonts w:ascii="Times New Roman" w:cs="Times New Roman" w:eastAsia="Times New Roman" w:hAnsi="Times New Roman"/>
                <w:b w:val="false"/>
                <w:bCs w:val="false"/>
                <w:sz w:val="15"/>
                <w:szCs w:val="15"/>
                <w:vertAlign w:val="superscript"/>
              </w:rPr>
              <w:t xml:space="preserve">−29</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end</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313</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-0.270 [-0.331, -0.213]</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78%</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5.7 × 10</w:t>
            </w:r>
            <w:r>
              <w:rPr>
                <w:rFonts w:ascii="Times New Roman" w:cs="Times New Roman" w:eastAsia="Times New Roman" w:hAnsi="Times New Roman"/>
                <w:b w:val="false"/>
                <w:bCs w:val="false"/>
                <w:sz w:val="15"/>
                <w:szCs w:val="15"/>
                <w:vertAlign w:val="superscript"/>
              </w:rPr>
              <w:t xml:space="preserve">−30</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early growth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374</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-0.025 [-0.049, +0.002]</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55%</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0.073</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early growth</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296</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-0.125 [-0.149, -0.103]</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77%</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4.3 × 10</w:t>
            </w:r>
            <w:r>
              <w:rPr>
                <w:rFonts w:ascii="Times New Roman" w:cs="Times New Roman" w:eastAsia="Times New Roman" w:hAnsi="Times New Roman"/>
                <w:b w:val="false"/>
                <w:bCs w:val="false"/>
                <w:sz w:val="15"/>
                <w:szCs w:val="15"/>
                <w:vertAlign w:val="superscript"/>
              </w:rPr>
              <w:t xml:space="preserve">−24</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-0.041 [-0.060, -0.004]</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57%</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0.004</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onset</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239</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-0.199 [-0.243, -0.147]</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71%</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7.7 × 10</w:t>
            </w:r>
            <w:r>
              <w:rPr>
                <w:rFonts w:ascii="Times New Roman" w:cs="Times New Roman" w:eastAsia="Times New Roman" w:hAnsi="Times New Roman"/>
                <w:b w:val="false"/>
                <w:bCs w:val="false"/>
                <w:sz w:val="15"/>
                <w:szCs w:val="15"/>
                <w:vertAlign w:val="superscript"/>
              </w:rPr>
              <w:t xml:space="preserve">−15</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end</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240</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-0.133 [-0.215, -0.076]</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63%</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4.7 × 10</w:t>
            </w:r>
            <w:r>
              <w:rPr>
                <w:rFonts w:ascii="Times New Roman" w:cs="Times New Roman" w:eastAsia="Times New Roman" w:hAnsi="Times New Roman"/>
                <w:b w:val="false"/>
                <w:bCs w:val="false"/>
                <w:sz w:val="15"/>
                <w:szCs w:val="15"/>
                <w:vertAlign w:val="superscript"/>
              </w:rPr>
              <w:t xml:space="preserve">−10</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r_in</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early growth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296</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+0.101 [+0.061, +0.131]</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34%</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2.3 × 10</w:t>
            </w:r>
            <w:r>
              <w:rPr>
                <w:rFonts w:ascii="Times New Roman" w:cs="Times New Roman" w:eastAsia="Times New Roman" w:hAnsi="Times New Roman"/>
                <w:b w:val="false"/>
                <w:bCs w:val="false"/>
                <w:sz w:val="15"/>
                <w:szCs w:val="15"/>
                <w:vertAlign w:val="superscript"/>
              </w:rPr>
              <w:t xml:space="preserve">−10</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early growth</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296</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-0.085 [-0.127, -0.059]</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68%</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2.3 × 10</w:t>
            </w:r>
            <w:r>
              <w:rPr>
                <w:rFonts w:ascii="Times New Roman" w:cs="Times New Roman" w:eastAsia="Times New Roman" w:hAnsi="Times New Roman"/>
                <w:b w:val="false"/>
                <w:bCs w:val="false"/>
                <w:sz w:val="15"/>
                <w:szCs w:val="15"/>
                <w:vertAlign w:val="superscript"/>
              </w:rPr>
              <w:t xml:space="preserve">−15</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-0.119 [-0.133, -0.088]</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73%</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1.2 × 10</w:t>
            </w:r>
            <w:r>
              <w:rPr>
                <w:rFonts w:ascii="Times New Roman" w:cs="Times New Roman" w:eastAsia="Times New Roman" w:hAnsi="Times New Roman"/>
                <w:b w:val="false"/>
                <w:bCs w:val="false"/>
                <w:sz w:val="15"/>
                <w:szCs w:val="15"/>
                <w:vertAlign w:val="superscript"/>
              </w:rPr>
              <w:t xml:space="preserve">−20</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onset</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239</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-0.213 [-0.239, -0.163]</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73%</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5.3 × 10</w:t>
            </w:r>
            <w:r>
              <w:rPr>
                <w:rFonts w:ascii="Times New Roman" w:cs="Times New Roman" w:eastAsia="Times New Roman" w:hAnsi="Times New Roman"/>
                <w:b w:val="false"/>
                <w:bCs w:val="false"/>
                <w:sz w:val="15"/>
                <w:szCs w:val="15"/>
                <w:vertAlign w:val="superscript"/>
              </w:rPr>
              <w:t xml:space="preserve">−16</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near peak − end</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240</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-0.181 [-0.244, -0.125]</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72%</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2.5 × 10</w:t>
            </w:r>
            <w:r>
              <w:rPr>
                <w:rFonts w:ascii="Times New Roman" w:cs="Times New Roman" w:eastAsia="Times New Roman" w:hAnsi="Times New Roman"/>
                <w:b w:val="false"/>
                <w:bCs w:val="false"/>
                <w:sz w:val="15"/>
                <w:szCs w:val="15"/>
                <w:vertAlign w:val="superscript"/>
              </w:rPr>
              <w:t xml:space="preserve">−16</w:t>
            </w:r>
          </w:p>
        </w:tc>
      </w:tr>
      <w:tr>
        <w:trPr>
          <w:tblHeader w:val="false"/>
        </w:trPr>
        <w:tc>
          <w:tcPr>
            <w:tcW w:type="dxa" w:w="98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r_ex</w:t>
            </w:r>
          </w:p>
        </w:tc>
        <w:tc>
          <w:tcPr>
            <w:tcW w:type="dxa" w:w="344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early growth − late decay</w:t>
            </w:r>
          </w:p>
        </w:tc>
        <w:tc>
          <w:tcPr>
            <w:tcW w:type="dxa" w:w="59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296</w:t>
            </w:r>
          </w:p>
        </w:tc>
        <w:tc>
          <w:tcPr>
            <w:tcW w:type="dxa" w:w="3641"/>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-0.029 [-0.067, +0.004]</w:t>
            </w:r>
          </w:p>
        </w:tc>
        <w:tc>
          <w:tcPr>
            <w:tcW w:type="dxa" w:w="314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56%</w:t>
            </w:r>
          </w:p>
        </w:tc>
        <w:tc>
          <w:tcPr>
            <w:tcW w:type="dxa" w:w="128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0.096</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15 | (c) Warm–cold contrasts of the near-peak and early-growth fractions and per-face ratios (two-sided Mann–Whitney p without multiple-testing adjustment, within-year label permutation p with 2,000 permutations, and the phenomenon coefficient of an OLS model with log10 N_peak and season as covariates with year-clustered standard errors), with Spearman correlations with log10 N_peak, and the near-peak contrasts of r_in and r_ex within seasons and within quartiles of log10 N_peak (raw Mann–Whitney p). These tests were run on the main set only, after the 14-feature family of Supplementary Table 3 was fixed, and are reported separately from it; the 432-setting sensitivity analysis of Supplementary Table 7 does not include the per-face ratios.</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77"/>
        <w:gridCol w:w="1127"/>
        <w:gridCol w:w="826"/>
        <w:gridCol w:w="1202"/>
        <w:gridCol w:w="676"/>
        <w:gridCol w:w="1578"/>
        <w:gridCol w:w="2029"/>
        <w:gridCol w:w="2179"/>
        <w:gridCol w:w="2786"/>
      </w:tblGrid>
      <w:tr>
        <w:trPr>
          <w:tblHeader/>
        </w:trPr>
        <w:tc>
          <w:tcPr>
            <w:tcW w:type="dxa" w:w="127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Feature</w:t>
            </w:r>
          </w:p>
        </w:tc>
        <w:tc>
          <w:tcPr>
            <w:tcW w:type="dxa" w:w="112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Stratum</w:t>
            </w:r>
          </w:p>
        </w:tc>
        <w:tc>
          <w:tcPr>
            <w:tcW w:type="dxa" w:w="82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n MHW / MCS</w:t>
            </w:r>
          </w:p>
        </w:tc>
        <w:tc>
          <w:tcPr>
            <w:tcW w:type="dxa" w:w="120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Median MHW / MCS</w:t>
            </w:r>
          </w:p>
        </w:tc>
        <w:tc>
          <w:tcPr>
            <w:tcW w:type="dxa" w:w="67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Cliff's δ</w:t>
            </w:r>
          </w:p>
        </w:tc>
        <w:tc>
          <w:tcPr>
            <w:tcW w:type="dxa" w:w="157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p (Mann–Whitney, raw)</w:t>
            </w:r>
          </w:p>
        </w:tc>
        <w:tc>
          <w:tcPr>
            <w:tcW w:type="dxa" w:w="202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p (within-year permutation)</w:t>
            </w:r>
          </w:p>
        </w:tc>
        <w:tc>
          <w:tcPr>
            <w:tcW w:type="dxa" w:w="217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p (size- and season-adjusted)</w:t>
            </w:r>
          </w:p>
        </w:tc>
        <w:tc>
          <w:tcPr>
            <w:tcW w:type="dxa" w:w="278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4"/>
                <w:szCs w:val="14"/>
              </w:rPr>
              <w:t xml:space="preserve">Spearman ρ with log N_peak, MHW / MCS</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ε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all</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 / 297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0.152 / 0.171</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-0.206</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4.2 × 10</w:t>
            </w:r>
            <w:r>
              <w:rPr>
                <w:rFonts w:ascii="Times New Roman" w:cs="Times New Roman" w:eastAsia="Times New Roman" w:hAnsi="Times New Roman"/>
                <w:b w:val="false"/>
                <w:bCs w:val="false"/>
                <w:sz w:val="14"/>
                <w:szCs w:val="14"/>
                <w:vertAlign w:val="superscript"/>
              </w:rPr>
              <w:t xml:space="preserve">−6</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0.0005</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0.0002</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-0.60 / -0.55</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ε_ring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all</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 / 297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0.132 / 0.154</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-0.238</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1.1 × 10</w:t>
            </w:r>
            <w:r>
              <w:rPr>
                <w:rFonts w:ascii="Times New Roman" w:cs="Times New Roman" w:eastAsia="Times New Roman" w:hAnsi="Times New Roman"/>
                <w:b w:val="false"/>
                <w:bCs w:val="false"/>
                <w:sz w:val="14"/>
                <w:szCs w:val="14"/>
                <w:vertAlign w:val="superscript"/>
              </w:rPr>
              <w:t xml:space="preserve">−7</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0.0005</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2.0 × 10</w:t>
            </w:r>
            <w:r>
              <w:rPr>
                <w:rFonts w:ascii="Times New Roman" w:cs="Times New Roman" w:eastAsia="Times New Roman" w:hAnsi="Times New Roman"/>
                <w:b w:val="false"/>
                <w:bCs w:val="false"/>
                <w:sz w:val="14"/>
                <w:szCs w:val="14"/>
                <w:vertAlign w:val="superscript"/>
              </w:rPr>
              <w:t xml:space="preserve">−6</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-0.63 / -0.55</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ε_geo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all</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 / 297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0.182 / 0.187</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-0.085</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0.059</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0.238</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0.218</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-0.58 / -0.57</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all</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 / 297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0.670 / 0.770</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-0.347</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1.1 × 10</w:t>
            </w:r>
            <w:r>
              <w:rPr>
                <w:rFonts w:ascii="Times New Roman" w:cs="Times New Roman" w:eastAsia="Times New Roman" w:hAnsi="Times New Roman"/>
                <w:b w:val="false"/>
                <w:bCs w:val="false"/>
                <w:sz w:val="14"/>
                <w:szCs w:val="14"/>
                <w:vertAlign w:val="superscript"/>
              </w:rPr>
              <w:t xml:space="preserve">−14</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0.0005</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1.8 × 10</w:t>
            </w:r>
            <w:r>
              <w:rPr>
                <w:rFonts w:ascii="Times New Roman" w:cs="Times New Roman" w:eastAsia="Times New Roman" w:hAnsi="Times New Roman"/>
                <w:b w:val="false"/>
                <w:bCs w:val="false"/>
                <w:sz w:val="14"/>
                <w:szCs w:val="14"/>
                <w:vertAlign w:val="superscript"/>
              </w:rPr>
              <w:t xml:space="preserve">−9</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-0.35 / -0.22</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all</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 / 297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0.692 / 0.767</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-0.282</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3.5 × 10</w:t>
            </w:r>
            <w:r>
              <w:rPr>
                <w:rFonts w:ascii="Times New Roman" w:cs="Times New Roman" w:eastAsia="Times New Roman" w:hAnsi="Times New Roman"/>
                <w:b w:val="false"/>
                <w:bCs w:val="false"/>
                <w:sz w:val="14"/>
                <w:szCs w:val="14"/>
                <w:vertAlign w:val="superscript"/>
              </w:rPr>
              <w:t xml:space="preserve">−10</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0.0005</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5.5 × 10</w:t>
            </w:r>
            <w:r>
              <w:rPr>
                <w:rFonts w:ascii="Times New Roman" w:cs="Times New Roman" w:eastAsia="Times New Roman" w:hAnsi="Times New Roman"/>
                <w:b w:val="false"/>
                <w:bCs w:val="false"/>
                <w:sz w:val="14"/>
                <w:szCs w:val="14"/>
                <w:vertAlign w:val="superscript"/>
              </w:rPr>
              <w:t xml:space="preserve">−7</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-0.33 / -0.21</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early growth</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all</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 / 296</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0.836 / 0.890</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-0.209</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3.4 × 10</w:t>
            </w:r>
            <w:r>
              <w:rPr>
                <w:rFonts w:ascii="Times New Roman" w:cs="Times New Roman" w:eastAsia="Times New Roman" w:hAnsi="Times New Roman"/>
                <w:b w:val="false"/>
                <w:bCs w:val="false"/>
                <w:sz w:val="14"/>
                <w:szCs w:val="14"/>
                <w:vertAlign w:val="superscript"/>
              </w:rPr>
              <w:t xml:space="preserve">−6</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0.002</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0.0002</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-0.32 / -0.21</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early growth</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all</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375 / 296</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0.798 / 0.855</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-0.187</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3.0 × 10</w:t>
            </w:r>
            <w:r>
              <w:rPr>
                <w:rFonts w:ascii="Times New Roman" w:cs="Times New Roman" w:eastAsia="Times New Roman" w:hAnsi="Times New Roman"/>
                <w:b w:val="false"/>
                <w:bCs w:val="false"/>
                <w:sz w:val="14"/>
                <w:szCs w:val="14"/>
                <w:vertAlign w:val="superscript"/>
              </w:rPr>
              <w:t xml:space="preserve">−5</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0.002</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0.001</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-0.29 / -0.20</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DJF</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103 / 80</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0.651 / 0.772</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-0.387</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7.2 × 10</w:t>
            </w:r>
            <w:r>
              <w:rPr>
                <w:rFonts w:ascii="Times New Roman" w:cs="Times New Roman" w:eastAsia="Times New Roman" w:hAnsi="Times New Roman"/>
                <w:b w:val="false"/>
                <w:bCs w:val="false"/>
                <w:sz w:val="14"/>
                <w:szCs w:val="14"/>
                <w:vertAlign w:val="superscript"/>
              </w:rPr>
              <w:t xml:space="preserve">−6</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MAM</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85 / 64</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0.614 / 0.760</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-0.464</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1.3 × 10</w:t>
            </w:r>
            <w:r>
              <w:rPr>
                <w:rFonts w:ascii="Times New Roman" w:cs="Times New Roman" w:eastAsia="Times New Roman" w:hAnsi="Times New Roman"/>
                <w:b w:val="false"/>
                <w:bCs w:val="false"/>
                <w:sz w:val="14"/>
                <w:szCs w:val="14"/>
                <w:vertAlign w:val="superscript"/>
              </w:rPr>
              <w:t xml:space="preserve">−6</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JJA</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101 / 79</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0.696 / 0.868</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-0.351</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5.4 × 10</w:t>
            </w:r>
            <w:r>
              <w:rPr>
                <w:rFonts w:ascii="Times New Roman" w:cs="Times New Roman" w:eastAsia="Times New Roman" w:hAnsi="Times New Roman"/>
                <w:b w:val="false"/>
                <w:bCs w:val="false"/>
                <w:sz w:val="14"/>
                <w:szCs w:val="14"/>
                <w:vertAlign w:val="superscript"/>
              </w:rPr>
              <w:t xml:space="preserve">−5</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SON</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86 / 74</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0.697 / 0.738</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-0.179</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0.051</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1</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91 / 67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0.749 / 0.858</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-0.207</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0.026</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2</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94 / 83</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0.679 / 0.799</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-0.432</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7.5 × 10</w:t>
            </w:r>
            <w:r>
              <w:rPr>
                <w:rFonts w:ascii="Times New Roman" w:cs="Times New Roman" w:eastAsia="Times New Roman" w:hAnsi="Times New Roman"/>
                <w:b w:val="false"/>
                <w:bCs w:val="false"/>
                <w:sz w:val="14"/>
                <w:szCs w:val="14"/>
                <w:vertAlign w:val="superscript"/>
              </w:rPr>
              <w:t xml:space="preserve">−7</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3</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89 / 80</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0.671 / 0.758</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-0.32</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0.0003</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r_in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4</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101 / 67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0.609 / 0.729</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-0.446</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 × 10</w:t>
            </w:r>
            <w:r>
              <w:rPr>
                <w:rFonts w:ascii="Times New Roman" w:cs="Times New Roman" w:eastAsia="Times New Roman" w:hAnsi="Times New Roman"/>
                <w:b w:val="false"/>
                <w:bCs w:val="false"/>
                <w:sz w:val="14"/>
                <w:szCs w:val="14"/>
                <w:vertAlign w:val="superscript"/>
              </w:rPr>
              <w:t xml:space="preserve">−6</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DJF</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103 / 80</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0.688 / 0.759</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-0.26</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0.003</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MAM</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85 / 64</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0.658 / 0.761</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-0.433</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6.3 × 10</w:t>
            </w:r>
            <w:r>
              <w:rPr>
                <w:rFonts w:ascii="Times New Roman" w:cs="Times New Roman" w:eastAsia="Times New Roman" w:hAnsi="Times New Roman"/>
                <w:b w:val="false"/>
                <w:bCs w:val="false"/>
                <w:sz w:val="14"/>
                <w:szCs w:val="14"/>
                <w:vertAlign w:val="superscript"/>
              </w:rPr>
              <w:t xml:space="preserve">−6</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JJA</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101 / 79</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0.703 / 0.816</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-0.33</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0.0001</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SON</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86 / 74</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0.726 / 0.737</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-0.101</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0.271</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1</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91 / 67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0.757 / 0.820</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-0.141</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0.130</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2</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94 / 83</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0.685 / 0.792</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-0.378</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1.5 × 10</w:t>
            </w:r>
            <w:r>
              <w:rPr>
                <w:rFonts w:ascii="Times New Roman" w:cs="Times New Roman" w:eastAsia="Times New Roman" w:hAnsi="Times New Roman"/>
                <w:b w:val="false"/>
                <w:bCs w:val="false"/>
                <w:sz w:val="14"/>
                <w:szCs w:val="14"/>
                <w:vertAlign w:val="superscript"/>
              </w:rPr>
              <w:t xml:space="preserve">−5</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3</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89 / 80</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0.701 / 0.752</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-0.238</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0.008</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r>
        <w:trPr>
          <w:tblHeader w:val="false"/>
        </w:trPr>
        <w:tc>
          <w:tcPr>
            <w:tcW w:type="dxa" w:w="127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r_ex near peak</w:t>
            </w:r>
          </w:p>
        </w:tc>
        <w:tc>
          <w:tcPr>
            <w:tcW w:type="dxa" w:w="112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size quartile 4</w:t>
            </w:r>
          </w:p>
        </w:tc>
        <w:tc>
          <w:tcPr>
            <w:tcW w:type="dxa" w:w="82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101 / 67</w:t>
            </w:r>
          </w:p>
        </w:tc>
        <w:tc>
          <w:tcPr>
            <w:tcW w:type="dxa" w:w="120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0.621 / 0.732</w:t>
            </w:r>
          </w:p>
        </w:tc>
        <w:tc>
          <w:tcPr>
            <w:tcW w:type="dxa" w:w="67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-0.352</w:t>
            </w:r>
          </w:p>
        </w:tc>
        <w:tc>
          <w:tcPr>
            <w:tcW w:type="dxa" w:w="157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0.0001</w:t>
            </w:r>
          </w:p>
        </w:tc>
        <w:tc>
          <w:tcPr>
            <w:tcW w:type="dxa" w:w="202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17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c>
          <w:tcPr>
            <w:tcW w:type="dxa" w:w="27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4"/>
                <w:szCs w:val="14"/>
              </w:rPr>
              <w:t xml:space="preserve">—</w:t>
            </w: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16 | Scaling exponents with 95% year-block bootstrap confidence intervals (1,000 resamples of calendar years), for the run-maximum definitions used in Supplementary Table 6 and for quantities evaluated on the same day (the P_i peak day), including the mean edge flux Φ/E.</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34"/>
        <w:gridCol w:w="3336"/>
        <w:gridCol w:w="3336"/>
        <w:gridCol w:w="500"/>
        <w:gridCol w:w="2669"/>
        <w:gridCol w:w="1418"/>
        <w:gridCol w:w="1587"/>
      </w:tblGrid>
      <w:tr>
        <w:trPr>
          <w:tblHeader/>
        </w:trPr>
        <w:tc>
          <w:tcPr>
            <w:tcW w:type="dxa" w:w="834"/>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Phenomenon</w:t>
            </w:r>
          </w:p>
        </w:tc>
        <w:tc>
          <w:tcPr>
            <w:tcW w:type="dxa" w:w="33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y</w:t>
            </w:r>
          </w:p>
        </w:tc>
        <w:tc>
          <w:tcPr>
            <w:tcW w:type="dxa" w:w="333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x</w:t>
            </w:r>
          </w:p>
        </w:tc>
        <w:tc>
          <w:tcPr>
            <w:tcW w:type="dxa" w:w="50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n</w:t>
            </w:r>
          </w:p>
        </w:tc>
        <w:tc>
          <w:tcPr>
            <w:tcW w:type="dxa" w:w="2669"/>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Exponent b (log y = a + b log x)</w:t>
            </w:r>
          </w:p>
        </w:tc>
        <w:tc>
          <w:tcPr>
            <w:tcW w:type="dxa" w:w="1418"/>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95% year-block CI</w:t>
            </w:r>
          </w:p>
        </w:tc>
        <w:tc>
          <w:tcPr>
            <w:tcW w:type="dxa" w:w="158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5"/>
                <w:szCs w:val="15"/>
              </w:rPr>
              <w:t xml:space="preserve">Pearson r (log–log)</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Φ_peak (run maximum)</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N_peak (run maximum)</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1.165</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[1.091, 1.244]</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0.82</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Φ_peak (run maximum)</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I_peak (run maximum)</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1.144</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[1.085, 1.211]</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0.89</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1.194</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[1.112, 1.292]</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0.81</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I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1.169</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[1.104, 1.248]</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0.87</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1.129</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[1.051, 1.215]</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0.81</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Mean edge flux Φ/E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0.137</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[0.052, 0.219]</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0.16</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MHW</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Fraction of objects whose run maximum of N falls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fraction whose run maximum of Φ falls on the P_i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375</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0.21</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0.25</w:t>
            </w:r>
          </w:p>
        </w:tc>
        <w:tc>
          <w:tcPr>
            <w:tcW w:type="dxa" w:w="1587"/>
            <w:tcMar>
              <w:top w:type="dxa" w:w="30"/>
              <w:left w:type="dxa" w:w="50"/>
              <w:bottom w:type="dxa" w:w="30"/>
              <w:right w:type="dxa" w:w="50"/>
            </w:tcMar>
          </w:tcPr>
          <w:p>
            <w:pPr>
              <w:spacing w:after="0" w:before="0"/>
            </w:pP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Φ_peak (run maximum)</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N_peak (run maximum)</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1.158</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[1.051, 1.252]</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0.82</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Φ_peak (run maximum)</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I_peak (run maximum)</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1.029</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[0.953, 1.098]</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0.85</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1.176</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[1.070, 1.281]</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0.79</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I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1.075</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[0.988, 1.147]</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0.82</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E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1.124</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[1.021, 1.218]</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0.79</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Mean edge flux Φ/E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N on the P_i peak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0.122</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[0.017, 0.218]</w:t>
            </w:r>
          </w:p>
        </w:tc>
        <w:tc>
          <w:tcPr>
            <w:tcW w:type="dxa" w:w="158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0.13</w:t>
            </w:r>
          </w:p>
        </w:tc>
      </w:tr>
      <w:tr>
        <w:trPr>
          <w:tblHeader w:val="false"/>
        </w:trPr>
        <w:tc>
          <w:tcPr>
            <w:tcW w:type="dxa" w:w="834"/>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MCS</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Fraction of objects whose run maximum of N falls on the P_i peak day</w:t>
            </w:r>
          </w:p>
        </w:tc>
        <w:tc>
          <w:tcPr>
            <w:tcW w:type="dxa" w:w="333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fraction whose run maximum of Φ falls on the P_i day)</w:t>
            </w:r>
          </w:p>
        </w:tc>
        <w:tc>
          <w:tcPr>
            <w:tcW w:type="dxa" w:w="50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297</w:t>
            </w:r>
          </w:p>
        </w:tc>
        <w:tc>
          <w:tcPr>
            <w:tcW w:type="dxa" w:w="2669"/>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0.19</w:t>
            </w:r>
          </w:p>
        </w:tc>
        <w:tc>
          <w:tcPr>
            <w:tcW w:type="dxa" w:w="1418"/>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5"/>
                <w:szCs w:val="15"/>
              </w:rPr>
              <w:t xml:space="preserve">Φ: 0.11</w:t>
            </w:r>
          </w:p>
        </w:tc>
        <w:tc>
          <w:tcPr>
            <w:tcW w:type="dxa" w:w="1587"/>
            <w:tcMar>
              <w:top w:type="dxa" w:w="30"/>
              <w:left w:type="dxa" w:w="50"/>
              <w:bottom w:type="dxa" w:w="30"/>
              <w:right w:type="dxa" w:w="50"/>
            </w:tcMar>
          </w:tcPr>
          <w:p>
            <w:pPr>
              <w:spacing w:after="0" w:before="0"/>
            </w:pPr>
          </w:p>
        </w:tc>
      </w:tr>
    </w:tbl>
    <w:p>
      <w:pPr>
        <w:spacing w:after="120"/>
      </w:pPr>
    </w:p>
    <w:p>
      <w:pPr>
        <w:spacing w:after="80" w:before="200"/>
        <w:jc w:val="left"/>
      </w:pPr>
      <w:r>
        <w:rPr>
          <w:rFonts w:ascii="Times New Roman" w:cs="Times New Roman" w:eastAsia="Times New Roman" w:hAnsi="Times New Roman"/>
          <w:b/>
          <w:bCs/>
          <w:sz w:val="22"/>
          <w:szCs w:val="22"/>
        </w:rPr>
        <w:t xml:space="preserve">Supplementary Table 17 | Sensitivity of the strength-based metrics to the definition of node strength (incident horizontal strength including faces shared with ring cells, as used in the main analysis, versus internal-only strength computed from member–member edges) for the four events of the companion Letter; the share of cell-days on which the anomaly q = sT′ of a member or ring cell has the sign opposite to the event; and the geometric checks used for Supplementary Note 6: the ratio of the number of boundary faces B (counted from the mask) to the number of ring cells (median, daily range and share of days on which the two differ by more than 4%), the share of boundary faces that carry inflow (N_in/B) and the share of boundary faces that are active edges (|F| ≥ 1 kW).</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3"/>
        <w:gridCol w:w="1507"/>
        <w:gridCol w:w="1507"/>
        <w:gridCol w:w="1507"/>
        <w:gridCol w:w="1507"/>
        <w:gridCol w:w="1507"/>
        <w:gridCol w:w="1017"/>
        <w:gridCol w:w="942"/>
        <w:gridCol w:w="1507"/>
        <w:gridCol w:w="640"/>
        <w:gridCol w:w="1286"/>
      </w:tblGrid>
      <w:tr>
        <w:trPr>
          <w:tblHeader/>
        </w:trPr>
        <w:tc>
          <w:tcPr>
            <w:tcW w:type="dxa" w:w="753"/>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Event</w:t>
            </w:r>
          </w:p>
        </w:tc>
        <w:tc>
          <w:tcPr>
            <w:tcW w:type="dxa" w:w="150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Gini near peak: incident / internal-only</w:t>
            </w:r>
          </w:p>
        </w:tc>
        <w:tc>
          <w:tcPr>
            <w:tcW w:type="dxa" w:w="150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Gini growth phase: incident / internal-only</w:t>
            </w:r>
          </w:p>
        </w:tc>
        <w:tc>
          <w:tcPr>
            <w:tcW w:type="dxa" w:w="150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Gini decay phase: incident / internal-only</w:t>
            </w:r>
          </w:p>
        </w:tc>
        <w:tc>
          <w:tcPr>
            <w:tcW w:type="dxa" w:w="150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Hub persistence (median): incident / internal-only</w:t>
            </w:r>
          </w:p>
        </w:tc>
        <w:tc>
          <w:tcPr>
            <w:tcW w:type="dxa" w:w="150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Jaccard overlap of same-day hub sets (median)</w:t>
            </w:r>
          </w:p>
        </w:tc>
        <w:tc>
          <w:tcPr>
            <w:tcW w:type="dxa" w:w="101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Member cell-days with q &lt; 0</w:t>
            </w:r>
          </w:p>
        </w:tc>
        <w:tc>
          <w:tcPr>
            <w:tcW w:type="dxa" w:w="942"/>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Ring cell-days with q &lt; 0</w:t>
            </w:r>
          </w:p>
        </w:tc>
        <w:tc>
          <w:tcPr>
            <w:tcW w:type="dxa" w:w="1507"/>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B / n_ring: median (daily range; share of days off by &gt; 4%)</w:t>
            </w:r>
          </w:p>
        </w:tc>
        <w:tc>
          <w:tcPr>
            <w:tcW w:type="dxa" w:w="640"/>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N_in / B (median)</w:t>
            </w:r>
          </w:p>
        </w:tc>
        <w:tc>
          <w:tcPr>
            <w:tcW w:type="dxa" w:w="1286"/>
            <w:shd w:fill="E7E6E6" w:color="auto" w:val="clear"/>
            <w:tcMar>
              <w:top w:type="dxa" w:w="30"/>
              <w:left w:type="dxa" w:w="50"/>
              <w:bottom w:type="dxa" w:w="30"/>
              <w:right w:type="dxa" w:w="50"/>
            </w:tcMar>
          </w:tcPr>
          <w:p>
            <w:pPr>
              <w:spacing w:after="0" w:before="0"/>
            </w:pPr>
            <w:r>
              <w:rPr>
                <w:rFonts w:ascii="Times New Roman" w:cs="Times New Roman" w:eastAsia="Times New Roman" w:hAnsi="Times New Roman"/>
                <w:b/>
                <w:bCs/>
                <w:sz w:val="13"/>
                <w:szCs w:val="13"/>
              </w:rPr>
              <w:t xml:space="preserve">Active boundary faces / B (median)</w:t>
            </w:r>
          </w:p>
        </w:tc>
      </w:tr>
      <w:tr>
        <w:trPr>
          <w:tblHeader w:val="false"/>
        </w:trPr>
        <w:tc>
          <w:tcPr>
            <w:tcW w:type="dxa" w:w="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MHW–summer (2020)</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0.546 / 0.572</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0.448 / 0.481</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0.433 / 0.481</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0.600 / 0.600</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0.8</w:t>
            </w:r>
          </w:p>
        </w:tc>
        <w:tc>
          <w:tcPr>
            <w:tcW w:type="dxa" w:w="101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8.8%</w:t>
            </w:r>
          </w:p>
        </w:tc>
        <w:tc>
          <w:tcPr>
            <w:tcW w:type="dxa" w:w="9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18.0%</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 (0.71–1.07; 55%)</w:t>
            </w:r>
          </w:p>
        </w:tc>
        <w:tc>
          <w:tcPr>
            <w:tcW w:type="dxa" w:w="6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0.48</w:t>
            </w:r>
          </w:p>
        </w:tc>
        <w:tc>
          <w:tcPr>
            <w:tcW w:type="dxa" w:w="12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r>
      <w:tr>
        <w:trPr>
          <w:tblHeader w:val="false"/>
        </w:trPr>
        <w:tc>
          <w:tcPr>
            <w:tcW w:type="dxa" w:w="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MHW–winter (2017/18)</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0.499 / 0.511</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0.542 / 0.577</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0.454 / 0.485</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0.617 / 0.617</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0.66</w:t>
            </w:r>
          </w:p>
        </w:tc>
        <w:tc>
          <w:tcPr>
            <w:tcW w:type="dxa" w:w="101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22.0%</w:t>
            </w:r>
          </w:p>
        </w:tc>
        <w:tc>
          <w:tcPr>
            <w:tcW w:type="dxa" w:w="9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28.3%</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1.04 (0.50–1.35; 84%)</w:t>
            </w:r>
          </w:p>
        </w:tc>
        <w:tc>
          <w:tcPr>
            <w:tcW w:type="dxa" w:w="6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0.45</w:t>
            </w:r>
          </w:p>
        </w:tc>
        <w:tc>
          <w:tcPr>
            <w:tcW w:type="dxa" w:w="12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0.963</w:t>
            </w:r>
          </w:p>
        </w:tc>
      </w:tr>
      <w:tr>
        <w:trPr>
          <w:tblHeader w:val="false"/>
        </w:trPr>
        <w:tc>
          <w:tcPr>
            <w:tcW w:type="dxa" w:w="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MCS–summer (2012)</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0.349 / 0.376</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0.354 / 0.403</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0.402 / 0.407</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0.688 / 0.688</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0.57</w:t>
            </w:r>
          </w:p>
        </w:tc>
        <w:tc>
          <w:tcPr>
            <w:tcW w:type="dxa" w:w="101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9.5%</w:t>
            </w:r>
          </w:p>
        </w:tc>
        <w:tc>
          <w:tcPr>
            <w:tcW w:type="dxa" w:w="9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18.4%</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0.97 (0.50–1.17; 60%)</w:t>
            </w:r>
          </w:p>
        </w:tc>
        <w:tc>
          <w:tcPr>
            <w:tcW w:type="dxa" w:w="6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0.48</w:t>
            </w:r>
          </w:p>
        </w:tc>
        <w:tc>
          <w:tcPr>
            <w:tcW w:type="dxa" w:w="12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r>
      <w:tr>
        <w:trPr>
          <w:tblHeader w:val="false"/>
        </w:trPr>
        <w:tc>
          <w:tcPr>
            <w:tcW w:type="dxa" w:w="753"/>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MCS–winter (2014/15)</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0.318 / 0.337</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0.298 / 0.344</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0.303 / 0.327</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0.333 / 0.275</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0.52</w:t>
            </w:r>
          </w:p>
        </w:tc>
        <w:tc>
          <w:tcPr>
            <w:tcW w:type="dxa" w:w="101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3.7%</w:t>
            </w:r>
          </w:p>
        </w:tc>
        <w:tc>
          <w:tcPr>
            <w:tcW w:type="dxa" w:w="942"/>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10.4%</w:t>
            </w:r>
          </w:p>
        </w:tc>
        <w:tc>
          <w:tcPr>
            <w:tcW w:type="dxa" w:w="1507"/>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0.96 (0.50–1.09; 63%)</w:t>
            </w:r>
          </w:p>
        </w:tc>
        <w:tc>
          <w:tcPr>
            <w:tcW w:type="dxa" w:w="640"/>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0.51</w:t>
            </w:r>
          </w:p>
        </w:tc>
        <w:tc>
          <w:tcPr>
            <w:tcW w:type="dxa" w:w="1286"/>
            <w:tcMar>
              <w:top w:type="dxa" w:w="30"/>
              <w:left w:type="dxa" w:w="50"/>
              <w:bottom w:type="dxa" w:w="30"/>
              <w:right w:type="dxa" w:w="50"/>
            </w:tcMar>
          </w:tcPr>
          <w:p>
            <w:pPr>
              <w:spacing w:after="0" w:before="0"/>
            </w:pPr>
            <w:r>
              <w:rPr>
                <w:rFonts w:ascii="Times New Roman" w:cs="Times New Roman" w:eastAsia="Times New Roman" w:hAnsi="Times New Roman"/>
                <w:b w:val="false"/>
                <w:bCs w:val="false"/>
                <w:sz w:val="13"/>
                <w:szCs w:val="13"/>
              </w:rPr>
              <w:t xml:space="preserve">1</w:t>
            </w:r>
          </w:p>
        </w:tc>
      </w:tr>
    </w:tbl>
    <w:p>
      <w:pPr>
        <w:spacing w:after="120"/>
      </w:pPr>
    </w:p>
    <w:p>
      <w:r>
        <w:br w:type="page"/>
      </w:r>
    </w:p>
    <w:p>
      <w:pPr>
        <w:sectPr>
          <w:footerReference w:type="default" r:id="rId8"/>
          <w:pgSz w:w="15840" w:h="12240" w:orient="landscape"/>
          <w:pgMar w:top="1080" w:right="1080" w:bottom="1080" w:left="1080" w:header="708" w:footer="708" w:gutter="0"/>
          <w:pgNumType/>
          <w:docGrid w:linePitch="360"/>
        </w:sectPr>
      </w:pPr>
    </w:p>
    <w:p>
      <w:pPr>
        <w:pStyle w:val="Heading1"/>
        <w:spacing w:after="120" w:before="240"/>
      </w:pPr>
      <w:r>
        <w:rPr>
          <w:rFonts w:ascii="Times New Roman" w:cs="Times New Roman" w:eastAsia="Times New Roman" w:hAnsi="Times New Roman"/>
          <w:b/>
          <w:bCs/>
          <w:sz w:val="26"/>
          <w:szCs w:val="26"/>
        </w:rPr>
        <w:t xml:space="preserve">Supplementary References</w:t>
      </w:r>
    </w:p>
    <w:p>
      <w:pPr>
        <w:spacing w:after="80" w:line="240"/>
        <w:ind w:left="400" w:hanging="400"/>
        <w:jc w:val="both"/>
      </w:pPr>
      <w:r>
        <w:rPr>
          <w:rFonts w:ascii="Times New Roman" w:cs="Times New Roman" w:eastAsia="Times New Roman" w:hAnsi="Times New Roman"/>
          <w:sz w:val="22"/>
          <w:szCs w:val="22"/>
        </w:rPr>
        <w:t xml:space="preserve">1. Lellouche, J.-M. et al. The Copernicus global 1/12° oceanic and sea ice GLORYS12 reanalysis. Front. Earth Sci. 9, 698876 (2021).</w:t>
      </w:r>
    </w:p>
    <w:p>
      <w:pPr>
        <w:spacing w:after="80" w:line="240"/>
        <w:ind w:left="400" w:hanging="400"/>
        <w:jc w:val="both"/>
      </w:pPr>
      <w:r>
        <w:rPr>
          <w:rFonts w:ascii="Times New Roman" w:cs="Times New Roman" w:eastAsia="Times New Roman" w:hAnsi="Times New Roman"/>
          <w:sz w:val="22"/>
          <w:szCs w:val="22"/>
        </w:rPr>
        <w:t xml:space="preserve">2. Hersbach, H. et al. The ERA5 global reanalysis. Q. J. R. Meteorol. Soc. 146, 1999–2049 (2020).</w:t>
      </w:r>
    </w:p>
    <w:p>
      <w:pPr>
        <w:spacing w:after="80" w:line="240"/>
        <w:ind w:left="400" w:hanging="400"/>
        <w:jc w:val="both"/>
      </w:pPr>
      <w:r>
        <w:rPr>
          <w:rFonts w:ascii="Times New Roman" w:cs="Times New Roman" w:eastAsia="Times New Roman" w:hAnsi="Times New Roman"/>
          <w:sz w:val="22"/>
          <w:szCs w:val="22"/>
        </w:rPr>
        <w:t xml:space="preserve">3. Lim, G. &amp; Park, J.-J. Lifecycle-dependent roles of mesoscale heat transport in marine heatwaves and cold-spells in the East Sea (Japan Sea). Preprint at https://doi.org/10.21203/rs.3.rs-10840770/v1 (2026).</w:t>
      </w:r>
    </w:p>
    <w:p>
      <w:pPr>
        <w:spacing w:after="80" w:line="240"/>
        <w:ind w:left="400" w:hanging="400"/>
        <w:jc w:val="both"/>
      </w:pPr>
      <w:r>
        <w:rPr>
          <w:rFonts w:ascii="Times New Roman" w:cs="Times New Roman" w:eastAsia="Times New Roman" w:hAnsi="Times New Roman"/>
          <w:sz w:val="22"/>
          <w:szCs w:val="22"/>
        </w:rPr>
        <w:t xml:space="preserve">4. Bian, C. et al. Oceanic mesoscale eddies as crucial drivers of global marine heatwaves. Nat. Commun. 14, 2970 (2023).</w:t>
      </w:r>
    </w:p>
    <w:p>
      <w:pPr>
        <w:spacing w:after="80" w:line="240"/>
        <w:ind w:left="400" w:hanging="400"/>
        <w:jc w:val="both"/>
      </w:pPr>
      <w:r>
        <w:rPr>
          <w:rFonts w:ascii="Times New Roman" w:cs="Times New Roman" w:eastAsia="Times New Roman" w:hAnsi="Times New Roman"/>
          <w:sz w:val="22"/>
          <w:szCs w:val="22"/>
        </w:rPr>
        <w:t xml:space="preserve">5. Hobday, A. J. et al. A hierarchical approach to defining marine heatwaves. Prog. Oceanogr. 141, 227–238 (2016).</w:t>
      </w:r>
    </w:p>
    <w:p>
      <w:pPr>
        <w:spacing w:after="80" w:line="240"/>
        <w:ind w:left="400" w:hanging="400"/>
        <w:jc w:val="both"/>
      </w:pPr>
      <w:r>
        <w:rPr>
          <w:rFonts w:ascii="Times New Roman" w:cs="Times New Roman" w:eastAsia="Times New Roman" w:hAnsi="Times New Roman"/>
          <w:sz w:val="22"/>
          <w:szCs w:val="22"/>
        </w:rPr>
        <w:t xml:space="preserve">6. Paulson, C. A. &amp; Simpson, J. J. Irradiance measurements in the upper ocean. J. Phys. Oceanogr. 7, 952–956 (1977).</w:t>
      </w:r>
    </w:p>
    <w:p>
      <w:pPr>
        <w:spacing w:after="80" w:line="240"/>
        <w:ind w:left="400" w:hanging="400"/>
        <w:jc w:val="both"/>
      </w:pPr>
      <w:r>
        <w:rPr>
          <w:rFonts w:ascii="Times New Roman" w:cs="Times New Roman" w:eastAsia="Times New Roman" w:hAnsi="Times New Roman"/>
          <w:sz w:val="22"/>
          <w:szCs w:val="22"/>
        </w:rPr>
        <w:t xml:space="preserve">7. Lim, G. &amp; Park, J.-J. Marine heatwaves and cold spells as evolving heat-transport networks: life-cycle topology in the East/Japan Sea. Preprint at [ESS Open Archive / EarthArXiv DOI to be added once the Letter is posted] (2026).</w:t>
      </w:r>
    </w:p>
    <w:p>
      <w:pPr>
        <w:spacing w:after="80" w:line="240"/>
        <w:ind w:left="400" w:hanging="400"/>
        <w:jc w:val="both"/>
      </w:pPr>
      <w:r>
        <w:rPr>
          <w:rFonts w:ascii="Times New Roman" w:cs="Times New Roman" w:eastAsia="Times New Roman" w:hAnsi="Times New Roman"/>
          <w:sz w:val="22"/>
          <w:szCs w:val="22"/>
        </w:rPr>
        <w:t xml:space="preserve">8. Tarjan, R. Depth-first search and linear graph algorithms. SIAM J. Comput. 1, 146–160 (1972).</w:t>
      </w:r>
    </w:p>
    <w:p>
      <w:pPr>
        <w:spacing w:after="80" w:line="240"/>
        <w:ind w:left="400" w:hanging="400"/>
        <w:jc w:val="both"/>
      </w:pPr>
      <w:r>
        <w:rPr>
          <w:rFonts w:ascii="Times New Roman" w:cs="Times New Roman" w:eastAsia="Times New Roman" w:hAnsi="Times New Roman"/>
          <w:sz w:val="22"/>
          <w:szCs w:val="22"/>
        </w:rPr>
        <w:t xml:space="preserve">9. Luo, J. &amp; Magee, C. L. Detecting evolving patterns of self-organizing networks by flow hierarchy measurement. Complexity 16, 53–61 (2011).</w:t>
      </w:r>
    </w:p>
    <w:p>
      <w:pPr>
        <w:spacing w:after="80" w:line="240"/>
        <w:ind w:left="400" w:hanging="400"/>
        <w:jc w:val="both"/>
      </w:pPr>
      <w:r>
        <w:rPr>
          <w:rFonts w:ascii="Times New Roman" w:cs="Times New Roman" w:eastAsia="Times New Roman" w:hAnsi="Times New Roman"/>
          <w:sz w:val="22"/>
          <w:szCs w:val="22"/>
        </w:rPr>
        <w:t xml:space="preserve">10. Freeman, L. C. A set of measures of centrality based on betweenness. Sociometry 40, 35–41 (1977).</w:t>
      </w:r>
    </w:p>
    <w:p>
      <w:pPr>
        <w:spacing w:after="80" w:line="240"/>
        <w:ind w:left="400" w:hanging="400"/>
        <w:jc w:val="both"/>
      </w:pPr>
      <w:r>
        <w:rPr>
          <w:rFonts w:ascii="Times New Roman" w:cs="Times New Roman" w:eastAsia="Times New Roman" w:hAnsi="Times New Roman"/>
          <w:sz w:val="22"/>
          <w:szCs w:val="22"/>
        </w:rPr>
        <w:t xml:space="preserve">11. Serrano, M. Á., Boguñá, M. &amp; Vespignani, A. Extracting the multiscale backbone of complex weighted networks. Proc. Natl Acad. Sci. USA 106, 6483–6488 (2009).</w:t>
      </w:r>
    </w:p>
    <w:p>
      <w:pPr>
        <w:spacing w:after="80" w:line="240"/>
        <w:ind w:left="400" w:hanging="400"/>
        <w:jc w:val="both"/>
      </w:pPr>
      <w:r>
        <w:rPr>
          <w:rFonts w:ascii="Times New Roman" w:cs="Times New Roman" w:eastAsia="Times New Roman" w:hAnsi="Times New Roman"/>
          <w:sz w:val="22"/>
          <w:szCs w:val="22"/>
        </w:rPr>
        <w:t xml:space="preserve">12. Blondel, V. D., Guillaume, J.-L., Lambiotte, R. &amp; Lefebvre, E. Fast unfolding of communities in large networks. J. Stat. Mech. P10008 (2008).</w:t>
      </w:r>
    </w:p>
    <w:p>
      <w:pPr>
        <w:spacing w:after="80" w:line="240"/>
        <w:ind w:left="400" w:hanging="400"/>
        <w:jc w:val="both"/>
      </w:pPr>
      <w:r>
        <w:rPr>
          <w:rFonts w:ascii="Times New Roman" w:cs="Times New Roman" w:eastAsia="Times New Roman" w:hAnsi="Times New Roman"/>
          <w:sz w:val="22"/>
          <w:szCs w:val="22"/>
        </w:rPr>
        <w:t xml:space="preserve">13. Virtanen, P. et al. SciPy 1.0: fundamental algorithms for scientific computing in Python. Nat. Methods 17, 261–272 (2020).</w:t>
      </w:r>
    </w:p>
    <w:p>
      <w:pPr>
        <w:spacing w:after="80" w:line="240"/>
        <w:ind w:left="400" w:hanging="400"/>
        <w:jc w:val="both"/>
      </w:pPr>
      <w:r>
        <w:rPr>
          <w:rFonts w:ascii="Times New Roman" w:cs="Times New Roman" w:eastAsia="Times New Roman" w:hAnsi="Times New Roman"/>
          <w:sz w:val="22"/>
          <w:szCs w:val="22"/>
        </w:rPr>
        <w:t xml:space="preserve">14. Benjamini, Y. &amp; Hochberg, Y. Controlling the false discovery rate: a practical and powerful approach to multiple testing. J. R. Stat. Soc. B 57, 289–300 (1995).</w:t>
      </w:r>
    </w:p>
    <w:p>
      <w:pPr>
        <w:spacing w:after="80" w:line="240"/>
        <w:ind w:left="400" w:hanging="400"/>
        <w:jc w:val="both"/>
      </w:pPr>
      <w:r>
        <w:rPr>
          <w:rFonts w:ascii="Times New Roman" w:cs="Times New Roman" w:eastAsia="Times New Roman" w:hAnsi="Times New Roman"/>
          <w:sz w:val="22"/>
          <w:szCs w:val="22"/>
        </w:rPr>
        <w:t xml:space="preserve">15. Cliff, N. Dominance statistics: ordinal analyses to answer ordinal questions. Psychol. Bull. 114, 494–509 (1993).</w:t>
      </w:r>
    </w:p>
    <w:p>
      <w:pPr>
        <w:spacing w:after="80" w:line="240"/>
        <w:ind w:left="400" w:hanging="400"/>
        <w:jc w:val="both"/>
      </w:pPr>
      <w:r>
        <w:rPr>
          <w:rFonts w:ascii="Times New Roman" w:cs="Times New Roman" w:eastAsia="Times New Roman" w:hAnsi="Times New Roman"/>
          <w:sz w:val="22"/>
          <w:szCs w:val="22"/>
        </w:rPr>
        <w:t xml:space="preserve">16. Seabold, S. &amp; Perktold, J. statsmodels: econometric and statistical modeling with Python. In Proc. 9th Python in Science Conf. 92–96 (2010).</w:t>
      </w:r>
    </w:p>
    <w:p>
      <w:pPr>
        <w:spacing w:after="80" w:line="240"/>
        <w:ind w:left="400" w:hanging="400"/>
        <w:jc w:val="both"/>
      </w:pPr>
      <w:r>
        <w:rPr>
          <w:rFonts w:ascii="Times New Roman" w:cs="Times New Roman" w:eastAsia="Times New Roman" w:hAnsi="Times New Roman"/>
          <w:sz w:val="22"/>
          <w:szCs w:val="22"/>
        </w:rPr>
        <w:t xml:space="preserve">17. Csárdi, G. &amp; Nepusz, T. The igraph software package for complex network research. InterJournal Complex Syst. 1695 (2006).</w:t>
      </w:r>
    </w:p>
    <w:p>
      <w:pPr>
        <w:spacing w:after="80" w:line="240"/>
        <w:ind w:left="400" w:hanging="400"/>
        <w:jc w:val="both"/>
      </w:pPr>
      <w:r>
        <w:rPr>
          <w:rFonts w:ascii="Times New Roman" w:cs="Times New Roman" w:eastAsia="Times New Roman" w:hAnsi="Times New Roman"/>
          <w:sz w:val="22"/>
          <w:szCs w:val="22"/>
        </w:rPr>
        <w:t xml:space="preserve">18. Amaral, L. A. N., Scala, A., Barthélémy, M. &amp; Stanley, H. E. Classes of small-world networks. Proc. Natl Acad. Sci. USA 97, 11149–11152 (2000).</w:t>
      </w:r>
    </w:p>
    <w:p>
      <w:pPr>
        <w:spacing w:after="80" w:line="240"/>
        <w:ind w:left="400" w:hanging="400"/>
        <w:jc w:val="both"/>
      </w:pPr>
      <w:r>
        <w:rPr>
          <w:rFonts w:ascii="Times New Roman" w:cs="Times New Roman" w:eastAsia="Times New Roman" w:hAnsi="Times New Roman"/>
          <w:sz w:val="22"/>
          <w:szCs w:val="22"/>
        </w:rPr>
        <w:t xml:space="preserve">19. Barthélemy, M. Spatial networks. Phys. Rep. 499, 1–101 (2011).</w:t>
      </w:r>
    </w:p>
    <w:sectPr>
      <w:footerReference w:type="default" r:id="rId9"/>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0eb9aafcd1f9d33cc360aca14df68ecc56a1dc63.png"/><Relationship Id="rId11" Type="http://schemas.openxmlformats.org/officeDocument/2006/relationships/image" Target="media/ce6cdb26842b6fd5adc4afda0860ea0a275f997b.png"/><Relationship Id="rId12" Type="http://schemas.openxmlformats.org/officeDocument/2006/relationships/image" Target="media/2f02f6f17b4abc9297e6179ab3519ed0059979a4.png"/><Relationship Id="rId13" Type="http://schemas.openxmlformats.org/officeDocument/2006/relationships/image" Target="media/0caeb68c2361d7daa3edf990cbc1d405fd8f4cd0.png"/><Relationship Id="rId14" Type="http://schemas.openxmlformats.org/officeDocument/2006/relationships/image" Target="media/28a58cab3d9e9d474971f13bea554305863456f5.png"/><Relationship Id="rId15" Type="http://schemas.openxmlformats.org/officeDocument/2006/relationships/image" Target="media/bdd761c75004d2069cefde0e0c2f88b15ba5fa43.png"/><Relationship Id="rId16" Type="http://schemas.openxmlformats.org/officeDocument/2006/relationships/image" Target="media/33b30ea252449451301d1f6a4f6dc75266f96e81.png"/><Relationship Id="rId17" Type="http://schemas.openxmlformats.org/officeDocument/2006/relationships/image" Target="media/7b2742ac6ab87ef7fc3a6e68489d112622d2e1f9.png"/><Relationship Id="rId18" Type="http://schemas.openxmlformats.org/officeDocument/2006/relationships/image" Target="media/c3a6e9ec8a70c5de2ce709233f75ea31f9a73294.png"/><Relationship Id="rId19" Type="http://schemas.openxmlformats.org/officeDocument/2006/relationships/image" Target="media/3eaa03bd79b44a307883d4f7bace0c28253901b8.png"/><Relationship Id="rId20" Type="http://schemas.openxmlformats.org/officeDocument/2006/relationships/image" Target="media/8f7f0ea4f85c615bf1b29ef18629e3c82b548914.png"/><Relationship Id="rId21" Type="http://schemas.openxmlformats.org/officeDocument/2006/relationships/image" Target="media/c4eb12791ce697e5afa9a7879c3e6ab9f1a67c74.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2026-10-14T06:32:21.811Z</dcterms:created>
  <dcterms:modified xsi:type="dcterms:W3CDTF">2026-10-14T06:32:21.812Z</dcterms:modified>
</cp:coreProperties>
</file>

<file path=docProps/custom.xml><?xml version="1.0" encoding="utf-8"?>
<Properties xmlns="http://schemas.openxmlformats.org/officeDocument/2006/custom-properties" xmlns:vt="http://schemas.openxmlformats.org/officeDocument/2006/docPropsVTypes"/>
</file>