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Times New Roman" w:hAnsi="Times New Roman"/>
          <w:sz w:val="20"/>
        </w:rPr>
        <w:t>STROBE Reporting Checklist</w:t>
      </w:r>
    </w:p>
    <w:p>
      <w:r>
        <w:rPr>
          <w:rFonts w:ascii="Times New Roman" w:hAnsi="Times New Roman"/>
          <w:sz w:val="20"/>
        </w:rPr>
        <w:t>Adapted to a secondary longitudinal household-survey analysis. Locations identify sections and tables of the revised manuscript. Responses describe reporting, not scientific validation or author approval.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720"/>
        <w:gridCol w:w="2880"/>
        <w:gridCol w:w="5760"/>
        <w:gridCol w:w="2160"/>
        <w:gridCol w:w="2448"/>
      </w:tblGrid>
      <w:tr>
        <w:trPr>
          <w:cantSplit/>
          <w:tblHeader/>
        </w:trPr>
        <w:tc>
          <w:tcPr>
            <w:tcW w:type="dxa" w:w="72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/>
                <w:sz w:val="16"/>
              </w:rPr>
              <w:t>Item</w:t>
            </w:r>
          </w:p>
        </w:tc>
        <w:tc>
          <w:tcPr>
            <w:tcW w:type="dxa" w:w="288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/>
                <w:sz w:val="16"/>
              </w:rPr>
              <w:t>Reporting topic</w:t>
            </w:r>
          </w:p>
        </w:tc>
        <w:tc>
          <w:tcPr>
            <w:tcW w:type="dxa" w:w="576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/>
                <w:sz w:val="16"/>
              </w:rPr>
              <w:t>Response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16"/>
              </w:rPr>
              <w:t>Revised manuscript location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/>
                <w:sz w:val="16"/>
              </w:rPr>
              <w:t>Status</w:t>
            </w:r>
          </w:p>
        </w:tc>
      </w:tr>
      <w:tr>
        <w:trPr>
          <w:cantSplit/>
        </w:trPr>
        <w:tc>
          <w:tcPr>
            <w:tcW w:type="dxa" w:w="72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1a</w:t>
            </w:r>
          </w:p>
        </w:tc>
        <w:tc>
          <w:tcPr>
            <w:tcW w:type="dxa" w:w="288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Study design in title or abstract</w:t>
            </w:r>
          </w:p>
        </w:tc>
        <w:tc>
          <w:tcPr>
            <w:tcW w:type="dxa" w:w="5760"/>
          </w:tcPr>
          <w:p>
            <w:r>
              <w:rPr>
                <w:rFonts w:ascii="Times New Roman" w:hAnsi="Times New Roman"/>
                <w:sz w:val="16"/>
              </w:rPr>
              <w:t>Descriptive longitudinal accounting design in abstract.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16"/>
              </w:rPr>
              <w:t>Abstract; Methods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Reported</w:t>
            </w:r>
          </w:p>
        </w:tc>
      </w:tr>
      <w:tr>
        <w:trPr>
          <w:cantSplit/>
        </w:trPr>
        <w:tc>
          <w:tcPr>
            <w:tcW w:type="dxa" w:w="72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1b</w:t>
            </w:r>
          </w:p>
        </w:tc>
        <w:tc>
          <w:tcPr>
            <w:tcW w:type="dxa" w:w="288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Balanced abstract</w:t>
            </w:r>
          </w:p>
        </w:tc>
        <w:tc>
          <w:tcPr>
            <w:tcW w:type="dxa" w:w="5760"/>
          </w:tcPr>
          <w:p>
            <w:r>
              <w:rPr>
                <w:rFonts w:ascii="Times New Roman" w:hAnsi="Times New Roman"/>
                <w:sz w:val="16"/>
              </w:rPr>
              <w:t>Population-wide and conditional counts, estimates/CIs, and accounting interpretation.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16"/>
              </w:rPr>
              <w:t>Abstract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Reported</w:t>
            </w:r>
          </w:p>
        </w:tc>
      </w:tr>
      <w:tr>
        <w:trPr>
          <w:cantSplit/>
        </w:trPr>
        <w:tc>
          <w:tcPr>
            <w:tcW w:type="dxa" w:w="72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2</w:t>
            </w:r>
          </w:p>
        </w:tc>
        <w:tc>
          <w:tcPr>
            <w:tcW w:type="dxa" w:w="288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Background and rationale</w:t>
            </w:r>
          </w:p>
        </w:tc>
        <w:tc>
          <w:tcPr>
            <w:tcW w:type="dxa" w:w="5760"/>
          </w:tcPr>
          <w:p>
            <w:r>
              <w:rPr>
                <w:rFonts w:ascii="Times New Roman" w:hAnsi="Times New Roman"/>
                <w:sz w:val="16"/>
              </w:rPr>
              <w:t>Financial-hardship measures and component-classification question.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16"/>
              </w:rPr>
              <w:t>Background; Discussion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Reported</w:t>
            </w:r>
          </w:p>
        </w:tc>
      </w:tr>
      <w:tr>
        <w:trPr>
          <w:cantSplit/>
        </w:trPr>
        <w:tc>
          <w:tcPr>
            <w:tcW w:type="dxa" w:w="72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3</w:t>
            </w:r>
          </w:p>
        </w:tc>
        <w:tc>
          <w:tcPr>
            <w:tcW w:type="dxa" w:w="288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Objectives</w:t>
            </w:r>
          </w:p>
        </w:tc>
        <w:tc>
          <w:tcPr>
            <w:tcW w:type="dxa" w:w="5760"/>
          </w:tcPr>
          <w:p>
            <w:r>
              <w:rPr>
                <w:rFonts w:ascii="Times New Roman" w:hAnsi="Times New Roman"/>
                <w:sz w:val="16"/>
              </w:rPr>
              <w:t>Paired total/nondental states with fixed denominators and thresholds.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16"/>
              </w:rPr>
              <w:t>Background; Discussion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Reported</w:t>
            </w:r>
          </w:p>
        </w:tc>
      </w:tr>
      <w:tr>
        <w:trPr>
          <w:cantSplit/>
        </w:trPr>
        <w:tc>
          <w:tcPr>
            <w:tcW w:type="dxa" w:w="72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4</w:t>
            </w:r>
          </w:p>
        </w:tc>
        <w:tc>
          <w:tcPr>
            <w:tcW w:type="dxa" w:w="288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Design early in the report</w:t>
            </w:r>
          </w:p>
        </w:tc>
        <w:tc>
          <w:tcPr>
            <w:tcW w:type="dxa" w:w="5760"/>
          </w:tcPr>
          <w:p>
            <w:r>
              <w:rPr>
                <w:rFonts w:ascii="Times New Roman" w:hAnsi="Times New Roman"/>
                <w:sz w:val="16"/>
              </w:rPr>
              <w:t>Secondary observational person-level longitudinal survey analysis.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16"/>
              </w:rPr>
              <w:t>Methods; Results; Discussion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Reported</w:t>
            </w:r>
          </w:p>
        </w:tc>
      </w:tr>
      <w:tr>
        <w:trPr>
          <w:cantSplit/>
        </w:trPr>
        <w:tc>
          <w:tcPr>
            <w:tcW w:type="dxa" w:w="72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5</w:t>
            </w:r>
          </w:p>
        </w:tc>
        <w:tc>
          <w:tcPr>
            <w:tcW w:type="dxa" w:w="288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Setting and observation dates</w:t>
            </w:r>
          </w:p>
        </w:tc>
        <w:tc>
          <w:tcPr>
            <w:tcW w:type="dxa" w:w="5760"/>
          </w:tcPr>
          <w:p>
            <w:r>
              <w:rPr>
                <w:rFonts w:ascii="Times New Roman" w:hAnsi="Times New Roman"/>
                <w:sz w:val="16"/>
              </w:rPr>
              <w:t>United States, civilian noninstitutionalized population, 2022–2023.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16"/>
              </w:rPr>
              <w:t>Methods; Results; Discussion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Reported</w:t>
            </w:r>
          </w:p>
        </w:tc>
      </w:tr>
      <w:tr>
        <w:trPr>
          <w:cantSplit/>
        </w:trPr>
        <w:tc>
          <w:tcPr>
            <w:tcW w:type="dxa" w:w="72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6a</w:t>
            </w:r>
          </w:p>
        </w:tc>
        <w:tc>
          <w:tcPr>
            <w:tcW w:type="dxa" w:w="288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Eligibility, sources, selection, and follow-up</w:t>
            </w:r>
          </w:p>
        </w:tc>
        <w:tc>
          <w:tcPr>
            <w:tcW w:type="dxa" w:w="5760"/>
          </w:tcPr>
          <w:p>
            <w:r>
              <w:rPr>
                <w:rFonts w:ascii="Times New Roman" w:hAnsi="Times New Roman"/>
                <w:sz w:val="16"/>
              </w:rPr>
              <w:t>Five rounds, both years, positive weight, valid spending, positive annual income; all ages.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16"/>
              </w:rPr>
              <w:t>Methods; Results; Discussion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Reported</w:t>
            </w:r>
          </w:p>
        </w:tc>
      </w:tr>
      <w:tr>
        <w:trPr>
          <w:cantSplit/>
        </w:trPr>
        <w:tc>
          <w:tcPr>
            <w:tcW w:type="dxa" w:w="72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6b</w:t>
            </w:r>
          </w:p>
        </w:tc>
        <w:tc>
          <w:tcPr>
            <w:tcW w:type="dxa" w:w="288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Matched-design information</w:t>
            </w:r>
          </w:p>
        </w:tc>
        <w:tc>
          <w:tcPr>
            <w:tcW w:type="dxa" w:w="5760"/>
          </w:tcPr>
          <w:p>
            <w:r>
              <w:rPr>
                <w:rFonts w:ascii="Times New Roman" w:hAnsi="Times New Roman"/>
                <w:sz w:val="16"/>
              </w:rPr>
              <w:t>No matching was used.</w:t>
            </w:r>
          </w:p>
        </w:tc>
        <w:tc>
          <w:tcPr>
            <w:tcW w:type="dxa" w:w="216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Not applicable: unmatched survey domains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N/A</w:t>
            </w:r>
          </w:p>
        </w:tc>
      </w:tr>
      <w:tr>
        <w:trPr>
          <w:cantSplit/>
        </w:trPr>
        <w:tc>
          <w:tcPr>
            <w:tcW w:type="dxa" w:w="72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7</w:t>
            </w:r>
          </w:p>
        </w:tc>
        <w:tc>
          <w:tcPr>
            <w:tcW w:type="dxa" w:w="288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Outcomes, groupings, and other variables</w:t>
            </w:r>
          </w:p>
        </w:tc>
        <w:tc>
          <w:tcPr>
            <w:tcW w:type="dxa" w:w="5760"/>
          </w:tcPr>
          <w:p>
            <w:r>
              <w:rPr>
                <w:rFonts w:ascii="Times New Roman" w:hAnsi="Times New Roman"/>
                <w:sz w:val="16"/>
              </w:rPr>
              <w:t>Annual spending/income indicators, four states, two reclassification measures.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16"/>
              </w:rPr>
              <w:t>Results; Table 2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Reported</w:t>
            </w:r>
          </w:p>
        </w:tc>
      </w:tr>
      <w:tr>
        <w:trPr>
          <w:cantSplit/>
        </w:trPr>
        <w:tc>
          <w:tcPr>
            <w:tcW w:type="dxa" w:w="72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8</w:t>
            </w:r>
          </w:p>
        </w:tc>
        <w:tc>
          <w:tcPr>
            <w:tcW w:type="dxa" w:w="288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Measurement sources and comparability</w:t>
            </w:r>
          </w:p>
        </w:tc>
        <w:tc>
          <w:tcPr>
            <w:tcW w:type="dxa" w:w="5760"/>
          </w:tcPr>
          <w:p>
            <w:r>
              <w:rPr>
                <w:rFonts w:ascii="Times New Roman" w:hAnsi="Times New Roman"/>
                <w:sz w:val="16"/>
              </w:rPr>
              <w:t>Released AHRQ spending, income, edited/imputed demographic variables, same-person comparison.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16"/>
              </w:rPr>
              <w:t>Methods; Results; Discussion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Reported</w:t>
            </w:r>
          </w:p>
        </w:tc>
      </w:tr>
      <w:tr>
        <w:trPr>
          <w:cantSplit/>
        </w:trPr>
        <w:tc>
          <w:tcPr>
            <w:tcW w:type="dxa" w:w="72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9</w:t>
            </w:r>
          </w:p>
        </w:tc>
        <w:tc>
          <w:tcPr>
            <w:tcW w:type="dxa" w:w="288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Sources of bias</w:t>
            </w:r>
          </w:p>
        </w:tc>
        <w:tc>
          <w:tcPr>
            <w:tcW w:type="dxa" w:w="5760"/>
          </w:tcPr>
          <w:p>
            <w:r>
              <w:rPr>
                <w:rFonts w:ascii="Times New Roman" w:hAnsi="Times New Roman"/>
                <w:sz w:val="16"/>
              </w:rPr>
              <w:t>Positive-income selection, measurement scope and rare-event precision.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16"/>
              </w:rPr>
              <w:t>Methods; Results; Discussion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Reported</w:t>
            </w:r>
          </w:p>
        </w:tc>
      </w:tr>
      <w:tr>
        <w:trPr>
          <w:cantSplit/>
        </w:trPr>
        <w:tc>
          <w:tcPr>
            <w:tcW w:type="dxa" w:w="72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10</w:t>
            </w:r>
          </w:p>
        </w:tc>
        <w:tc>
          <w:tcPr>
            <w:tcW w:type="dxa" w:w="288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Study-size basis</w:t>
            </w:r>
          </w:p>
        </w:tc>
        <w:tc>
          <w:tcPr>
            <w:tcW w:type="dxa" w:w="5760"/>
          </w:tcPr>
          <w:p>
            <w:r>
              <w:rPr>
                <w:rFonts w:ascii="Times New Roman" w:hAnsi="Times New Roman"/>
                <w:sz w:val="16"/>
              </w:rPr>
              <w:t>All eligible records; no power-based target or post hoc power.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16"/>
              </w:rPr>
              <w:t>Methods; Results; Discussion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Reported</w:t>
            </w:r>
          </w:p>
        </w:tc>
      </w:tr>
      <w:tr>
        <w:trPr>
          <w:cantSplit/>
        </w:trPr>
        <w:tc>
          <w:tcPr>
            <w:tcW w:type="dxa" w:w="72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11</w:t>
            </w:r>
          </w:p>
        </w:tc>
        <w:tc>
          <w:tcPr>
            <w:tcW w:type="dxa" w:w="288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Handling quantitative variables</w:t>
            </w:r>
          </w:p>
        </w:tc>
        <w:tc>
          <w:tcPr>
            <w:tcW w:type="dxa" w:w="5760"/>
          </w:tcPr>
          <w:p>
            <w:r>
              <w:rPr>
                <w:rFonts w:ascii="Times New Roman" w:hAnsi="Times New Roman"/>
                <w:sz w:val="16"/>
              </w:rPr>
              <w:t>Inclusive thresholds, exact integer comparisons, no boundary cases, released demographic categories.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16"/>
              </w:rPr>
              <w:t>Methods; Results; Discussion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Reported</w:t>
            </w:r>
          </w:p>
        </w:tc>
      </w:tr>
      <w:tr>
        <w:trPr>
          <w:cantSplit/>
        </w:trPr>
        <w:tc>
          <w:tcPr>
            <w:tcW w:type="dxa" w:w="72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12a</w:t>
            </w:r>
          </w:p>
        </w:tc>
        <w:tc>
          <w:tcPr>
            <w:tcW w:type="dxa" w:w="288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Statistical methods and confounding</w:t>
            </w:r>
          </w:p>
        </w:tc>
        <w:tc>
          <w:tcPr>
            <w:tcW w:type="dxa" w:w="5760"/>
          </w:tcPr>
          <w:p>
            <w:r>
              <w:rPr>
                <w:rFonts w:ascii="Times New Roman" w:hAnsi="Times New Roman"/>
                <w:sz w:val="16"/>
              </w:rPr>
              <w:t>Complex design, Taylor SEs, beta CIs, no adjustment model.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16"/>
              </w:rPr>
              <w:t>Methods; Results; Discussion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Reported</w:t>
            </w:r>
          </w:p>
        </w:tc>
      </w:tr>
      <w:tr>
        <w:trPr>
          <w:cantSplit/>
        </w:trPr>
        <w:tc>
          <w:tcPr>
            <w:tcW w:type="dxa" w:w="72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12b</w:t>
            </w:r>
          </w:p>
        </w:tc>
        <w:tc>
          <w:tcPr>
            <w:tcW w:type="dxa" w:w="288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Subgroup and interaction methods</w:t>
            </w:r>
          </w:p>
        </w:tc>
        <w:tc>
          <w:tcPr>
            <w:tcW w:type="dxa" w:w="5760"/>
          </w:tcPr>
          <w:p>
            <w:r>
              <w:rPr>
                <w:rFonts w:ascii="Times New Roman" w:hAnsi="Times New Roman"/>
                <w:sz w:val="16"/>
              </w:rPr>
              <w:t>No subgroup or interaction analysis was performed.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16"/>
              </w:rPr>
              <w:t>Methods; Results; Discussion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Reported absence</w:t>
            </w:r>
          </w:p>
        </w:tc>
      </w:tr>
      <w:tr>
        <w:trPr>
          <w:cantSplit/>
        </w:trPr>
        <w:tc>
          <w:tcPr>
            <w:tcW w:type="dxa" w:w="72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12c</w:t>
            </w:r>
          </w:p>
        </w:tc>
        <w:tc>
          <w:tcPr>
            <w:tcW w:type="dxa" w:w="288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Missing-data handling</w:t>
            </w:r>
          </w:p>
        </w:tc>
        <w:tc>
          <w:tcPr>
            <w:tcW w:type="dxa" w:w="5760"/>
          </w:tcPr>
          <w:p>
            <w:r>
              <w:rPr>
                <w:rFonts w:ascii="Times New Roman" w:hAnsi="Times New Roman"/>
                <w:sz w:val="16"/>
              </w:rPr>
              <w:t>Income/invalid spending exclusions explicit; demographic missingness shown; no imputation.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16"/>
              </w:rPr>
              <w:t>Methods; Results; Discussion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Reported</w:t>
            </w:r>
          </w:p>
        </w:tc>
      </w:tr>
      <w:tr>
        <w:trPr>
          <w:cantSplit/>
        </w:trPr>
        <w:tc>
          <w:tcPr>
            <w:tcW w:type="dxa" w:w="72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12d</w:t>
            </w:r>
          </w:p>
        </w:tc>
        <w:tc>
          <w:tcPr>
            <w:tcW w:type="dxa" w:w="288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Loss to follow-up handling</w:t>
            </w:r>
          </w:p>
        </w:tc>
        <w:tc>
          <w:tcPr>
            <w:tcW w:type="dxa" w:w="5760"/>
          </w:tcPr>
          <w:p>
            <w:r>
              <w:rPr>
                <w:rFonts w:ascii="Times New Roman" w:hAnsi="Times New Roman"/>
                <w:sz w:val="16"/>
              </w:rPr>
              <w:t>Complete five-round domain and longitudinal weighting; no separate investigator loss model.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16"/>
              </w:rPr>
              <w:t>Methods; Results; Discussion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Reported</w:t>
            </w:r>
          </w:p>
        </w:tc>
      </w:tr>
      <w:tr>
        <w:trPr>
          <w:cantSplit/>
        </w:trPr>
        <w:tc>
          <w:tcPr>
            <w:tcW w:type="dxa" w:w="72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12e</w:t>
            </w:r>
          </w:p>
        </w:tc>
        <w:tc>
          <w:tcPr>
            <w:tcW w:type="dxa" w:w="288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Sensitivity analyses</w:t>
            </w:r>
          </w:p>
        </w:tc>
        <w:tc>
          <w:tcPr>
            <w:tcW w:type="dxa" w:w="5760"/>
          </w:tcPr>
          <w:p>
            <w:r>
              <w:rPr>
                <w:rFonts w:ascii="Times New Roman" w:hAnsi="Times New Roman"/>
                <w:sz w:val="16"/>
              </w:rPr>
              <w:t>Prespecified 20% threshold, conditional df=0/no beta CI retained.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16"/>
              </w:rPr>
              <w:t>Methods; Results; Discussion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Reported</w:t>
            </w:r>
          </w:p>
        </w:tc>
      </w:tr>
      <w:tr>
        <w:trPr>
          <w:cantSplit/>
        </w:trPr>
        <w:tc>
          <w:tcPr>
            <w:tcW w:type="dxa" w:w="72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13a</w:t>
            </w:r>
          </w:p>
        </w:tc>
        <w:tc>
          <w:tcPr>
            <w:tcW w:type="dxa" w:w="288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Participant numbers at each stage</w:t>
            </w:r>
          </w:p>
        </w:tc>
        <w:tc>
          <w:tcPr>
            <w:tcW w:type="dxa" w:w="5760"/>
          </w:tcPr>
          <w:p>
            <w:r>
              <w:rPr>
                <w:rFonts w:ascii="Times New Roman" w:hAnsi="Times New Roman"/>
                <w:sz w:val="16"/>
              </w:rPr>
              <w:t>8292 source, 7812 structural, 7423 positive-income records.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16"/>
              </w:rPr>
              <w:t>Methods; Results; Discussion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Reported</w:t>
            </w:r>
          </w:p>
        </w:tc>
      </w:tr>
      <w:tr>
        <w:trPr>
          <w:cantSplit/>
        </w:trPr>
        <w:tc>
          <w:tcPr>
            <w:tcW w:type="dxa" w:w="72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13b</w:t>
            </w:r>
          </w:p>
        </w:tc>
        <w:tc>
          <w:tcPr>
            <w:tcW w:type="dxa" w:w="288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Exclusion/nonparticipation reasons</w:t>
            </w:r>
          </w:p>
        </w:tc>
        <w:tc>
          <w:tcPr>
            <w:tcW w:type="dxa" w:w="5760"/>
          </w:tcPr>
          <w:p>
            <w:r>
              <w:rPr>
                <w:rFonts w:ascii="Times New Roman" w:hAnsi="Times New Roman"/>
                <w:sz w:val="16"/>
              </w:rPr>
              <w:t>480 structural and 389 additional income exclusions; reasons not treated as below threshold.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16"/>
              </w:rPr>
              <w:t>Methods; Results; Discussion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Reported</w:t>
            </w:r>
          </w:p>
        </w:tc>
      </w:tr>
      <w:tr>
        <w:trPr>
          <w:cantSplit/>
        </w:trPr>
        <w:tc>
          <w:tcPr>
            <w:tcW w:type="dxa" w:w="72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13c</w:t>
            </w:r>
          </w:p>
        </w:tc>
        <w:tc>
          <w:tcPr>
            <w:tcW w:type="dxa" w:w="288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Flow presentation</w:t>
            </w:r>
          </w:p>
        </w:tc>
        <w:tc>
          <w:tcPr>
            <w:tcW w:type="dxa" w:w="5760"/>
          </w:tcPr>
          <w:p>
            <w:r>
              <w:rPr>
                <w:rFonts w:ascii="Times New Roman" w:hAnsi="Times New Roman"/>
                <w:sz w:val="16"/>
              </w:rPr>
              <w:t>Flow given in text, with exact counts; no separate diagram.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16"/>
              </w:rPr>
              <w:t>Methods; Results; Discussion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Reported</w:t>
            </w:r>
          </w:p>
        </w:tc>
      </w:tr>
      <w:tr>
        <w:trPr>
          <w:cantSplit/>
        </w:trPr>
        <w:tc>
          <w:tcPr>
            <w:tcW w:type="dxa" w:w="72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14a</w:t>
            </w:r>
          </w:p>
        </w:tc>
        <w:tc>
          <w:tcPr>
            <w:tcW w:type="dxa" w:w="288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Participant characteristics</w:t>
            </w:r>
          </w:p>
        </w:tc>
        <w:tc>
          <w:tcPr>
            <w:tcW w:type="dxa" w:w="5760"/>
          </w:tcPr>
          <w:p>
            <w:r>
              <w:rPr>
                <w:rFonts w:ascii="Times New Roman" w:hAnsi="Times New Roman"/>
                <w:sz w:val="16"/>
              </w:rPr>
              <w:t>Overall age, sex, five released race/ethnicity categories, Table 1.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16"/>
              </w:rPr>
              <w:t>Results; Table 1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Reported</w:t>
            </w:r>
          </w:p>
        </w:tc>
      </w:tr>
      <w:tr>
        <w:trPr>
          <w:cantSplit/>
        </w:trPr>
        <w:tc>
          <w:tcPr>
            <w:tcW w:type="dxa" w:w="72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14b</w:t>
            </w:r>
          </w:p>
        </w:tc>
        <w:tc>
          <w:tcPr>
            <w:tcW w:type="dxa" w:w="288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Variable-level missingness</w:t>
            </w:r>
          </w:p>
        </w:tc>
        <w:tc>
          <w:tcPr>
            <w:tcW w:type="dxa" w:w="5760"/>
          </w:tcPr>
          <w:p>
            <w:r>
              <w:rPr>
                <w:rFonts w:ascii="Times New Roman" w:hAnsi="Times New Roman"/>
                <w:sz w:val="16"/>
              </w:rPr>
              <w:t>Age, sex, race/ethnicity all have zero missing values, Table 1.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16"/>
              </w:rPr>
              <w:t>Results; Table 1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Reported</w:t>
            </w:r>
          </w:p>
        </w:tc>
      </w:tr>
      <w:tr>
        <w:trPr>
          <w:cantSplit/>
        </w:trPr>
        <w:tc>
          <w:tcPr>
            <w:tcW w:type="dxa" w:w="72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14c</w:t>
            </w:r>
          </w:p>
        </w:tc>
        <w:tc>
          <w:tcPr>
            <w:tcW w:type="dxa" w:w="288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Follow-up period</w:t>
            </w:r>
          </w:p>
        </w:tc>
        <w:tc>
          <w:tcPr>
            <w:tcW w:type="dxa" w:w="5760"/>
          </w:tcPr>
          <w:p>
            <w:r>
              <w:rPr>
                <w:rFonts w:ascii="Times New Roman" w:hAnsi="Times New Roman"/>
                <w:sz w:val="16"/>
              </w:rPr>
              <w:t>Two observed calendar years; state 11 does not mean continuous hardship.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16"/>
              </w:rPr>
              <w:t>Methods; Results; Discussion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Reported</w:t>
            </w:r>
          </w:p>
        </w:tc>
      </w:tr>
      <w:tr>
        <w:trPr>
          <w:cantSplit/>
        </w:trPr>
        <w:tc>
          <w:tcPr>
            <w:tcW w:type="dxa" w:w="72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15</w:t>
            </w:r>
          </w:p>
        </w:tc>
        <w:tc>
          <w:tcPr>
            <w:tcW w:type="dxa" w:w="288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Outcome counts and summary measures</w:t>
            </w:r>
          </w:p>
        </w:tc>
        <w:tc>
          <w:tcPr>
            <w:tcW w:type="dxa" w:w="5760"/>
          </w:tcPr>
          <w:p>
            <w:r>
              <w:rPr>
                <w:rFonts w:ascii="Times New Roman" w:hAnsi="Times New Roman"/>
                <w:sz w:val="16"/>
              </w:rPr>
              <w:t>Paired state counts and reclassification results at both thresholds, Table 2.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16"/>
              </w:rPr>
              <w:t>Results; Table 2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Reported</w:t>
            </w:r>
          </w:p>
        </w:tc>
      </w:tr>
      <w:tr>
        <w:trPr>
          <w:cantSplit/>
        </w:trPr>
        <w:tc>
          <w:tcPr>
            <w:tcW w:type="dxa" w:w="72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16a</w:t>
            </w:r>
          </w:p>
        </w:tc>
        <w:tc>
          <w:tcPr>
            <w:tcW w:type="dxa" w:w="288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Unadjusted/adjusted estimates, precision, and covariates</w:t>
            </w:r>
          </w:p>
        </w:tc>
        <w:tc>
          <w:tcPr>
            <w:tcW w:type="dxa" w:w="5760"/>
          </w:tcPr>
          <w:p>
            <w:r>
              <w:rPr>
                <w:rFonts w:ascii="Times New Roman" w:hAnsi="Times New Roman"/>
                <w:sz w:val="16"/>
              </w:rPr>
              <w:t>Descriptive proportions and beta CIs; no adjusted estimates; unavailable conditional CI explicitly stated.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16"/>
              </w:rPr>
              <w:t>Results; Table 2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Reported</w:t>
            </w:r>
          </w:p>
        </w:tc>
      </w:tr>
      <w:tr>
        <w:trPr>
          <w:cantSplit/>
        </w:trPr>
        <w:tc>
          <w:tcPr>
            <w:tcW w:type="dxa" w:w="72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16b</w:t>
            </w:r>
          </w:p>
        </w:tc>
        <w:tc>
          <w:tcPr>
            <w:tcW w:type="dxa" w:w="288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Category boundaries</w:t>
            </w:r>
          </w:p>
        </w:tc>
        <w:tc>
          <w:tcPr>
            <w:tcW w:type="dxa" w:w="5760"/>
          </w:tcPr>
          <w:p>
            <w:r>
              <w:rPr>
                <w:rFonts w:ascii="Times New Roman" w:hAnsi="Times New Roman"/>
                <w:sz w:val="16"/>
              </w:rPr>
              <w:t>10% primary and 20% sensitivity with inclusive operator.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16"/>
              </w:rPr>
              <w:t>Methods; Results; Discussion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Reported</w:t>
            </w:r>
          </w:p>
        </w:tc>
      </w:tr>
      <w:tr>
        <w:trPr>
          <w:cantSplit/>
        </w:trPr>
        <w:tc>
          <w:tcPr>
            <w:tcW w:type="dxa" w:w="72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16c</w:t>
            </w:r>
          </w:p>
        </w:tc>
        <w:tc>
          <w:tcPr>
            <w:tcW w:type="dxa" w:w="288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Absolute quantities where relevant</w:t>
            </w:r>
          </w:p>
        </w:tc>
        <w:tc>
          <w:tcPr>
            <w:tcW w:type="dxa" w:w="5760"/>
          </w:tcPr>
          <w:p>
            <w:r>
              <w:rPr>
                <w:rFonts w:ascii="Times New Roman" w:hAnsi="Times New Roman"/>
                <w:sz w:val="16"/>
              </w:rPr>
              <w:t>Absolute reclassification proportions with unweighted numerators/denominators.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16"/>
              </w:rPr>
              <w:t>Results; Table 2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Reported</w:t>
            </w:r>
          </w:p>
        </w:tc>
      </w:tr>
      <w:tr>
        <w:trPr>
          <w:cantSplit/>
        </w:trPr>
        <w:tc>
          <w:tcPr>
            <w:tcW w:type="dxa" w:w="72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17</w:t>
            </w:r>
          </w:p>
        </w:tc>
        <w:tc>
          <w:tcPr>
            <w:tcW w:type="dxa" w:w="288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Other analyses</w:t>
            </w:r>
          </w:p>
        </w:tc>
        <w:tc>
          <w:tcPr>
            <w:tcW w:type="dxa" w:w="5760"/>
          </w:tcPr>
          <w:p>
            <w:r>
              <w:rPr>
                <w:rFonts w:ascii="Times New Roman" w:hAnsi="Times New Roman"/>
                <w:sz w:val="16"/>
              </w:rPr>
              <w:t>Sensitivity results and df=0/no usable interval; no added models/subgroups.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16"/>
              </w:rPr>
              <w:t>Methods; Results; Discussion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Reported</w:t>
            </w:r>
          </w:p>
        </w:tc>
      </w:tr>
      <w:tr>
        <w:trPr>
          <w:cantSplit/>
        </w:trPr>
        <w:tc>
          <w:tcPr>
            <w:tcW w:type="dxa" w:w="72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18</w:t>
            </w:r>
          </w:p>
        </w:tc>
        <w:tc>
          <w:tcPr>
            <w:tcW w:type="dxa" w:w="288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Key findings relative to objectives</w:t>
            </w:r>
          </w:p>
        </w:tc>
        <w:tc>
          <w:tcPr>
            <w:tcW w:type="dxa" w:w="5760"/>
          </w:tcPr>
          <w:p>
            <w:r>
              <w:rPr>
                <w:rFonts w:ascii="Times New Roman" w:hAnsi="Times New Roman"/>
                <w:sz w:val="16"/>
              </w:rPr>
              <w:t>Population-wide 1.24% leads, followed by rare-state concentration.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16"/>
              </w:rPr>
              <w:t>Background; Discussion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Reported</w:t>
            </w:r>
          </w:p>
        </w:tc>
      </w:tr>
      <w:tr>
        <w:trPr>
          <w:cantSplit/>
        </w:trPr>
        <w:tc>
          <w:tcPr>
            <w:tcW w:type="dxa" w:w="72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19</w:t>
            </w:r>
          </w:p>
        </w:tc>
        <w:tc>
          <w:tcPr>
            <w:tcW w:type="dxa" w:w="288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Limitations and likely bias</w:t>
            </w:r>
          </w:p>
        </w:tc>
        <w:tc>
          <w:tcPr>
            <w:tcW w:type="dxa" w:w="5760"/>
          </w:tcPr>
          <w:p>
            <w:r>
              <w:rPr>
                <w:rFonts w:ascii="Times New Roman" w:hAnsi="Times New Roman"/>
                <w:sz w:val="16"/>
              </w:rPr>
              <w:t>Person numerator/family denominator, positive-income selection, omitted financial dimensions, rare states.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16"/>
              </w:rPr>
              <w:t>Discussion; Conclusions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Reported</w:t>
            </w:r>
          </w:p>
        </w:tc>
      </w:tr>
      <w:tr>
        <w:trPr>
          <w:cantSplit/>
        </w:trPr>
        <w:tc>
          <w:tcPr>
            <w:tcW w:type="dxa" w:w="72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20</w:t>
            </w:r>
          </w:p>
        </w:tc>
        <w:tc>
          <w:tcPr>
            <w:tcW w:type="dxa" w:w="288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Cautious interpretation with prior evidence</w:t>
            </w:r>
          </w:p>
        </w:tc>
        <w:tc>
          <w:tcPr>
            <w:tcW w:type="dxa" w:w="5760"/>
          </w:tcPr>
          <w:p>
            <w:r>
              <w:rPr>
                <w:rFonts w:ascii="Times New Roman" w:hAnsi="Times New Roman"/>
                <w:sz w:val="16"/>
              </w:rPr>
              <w:t>Prior medical/dental spending research and noncausal accounting interpretation.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16"/>
              </w:rPr>
              <w:t>Background; Discussion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Reported</w:t>
            </w:r>
          </w:p>
        </w:tc>
      </w:tr>
      <w:tr>
        <w:trPr>
          <w:cantSplit/>
        </w:trPr>
        <w:tc>
          <w:tcPr>
            <w:tcW w:type="dxa" w:w="72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21</w:t>
            </w:r>
          </w:p>
        </w:tc>
        <w:tc>
          <w:tcPr>
            <w:tcW w:type="dxa" w:w="288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Generalizability</w:t>
            </w:r>
          </w:p>
        </w:tc>
        <w:tc>
          <w:tcPr>
            <w:tcW w:type="dxa" w:w="5760"/>
          </w:tcPr>
          <w:p>
            <w:r>
              <w:rPr>
                <w:rFonts w:ascii="Times New Roman" w:hAnsi="Times New Roman"/>
                <w:sz w:val="16"/>
              </w:rPr>
              <w:t>Represented positive-income population, all ages; selected conditional states.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16"/>
              </w:rPr>
              <w:t>Discussion; Conclusions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Reported</w:t>
            </w:r>
          </w:p>
        </w:tc>
      </w:tr>
      <w:tr>
        <w:trPr>
          <w:cantSplit/>
        </w:trPr>
        <w:tc>
          <w:tcPr>
            <w:tcW w:type="dxa" w:w="72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22</w:t>
            </w:r>
          </w:p>
        </w:tc>
        <w:tc>
          <w:tcPr>
            <w:tcW w:type="dxa" w:w="288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Funding and role</w:t>
            </w:r>
          </w:p>
        </w:tc>
        <w:tc>
          <w:tcPr>
            <w:tcW w:type="dxa" w:w="5760"/>
          </w:tcPr>
          <w:p>
            <w:r>
              <w:rPr>
                <w:rFonts w:ascii="Times New Roman" w:hAnsi="Times New Roman"/>
                <w:sz w:val="16"/>
              </w:rPr>
              <w:t>No funding reported on Declarations: Funding.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16"/>
              </w:rPr>
              <w:t>Declarations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Reported</w:t>
            </w:r>
          </w:p>
        </w:tc>
      </w:tr>
    </w:tbl>
    <w:p>
      <w:pPr>
        <w:pStyle w:val="Heading1"/>
      </w:pPr>
      <w:r>
        <w:rPr>
          <w:rFonts w:ascii="Times New Roman" w:hAnsi="Times New Roman"/>
          <w:sz w:val="20"/>
        </w:rPr>
        <w:t>OHStat Reporting Checklist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720"/>
        <w:gridCol w:w="2592"/>
        <w:gridCol w:w="6048"/>
        <w:gridCol w:w="2160"/>
        <w:gridCol w:w="2448"/>
      </w:tblGrid>
      <w:tr>
        <w:trPr>
          <w:cantSplit/>
          <w:tblHeader/>
        </w:trPr>
        <w:tc>
          <w:tcPr>
            <w:tcW w:type="dxa" w:w="72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/>
                <w:sz w:val="16"/>
              </w:rPr>
              <w:t>Item</w:t>
            </w:r>
          </w:p>
        </w:tc>
        <w:tc>
          <w:tcPr>
            <w:tcW w:type="dxa" w:w="2592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/>
                <w:sz w:val="16"/>
              </w:rPr>
              <w:t>Topic</w:t>
            </w:r>
          </w:p>
        </w:tc>
        <w:tc>
          <w:tcPr>
            <w:tcW w:type="dxa" w:w="6048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/>
                <w:sz w:val="16"/>
              </w:rPr>
              <w:t>Current manuscript response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16"/>
              </w:rPr>
              <w:t>Revised manuscript location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/>
                <w:sz w:val="16"/>
              </w:rPr>
              <w:t>Status</w:t>
            </w:r>
          </w:p>
        </w:tc>
      </w:tr>
      <w:tr>
        <w:trPr>
          <w:cantSplit/>
        </w:trPr>
        <w:tc>
          <w:tcPr>
            <w:tcW w:type="dxa" w:w="72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1</w:t>
            </w:r>
          </w:p>
        </w:tc>
        <w:tc>
          <w:tcPr>
            <w:tcW w:type="dxa" w:w="2592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Title</w:t>
            </w:r>
          </w:p>
        </w:tc>
        <w:tc>
          <w:tcPr>
            <w:tcW w:type="dxa" w:w="6048"/>
          </w:tcPr>
          <w:p>
            <w:r>
              <w:t>Title identifies dental out-of-pocket spending, the measurement of medical financial burden, and the United States.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16"/>
              </w:rPr>
              <w:t>Title page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Reported</w:t>
            </w:r>
          </w:p>
        </w:tc>
      </w:tr>
      <w:tr>
        <w:trPr>
          <w:cantSplit/>
        </w:trPr>
        <w:tc>
          <w:tcPr>
            <w:tcW w:type="dxa" w:w="72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2</w:t>
            </w:r>
          </w:p>
        </w:tc>
        <w:tc>
          <w:tcPr>
            <w:tcW w:type="dxa" w:w="2592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Abstract</w:t>
            </w:r>
          </w:p>
        </w:tc>
        <w:tc>
          <w:tcPr>
            <w:tcW w:type="dxa" w:w="6048"/>
          </w:tcPr>
          <w:p>
            <w:r>
              <w:rPr>
                <w:rFonts w:ascii="Times New Roman" w:hAnsi="Times New Roman"/>
                <w:sz w:val="16"/>
              </w:rPr>
              <w:t>Four-part abstract reports Background, Methods, Results and Conclusions, within the 350-word limit.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16"/>
              </w:rPr>
              <w:t>Abstract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Reported</w:t>
            </w:r>
          </w:p>
        </w:tc>
      </w:tr>
      <w:tr>
        <w:trPr>
          <w:cantSplit/>
        </w:trPr>
        <w:tc>
          <w:tcPr>
            <w:tcW w:type="dxa" w:w="72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3</w:t>
            </w:r>
          </w:p>
        </w:tc>
        <w:tc>
          <w:tcPr>
            <w:tcW w:type="dxa" w:w="2592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Abstract/article consistency</w:t>
            </w:r>
          </w:p>
        </w:tc>
        <w:tc>
          <w:tcPr>
            <w:tcW w:type="dxa" w:w="6048"/>
          </w:tcPr>
          <w:p>
            <w:r>
              <w:rPr>
                <w:rFonts w:ascii="Times New Roman" w:hAnsi="Times New Roman"/>
                <w:sz w:val="16"/>
              </w:rPr>
              <w:t>Abstract denominators, estimates, CIs, and interpretation match Results and Table 2.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16"/>
              </w:rPr>
              <w:t>Abstract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Reported</w:t>
            </w:r>
          </w:p>
        </w:tc>
      </w:tr>
      <w:tr>
        <w:trPr>
          <w:cantSplit/>
        </w:trPr>
        <w:tc>
          <w:tcPr>
            <w:tcW w:type="dxa" w:w="72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4</w:t>
            </w:r>
          </w:p>
        </w:tc>
        <w:tc>
          <w:tcPr>
            <w:tcW w:type="dxa" w:w="2592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Problem</w:t>
            </w:r>
          </w:p>
        </w:tc>
        <w:tc>
          <w:tcPr>
            <w:tcW w:type="dxa" w:w="6048"/>
          </w:tcPr>
          <w:p>
            <w:r>
              <w:t>Background explains oral-health financial protection and the heterogeneity of hardship measures.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16"/>
              </w:rPr>
              <w:t>Background; Discussion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Reported</w:t>
            </w:r>
          </w:p>
        </w:tc>
      </w:tr>
      <w:tr>
        <w:trPr>
          <w:cantSplit/>
        </w:trPr>
        <w:tc>
          <w:tcPr>
            <w:tcW w:type="dxa" w:w="72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5</w:t>
            </w:r>
          </w:p>
        </w:tc>
        <w:tc>
          <w:tcPr>
            <w:tcW w:type="dxa" w:w="2592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Objectives</w:t>
            </w:r>
          </w:p>
        </w:tc>
        <w:tc>
          <w:tcPr>
            <w:tcW w:type="dxa" w:w="6048"/>
          </w:tcPr>
          <w:p>
            <w:r>
              <w:t>The final Background paragraph states the paired total-versus-nondental classification objective, primary estimand, state-11 estimand, and 20% sensitivity threshold.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16"/>
              </w:rPr>
              <w:t>Background; Discussion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Reported</w:t>
            </w:r>
          </w:p>
        </w:tc>
      </w:tr>
      <w:tr>
        <w:trPr>
          <w:cantSplit/>
        </w:trPr>
        <w:tc>
          <w:tcPr>
            <w:tcW w:type="dxa" w:w="72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6</w:t>
            </w:r>
          </w:p>
        </w:tc>
        <w:tc>
          <w:tcPr>
            <w:tcW w:type="dxa" w:w="2592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Design</w:t>
            </w:r>
          </w:p>
        </w:tc>
        <w:tc>
          <w:tcPr>
            <w:tcW w:type="dxa" w:w="6048"/>
          </w:tcPr>
          <w:p>
            <w:r>
              <w:rPr>
                <w:rFonts w:ascii="Times New Roman" w:hAnsi="Times New Roman"/>
                <w:sz w:val="16"/>
              </w:rPr>
              <w:t>Materials and Methods identifies a secondary observational analysis of a longitudinal survey panel.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16"/>
              </w:rPr>
              <w:t>Methods; Results; Discussion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Reported</w:t>
            </w:r>
          </w:p>
        </w:tc>
      </w:tr>
      <w:tr>
        <w:trPr>
          <w:cantSplit/>
        </w:trPr>
        <w:tc>
          <w:tcPr>
            <w:tcW w:type="dxa" w:w="72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7</w:t>
            </w:r>
          </w:p>
        </w:tc>
        <w:tc>
          <w:tcPr>
            <w:tcW w:type="dxa" w:w="2592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Therapeutic approach</w:t>
            </w:r>
          </w:p>
        </w:tc>
        <w:tc>
          <w:tcPr>
            <w:tcW w:type="dxa" w:w="6048"/>
          </w:tcPr>
          <w:p>
            <w:r>
              <w:rPr>
                <w:rFonts w:ascii="Times New Roman" w:hAnsi="Times New Roman"/>
                <w:sz w:val="16"/>
              </w:rPr>
              <w:t>No intervention or therapeutic trial was conducted.</w:t>
            </w:r>
          </w:p>
        </w:tc>
        <w:tc>
          <w:tcPr>
            <w:tcW w:type="dxa" w:w="216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Not applicable: no therapeutic intervention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N/A</w:t>
            </w:r>
          </w:p>
        </w:tc>
      </w:tr>
      <w:tr>
        <w:trPr>
          <w:cantSplit/>
        </w:trPr>
        <w:tc>
          <w:tcPr>
            <w:tcW w:type="dxa" w:w="72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8</w:t>
            </w:r>
          </w:p>
        </w:tc>
        <w:tc>
          <w:tcPr>
            <w:tcW w:type="dxa" w:w="2592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Registration/prespecification</w:t>
            </w:r>
          </w:p>
        </w:tc>
        <w:tc>
          <w:tcPr>
            <w:tcW w:type="dxa" w:w="6048"/>
          </w:tcPr>
          <w:p>
            <w:r>
              <w:rPr>
                <w:rFonts w:ascii="Times New Roman" w:hAnsi="Times New Roman"/>
                <w:sz w:val="16"/>
              </w:rPr>
              <w:t>This secondary observational analysis was not presented as a registered trial. Methods states that the primary threshold, sensitivity threshold, operator, and analytic rules were specified before outcome analysis.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16"/>
              </w:rPr>
              <w:t>Methods; Results; Discussion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Reported</w:t>
            </w:r>
          </w:p>
        </w:tc>
      </w:tr>
      <w:tr>
        <w:trPr>
          <w:cantSplit/>
        </w:trPr>
        <w:tc>
          <w:tcPr>
            <w:tcW w:type="dxa" w:w="72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9</w:t>
            </w:r>
          </w:p>
        </w:tc>
        <w:tc>
          <w:tcPr>
            <w:tcW w:type="dxa" w:w="2592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Ethics and competing interests</w:t>
            </w:r>
          </w:p>
        </w:tc>
        <w:tc>
          <w:tcPr>
            <w:tcW w:type="dxa" w:w="6048"/>
          </w:tcPr>
          <w:p>
            <w:r>
              <w:rPr>
                <w:rFonts w:ascii="Times New Roman" w:hAnsi="Times New Roman"/>
                <w:sz w:val="16"/>
              </w:rPr>
              <w:t>The integrated manuscript reports the S8 institutional exemption and no additional consent; Declarations names the institution and reports no competing interests.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16"/>
              </w:rPr>
              <w:t>Declarations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Reported</w:t>
            </w:r>
          </w:p>
        </w:tc>
      </w:tr>
      <w:tr>
        <w:trPr>
          <w:cantSplit/>
        </w:trPr>
        <w:tc>
          <w:tcPr>
            <w:tcW w:type="dxa" w:w="72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10</w:t>
            </w:r>
          </w:p>
        </w:tc>
        <w:tc>
          <w:tcPr>
            <w:tcW w:type="dxa" w:w="2592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Funding</w:t>
            </w:r>
          </w:p>
        </w:tc>
        <w:tc>
          <w:tcPr>
            <w:tcW w:type="dxa" w:w="6048"/>
          </w:tcPr>
          <w:p>
            <w:r>
              <w:rPr>
                <w:rFonts w:ascii="Times New Roman" w:hAnsi="Times New Roman"/>
                <w:sz w:val="16"/>
              </w:rPr>
              <w:t>Declarations reports no specific funding.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16"/>
              </w:rPr>
              <w:t>Declarations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Reported</w:t>
            </w:r>
          </w:p>
        </w:tc>
      </w:tr>
      <w:tr>
        <w:trPr>
          <w:cantSplit/>
        </w:trPr>
        <w:tc>
          <w:tcPr>
            <w:tcW w:type="dxa" w:w="72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11</w:t>
            </w:r>
          </w:p>
        </w:tc>
        <w:tc>
          <w:tcPr>
            <w:tcW w:type="dxa" w:w="2592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Setting</w:t>
            </w:r>
          </w:p>
        </w:tc>
        <w:tc>
          <w:tcPr>
            <w:tcW w:type="dxa" w:w="6048"/>
          </w:tcPr>
          <w:p>
            <w:r>
              <w:rPr>
                <w:rFonts w:ascii="Times New Roman" w:hAnsi="Times New Roman"/>
                <w:sz w:val="16"/>
              </w:rPr>
              <w:t>Methods reports MEPS Panel 27, the United States, calendar years 2022–2023, and the civilian noninstitutionalized population.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16"/>
              </w:rPr>
              <w:t>Methods; Results; Discussion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Reported</w:t>
            </w:r>
          </w:p>
        </w:tc>
      </w:tr>
      <w:tr>
        <w:trPr>
          <w:cantSplit/>
        </w:trPr>
        <w:tc>
          <w:tcPr>
            <w:tcW w:type="dxa" w:w="72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12</w:t>
            </w:r>
          </w:p>
        </w:tc>
        <w:tc>
          <w:tcPr>
            <w:tcW w:type="dxa" w:w="2592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Eligibility</w:t>
            </w:r>
          </w:p>
        </w:tc>
        <w:tc>
          <w:tcPr>
            <w:tcW w:type="dxa" w:w="6048"/>
          </w:tcPr>
          <w:p>
            <w:r>
              <w:rPr>
                <w:rFonts w:ascii="Times New Roman" w:hAnsi="Times New Roman"/>
                <w:sz w:val="16"/>
              </w:rPr>
              <w:t>Methods reports the five-round, both-year, positive-weight, accounting-validity, and positive-income requirements.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16"/>
              </w:rPr>
              <w:t>Methods; Results; Discussion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Reported</w:t>
            </w:r>
          </w:p>
        </w:tc>
      </w:tr>
      <w:tr>
        <w:trPr>
          <w:cantSplit/>
        </w:trPr>
        <w:tc>
          <w:tcPr>
            <w:tcW w:type="dxa" w:w="72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13</w:t>
            </w:r>
          </w:p>
        </w:tc>
        <w:tc>
          <w:tcPr>
            <w:tcW w:type="dxa" w:w="2592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Recruitment/identification</w:t>
            </w:r>
          </w:p>
        </w:tc>
        <w:tc>
          <w:tcPr>
            <w:tcW w:type="dxa" w:w="6048"/>
          </w:tcPr>
          <w:p>
            <w:r>
              <w:rPr>
                <w:rFonts w:ascii="Times New Roman" w:hAnsi="Times New Roman"/>
                <w:sz w:val="16"/>
              </w:rPr>
              <w:t>Methods distinguishes AHRQ's survey source from the present secondary identification of eligible person records.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16"/>
              </w:rPr>
              <w:t>Methods; Results; Discussion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Reported</w:t>
            </w:r>
          </w:p>
        </w:tc>
      </w:tr>
      <w:tr>
        <w:trPr>
          <w:cantSplit/>
        </w:trPr>
        <w:tc>
          <w:tcPr>
            <w:tcW w:type="dxa" w:w="72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14</w:t>
            </w:r>
          </w:p>
        </w:tc>
        <w:tc>
          <w:tcPr>
            <w:tcW w:type="dxa" w:w="2592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Interventions/conditions</w:t>
            </w:r>
          </w:p>
        </w:tc>
        <w:tc>
          <w:tcPr>
            <w:tcW w:type="dxa" w:w="6048"/>
          </w:tcPr>
          <w:p>
            <w:r>
              <w:rPr>
                <w:rFonts w:ascii="Times New Roman" w:hAnsi="Times New Roman"/>
                <w:sz w:val="16"/>
              </w:rPr>
              <w:t>Total and nondental accounting are deterministic paired classifications, not assigned interventions or conditions.</w:t>
            </w:r>
          </w:p>
        </w:tc>
        <w:tc>
          <w:tcPr>
            <w:tcW w:type="dxa" w:w="216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Not applicable: paired accounting, no assigned intervention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N/A</w:t>
            </w:r>
          </w:p>
        </w:tc>
      </w:tr>
      <w:tr>
        <w:trPr>
          <w:cantSplit/>
        </w:trPr>
        <w:tc>
          <w:tcPr>
            <w:tcW w:type="dxa" w:w="72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15</w:t>
            </w:r>
          </w:p>
        </w:tc>
        <w:tc>
          <w:tcPr>
            <w:tcW w:type="dxa" w:w="2592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Variables and follow-up</w:t>
            </w:r>
          </w:p>
        </w:tc>
        <w:tc>
          <w:tcPr>
            <w:tcW w:type="dxa" w:w="6048"/>
          </w:tcPr>
          <w:p>
            <w:r>
              <w:rPr>
                <w:rFonts w:ascii="Times New Roman" w:hAnsi="Times New Roman"/>
                <w:sz w:val="16"/>
              </w:rPr>
              <w:t>Methods defines annual total and dental spending, nondental subtraction, contemporaneous family income, thresholds, annual indicators, two-year states, and reclassification measures.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16"/>
              </w:rPr>
              <w:t>Methods; Results; Discussion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Reported</w:t>
            </w:r>
          </w:p>
        </w:tc>
      </w:tr>
      <w:tr>
        <w:trPr>
          <w:cantSplit/>
        </w:trPr>
        <w:tc>
          <w:tcPr>
            <w:tcW w:type="dxa" w:w="72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16</w:t>
            </w:r>
          </w:p>
        </w:tc>
        <w:tc>
          <w:tcPr>
            <w:tcW w:type="dxa" w:w="2592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Unit of observation</w:t>
            </w:r>
          </w:p>
        </w:tc>
        <w:tc>
          <w:tcPr>
            <w:tcW w:type="dxa" w:w="6048"/>
          </w:tcPr>
          <w:p>
            <w:r>
              <w:rPr>
                <w:rFonts w:ascii="Times New Roman" w:hAnsi="Times New Roman"/>
                <w:sz w:val="16"/>
              </w:rPr>
              <w:t>Methods identifies the person as the analysis unit, with one released record per person and no age or disease restriction.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16"/>
              </w:rPr>
              <w:t>Methods; Results; Discussion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Reported</w:t>
            </w:r>
          </w:p>
        </w:tc>
      </w:tr>
      <w:tr>
        <w:trPr>
          <w:cantSplit/>
        </w:trPr>
        <w:tc>
          <w:tcPr>
            <w:tcW w:type="dxa" w:w="72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17</w:t>
            </w:r>
          </w:p>
        </w:tc>
        <w:tc>
          <w:tcPr>
            <w:tcW w:type="dxa" w:w="2592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Clinical importance</w:t>
            </w:r>
          </w:p>
        </w:tc>
        <w:tc>
          <w:tcPr>
            <w:tcW w:type="dxa" w:w="6048"/>
          </w:tcPr>
          <w:p>
            <w:r>
              <w:rPr>
                <w:rFonts w:ascii="Times New Roman" w:hAnsi="Times New Roman"/>
                <w:sz w:val="16"/>
              </w:rPr>
              <w:t>The outcomes are descriptive classification proportions; no treatment contrast or minimum clinically important difference applies.</w:t>
            </w:r>
          </w:p>
        </w:tc>
        <w:tc>
          <w:tcPr>
            <w:tcW w:type="dxa" w:w="216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Not applicable: no treatment effect or MCID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N/A</w:t>
            </w:r>
          </w:p>
        </w:tc>
      </w:tr>
      <w:tr>
        <w:trPr>
          <w:cantSplit/>
        </w:trPr>
        <w:tc>
          <w:tcPr>
            <w:tcW w:type="dxa" w:w="72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18</w:t>
            </w:r>
          </w:p>
        </w:tc>
        <w:tc>
          <w:tcPr>
            <w:tcW w:type="dxa" w:w="2592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Random assignment</w:t>
            </w:r>
          </w:p>
        </w:tc>
        <w:tc>
          <w:tcPr>
            <w:tcW w:type="dxa" w:w="6048"/>
          </w:tcPr>
          <w:p>
            <w:r>
              <w:rPr>
                <w:rFonts w:ascii="Times New Roman" w:hAnsi="Times New Roman"/>
                <w:sz w:val="16"/>
              </w:rPr>
              <w:t>No randomized assignment was used.</w:t>
            </w:r>
          </w:p>
        </w:tc>
        <w:tc>
          <w:tcPr>
            <w:tcW w:type="dxa" w:w="216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Not applicable: no randomization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N/A</w:t>
            </w:r>
          </w:p>
        </w:tc>
      </w:tr>
      <w:tr>
        <w:trPr>
          <w:cantSplit/>
        </w:trPr>
        <w:tc>
          <w:tcPr>
            <w:tcW w:type="dxa" w:w="72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19</w:t>
            </w:r>
          </w:p>
        </w:tc>
        <w:tc>
          <w:tcPr>
            <w:tcW w:type="dxa" w:w="2592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Blinding</w:t>
            </w:r>
          </w:p>
        </w:tc>
        <w:tc>
          <w:tcPr>
            <w:tcW w:type="dxa" w:w="6048"/>
          </w:tcPr>
          <w:p>
            <w:r>
              <w:rPr>
                <w:rFonts w:ascii="Times New Roman" w:hAnsi="Times New Roman"/>
                <w:sz w:val="16"/>
              </w:rPr>
              <w:t>No intervention allocation, assessor judgment, or treatment assignment was involved.</w:t>
            </w:r>
          </w:p>
        </w:tc>
        <w:tc>
          <w:tcPr>
            <w:tcW w:type="dxa" w:w="216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Not applicable: no assigned allocation or assessor judgment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N/A</w:t>
            </w:r>
          </w:p>
        </w:tc>
      </w:tr>
      <w:tr>
        <w:trPr>
          <w:cantSplit/>
        </w:trPr>
        <w:tc>
          <w:tcPr>
            <w:tcW w:type="dxa" w:w="72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20</w:t>
            </w:r>
          </w:p>
        </w:tc>
        <w:tc>
          <w:tcPr>
            <w:tcW w:type="dxa" w:w="2592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Data collection and exclusions</w:t>
            </w:r>
          </w:p>
        </w:tc>
        <w:tc>
          <w:tcPr>
            <w:tcW w:type="dxa" w:w="6048"/>
          </w:tcPr>
          <w:p>
            <w:r>
              <w:rPr>
                <w:rFonts w:ascii="Times New Roman" w:hAnsi="Times New Roman"/>
                <w:sz w:val="16"/>
              </w:rPr>
              <w:t>Methods and Results report the AHRQ source boundary and the complete aggregate flow: 8,292 source records, 7,812 structurally eligible records, and 7,423 positive-income records, with 480 and 389 exclusions.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16"/>
              </w:rPr>
              <w:t>Methods; Results; Discussion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Reported</w:t>
            </w:r>
          </w:p>
        </w:tc>
      </w:tr>
      <w:tr>
        <w:trPr>
          <w:cantSplit/>
        </w:trPr>
        <w:tc>
          <w:tcPr>
            <w:tcW w:type="dxa" w:w="72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21</w:t>
            </w:r>
          </w:p>
        </w:tc>
        <w:tc>
          <w:tcPr>
            <w:tcW w:type="dxa" w:w="2592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Measurement quality</w:t>
            </w:r>
          </w:p>
        </w:tc>
        <w:tc>
          <w:tcPr>
            <w:tcW w:type="dxa" w:w="6048"/>
          </w:tcPr>
          <w:p>
            <w:r>
              <w:rPr>
                <w:rFonts w:ascii="Times New Roman" w:hAnsi="Times New Roman"/>
                <w:sz w:val="16"/>
              </w:rPr>
              <w:t>Methods identifies the released AHRQ constructs and edited/imputed demographic variables and avoids attributing independent source-measure validation to the authors.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16"/>
              </w:rPr>
              <w:t>Methods; Results; Discussion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Reported</w:t>
            </w:r>
          </w:p>
        </w:tc>
      </w:tr>
      <w:tr>
        <w:trPr>
          <w:cantSplit/>
        </w:trPr>
        <w:tc>
          <w:tcPr>
            <w:tcW w:type="dxa" w:w="72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22</w:t>
            </w:r>
          </w:p>
        </w:tc>
        <w:tc>
          <w:tcPr>
            <w:tcW w:type="dxa" w:w="2592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Threats to validity</w:t>
            </w:r>
          </w:p>
        </w:tc>
        <w:tc>
          <w:tcPr>
            <w:tcW w:type="dxa" w:w="6048"/>
          </w:tcPr>
          <w:p>
            <w:r>
              <w:rPr>
                <w:rFonts w:ascii="Times New Roman" w:hAnsi="Times New Roman"/>
                <w:sz w:val="16"/>
              </w:rPr>
              <w:t>Discussion addresses two observed years, the mixed person-spending/family-income metric, omitted financial dimensions, noncausal subtraction, rare events, limited precision, and absence of heterogeneity analysis.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16"/>
              </w:rPr>
              <w:t>Methods; Results; Discussion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Reported</w:t>
            </w:r>
          </w:p>
        </w:tc>
      </w:tr>
      <w:tr>
        <w:trPr>
          <w:cantSplit/>
        </w:trPr>
        <w:tc>
          <w:tcPr>
            <w:tcW w:type="dxa" w:w="72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23</w:t>
            </w:r>
          </w:p>
        </w:tc>
        <w:tc>
          <w:tcPr>
            <w:tcW w:type="dxa" w:w="2592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Sample size</w:t>
            </w:r>
          </w:p>
        </w:tc>
        <w:tc>
          <w:tcPr>
            <w:tcW w:type="dxa" w:w="6048"/>
          </w:tcPr>
          <w:p>
            <w:r>
              <w:rPr>
                <w:rFonts w:ascii="Times New Roman" w:hAnsi="Times New Roman"/>
                <w:sz w:val="16"/>
              </w:rPr>
              <w:t>Methods states that all eligible Panel 27 persons were included and that no power-based target or post hoc power calculation was used.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16"/>
              </w:rPr>
              <w:t>Methods; Results; Discussion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Reported</w:t>
            </w:r>
          </w:p>
        </w:tc>
      </w:tr>
      <w:tr>
        <w:trPr>
          <w:cantSplit/>
        </w:trPr>
        <w:tc>
          <w:tcPr>
            <w:tcW w:type="dxa" w:w="72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24</w:t>
            </w:r>
          </w:p>
        </w:tc>
        <w:tc>
          <w:tcPr>
            <w:tcW w:type="dxa" w:w="2592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Analytic approach</w:t>
            </w:r>
          </w:p>
        </w:tc>
        <w:tc>
          <w:tcPr>
            <w:tcW w:type="dxa" w:w="6048"/>
          </w:tcPr>
          <w:p>
            <w:r>
              <w:rPr>
                <w:rFonts w:ascii="Times New Roman" w:hAnsi="Times New Roman"/>
                <w:sz w:val="16"/>
              </w:rPr>
              <w:t>Statistical Analysis reports the longitudinal weight, variance strata, nested PSUs, Taylor linearization, beta CIs, software, package version, and single-PSU rule.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16"/>
              </w:rPr>
              <w:t>Methods; Results; Discussion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Reported</w:t>
            </w:r>
          </w:p>
        </w:tc>
      </w:tr>
      <w:tr>
        <w:trPr>
          <w:cantSplit/>
        </w:trPr>
        <w:tc>
          <w:tcPr>
            <w:tcW w:type="dxa" w:w="72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25</w:t>
            </w:r>
          </w:p>
        </w:tc>
        <w:tc>
          <w:tcPr>
            <w:tcW w:type="dxa" w:w="2592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Primary analysis</w:t>
            </w:r>
          </w:p>
        </w:tc>
        <w:tc>
          <w:tcPr>
            <w:tcW w:type="dxa" w:w="6048"/>
          </w:tcPr>
          <w:p>
            <w:r>
              <w:rPr>
                <w:rFonts w:ascii="Times New Roman" w:hAnsi="Times New Roman"/>
                <w:sz w:val="16"/>
              </w:rPr>
              <w:t>Methods defines the same-person total-versus-nondental two-year state comparison and state-11 reclassification.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16"/>
              </w:rPr>
              <w:t>Methods; Results; Discussion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Reported</w:t>
            </w:r>
          </w:p>
        </w:tc>
      </w:tr>
      <w:tr>
        <w:trPr>
          <w:cantSplit/>
        </w:trPr>
        <w:tc>
          <w:tcPr>
            <w:tcW w:type="dxa" w:w="72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26</w:t>
            </w:r>
          </w:p>
        </w:tc>
        <w:tc>
          <w:tcPr>
            <w:tcW w:type="dxa" w:w="2592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Analysis populations</w:t>
            </w:r>
          </w:p>
        </w:tc>
        <w:tc>
          <w:tcPr>
            <w:tcW w:type="dxa" w:w="6048"/>
          </w:tcPr>
          <w:p>
            <w:r>
              <w:rPr>
                <w:rFonts w:ascii="Times New Roman" w:hAnsi="Times New Roman"/>
                <w:sz w:val="16"/>
              </w:rPr>
              <w:t>Methods and Results distinguish the 7,423-person analytic population from each total-state-11 conditional population and keep denominators adjacent to estimates.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16"/>
              </w:rPr>
              <w:t>Methods; Results; Discussion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Reported</w:t>
            </w:r>
          </w:p>
        </w:tc>
      </w:tr>
      <w:tr>
        <w:trPr>
          <w:cantSplit/>
        </w:trPr>
        <w:tc>
          <w:tcPr>
            <w:tcW w:type="dxa" w:w="72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27</w:t>
            </w:r>
          </w:p>
        </w:tc>
        <w:tc>
          <w:tcPr>
            <w:tcW w:type="dxa" w:w="2592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Interim analyses/stopping</w:t>
            </w:r>
          </w:p>
        </w:tc>
        <w:tc>
          <w:tcPr>
            <w:tcW w:type="dxa" w:w="6048"/>
          </w:tcPr>
          <w:p>
            <w:r>
              <w:rPr>
                <w:rFonts w:ascii="Times New Roman" w:hAnsi="Times New Roman"/>
                <w:sz w:val="16"/>
              </w:rPr>
              <w:t>No trial, interim analysis, or data-dependent stopping rule applied.</w:t>
            </w:r>
          </w:p>
        </w:tc>
        <w:tc>
          <w:tcPr>
            <w:tcW w:type="dxa" w:w="216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Not applicable: no interim trial analysis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N/A</w:t>
            </w:r>
          </w:p>
        </w:tc>
      </w:tr>
      <w:tr>
        <w:trPr>
          <w:cantSplit/>
        </w:trPr>
        <w:tc>
          <w:tcPr>
            <w:tcW w:type="dxa" w:w="72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28</w:t>
            </w:r>
          </w:p>
        </w:tc>
        <w:tc>
          <w:tcPr>
            <w:tcW w:type="dxa" w:w="2592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Data preparation</w:t>
            </w:r>
          </w:p>
        </w:tc>
        <w:tc>
          <w:tcPr>
            <w:tcW w:type="dxa" w:w="6048"/>
          </w:tcPr>
          <w:p>
            <w:r>
              <w:rPr>
                <w:rFonts w:ascii="Times New Roman" w:hAnsi="Times New Roman"/>
                <w:sz w:val="16"/>
              </w:rPr>
              <w:t>Methods reports nondental subtraction, validity rules, income handling, exact integer threshold comparisons, and absence of imputation.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16"/>
              </w:rPr>
              <w:t>Methods; Results; Discussion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Reported</w:t>
            </w:r>
          </w:p>
        </w:tc>
      </w:tr>
      <w:tr>
        <w:trPr>
          <w:cantSplit/>
        </w:trPr>
        <w:tc>
          <w:tcPr>
            <w:tcW w:type="dxa" w:w="72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29</w:t>
            </w:r>
          </w:p>
        </w:tc>
        <w:tc>
          <w:tcPr>
            <w:tcW w:type="dxa" w:w="2592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Multivariable methods</w:t>
            </w:r>
          </w:p>
        </w:tc>
        <w:tc>
          <w:tcPr>
            <w:tcW w:type="dxa" w:w="6048"/>
          </w:tcPr>
          <w:p>
            <w:r>
              <w:rPr>
                <w:rFonts w:ascii="Times New Roman" w:hAnsi="Times New Roman"/>
                <w:sz w:val="16"/>
              </w:rPr>
              <w:t>No multivariable model was performed.</w:t>
            </w:r>
          </w:p>
        </w:tc>
        <w:tc>
          <w:tcPr>
            <w:tcW w:type="dxa" w:w="216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Not applicable: no multivariable model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N/A</w:t>
            </w:r>
          </w:p>
        </w:tc>
      </w:tr>
      <w:tr>
        <w:trPr>
          <w:cantSplit/>
        </w:trPr>
        <w:tc>
          <w:tcPr>
            <w:tcW w:type="dxa" w:w="72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30</w:t>
            </w:r>
          </w:p>
        </w:tc>
        <w:tc>
          <w:tcPr>
            <w:tcW w:type="dxa" w:w="2592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Correlated data</w:t>
            </w:r>
          </w:p>
        </w:tc>
        <w:tc>
          <w:tcPr>
            <w:tcW w:type="dxa" w:w="6048"/>
          </w:tcPr>
          <w:p>
            <w:r>
              <w:rPr>
                <w:rFonts w:ascii="Times New Roman" w:hAnsi="Times New Roman"/>
                <w:sz w:val="16"/>
              </w:rPr>
              <w:t>Methods states that annual indicators were combined within person and were not analyzed as independent records; survey dependence was addressed through the complex design.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16"/>
              </w:rPr>
              <w:t>Methods; Results; Discussion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Reported</w:t>
            </w:r>
          </w:p>
        </w:tc>
      </w:tr>
      <w:tr>
        <w:trPr>
          <w:cantSplit/>
        </w:trPr>
        <w:tc>
          <w:tcPr>
            <w:tcW w:type="dxa" w:w="72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31</w:t>
            </w:r>
          </w:p>
        </w:tc>
        <w:tc>
          <w:tcPr>
            <w:tcW w:type="dxa" w:w="2592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Ancillary analyses</w:t>
            </w:r>
          </w:p>
        </w:tc>
        <w:tc>
          <w:tcPr>
            <w:tcW w:type="dxa" w:w="6048"/>
          </w:tcPr>
          <w:p>
            <w:r>
              <w:rPr>
                <w:rFonts w:ascii="Times New Roman" w:hAnsi="Times New Roman"/>
                <w:sz w:val="16"/>
              </w:rPr>
              <w:t>Methods and Results separate the prespecified 20% sensitivity threshold from the 10% primary threshold.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16"/>
              </w:rPr>
              <w:t>Methods; Results; Discussion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Reported</w:t>
            </w:r>
          </w:p>
        </w:tc>
      </w:tr>
      <w:tr>
        <w:trPr>
          <w:cantSplit/>
        </w:trPr>
        <w:tc>
          <w:tcPr>
            <w:tcW w:type="dxa" w:w="72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32</w:t>
            </w:r>
          </w:p>
        </w:tc>
        <w:tc>
          <w:tcPr>
            <w:tcW w:type="dxa" w:w="2592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Post hoc analyses</w:t>
            </w:r>
          </w:p>
        </w:tc>
        <w:tc>
          <w:tcPr>
            <w:tcW w:type="dxa" w:w="6048"/>
          </w:tcPr>
          <w:p>
            <w:r>
              <w:rPr>
                <w:rFonts w:ascii="Times New Roman" w:hAnsi="Times New Roman"/>
                <w:sz w:val="16"/>
              </w:rPr>
              <w:t>No additional outcome model, subgroup analysis, or threshold optimization is reported. Overall demographic reporting used AI-assisted code as disclosed in Methods.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16"/>
              </w:rPr>
              <w:t>Methods; Results; Discussion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Reported</w:t>
            </w:r>
          </w:p>
        </w:tc>
      </w:tr>
      <w:tr>
        <w:trPr>
          <w:cantSplit/>
        </w:trPr>
        <w:tc>
          <w:tcPr>
            <w:tcW w:type="dxa" w:w="72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33</w:t>
            </w:r>
          </w:p>
        </w:tc>
        <w:tc>
          <w:tcPr>
            <w:tcW w:type="dxa" w:w="2592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Hypothesis testing</w:t>
            </w:r>
          </w:p>
        </w:tc>
        <w:tc>
          <w:tcPr>
            <w:tcW w:type="dxa" w:w="6048"/>
          </w:tcPr>
          <w:p>
            <w:r>
              <w:rPr>
                <w:rFonts w:ascii="Times New Roman" w:hAnsi="Times New Roman"/>
                <w:sz w:val="16"/>
              </w:rPr>
              <w:t>No null-hypothesis test or P value was used.</w:t>
            </w:r>
          </w:p>
        </w:tc>
        <w:tc>
          <w:tcPr>
            <w:tcW w:type="dxa" w:w="216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Not applicable: no hypothesis test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N/A</w:t>
            </w:r>
          </w:p>
        </w:tc>
      </w:tr>
      <w:tr>
        <w:trPr>
          <w:cantSplit/>
        </w:trPr>
        <w:tc>
          <w:tcPr>
            <w:tcW w:type="dxa" w:w="72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34</w:t>
            </w:r>
          </w:p>
        </w:tc>
        <w:tc>
          <w:tcPr>
            <w:tcW w:type="dxa" w:w="2592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Participants/sample flow</w:t>
            </w:r>
          </w:p>
        </w:tc>
        <w:tc>
          <w:tcPr>
            <w:tcW w:type="dxa" w:w="6048"/>
          </w:tcPr>
          <w:p>
            <w:r>
              <w:rPr>
                <w:rFonts w:ascii="Times New Roman" w:hAnsi="Times New Roman"/>
                <w:sz w:val="16"/>
              </w:rPr>
              <w:t>Methods and Results provide exact source, structural-domain, and analytic-population counts and aggregate exclusions.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16"/>
              </w:rPr>
              <w:t>Methods; Results; Discussion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Reported</w:t>
            </w:r>
          </w:p>
        </w:tc>
      </w:tr>
      <w:tr>
        <w:trPr>
          <w:cantSplit/>
        </w:trPr>
        <w:tc>
          <w:tcPr>
            <w:tcW w:type="dxa" w:w="72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35</w:t>
            </w:r>
          </w:p>
        </w:tc>
        <w:tc>
          <w:tcPr>
            <w:tcW w:type="dxa" w:w="2592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Study data/baseline characteristics</w:t>
            </w:r>
          </w:p>
        </w:tc>
        <w:tc>
          <w:tcPr>
            <w:tcW w:type="dxa" w:w="6048"/>
          </w:tcPr>
          <w:p>
            <w:r>
              <w:rPr>
                <w:rFonts w:ascii="Times New Roman" w:hAnsi="Times New Roman"/>
                <w:sz w:val="16"/>
              </w:rPr>
              <w:t>Population Characteristics, Results, and Table 1 report age mean/SD, sex, five-category race/ethnicity, unweighted counts, survey-weighted estimates, and variable-level missingness. Clinical-characteristics applicability is justified below.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16"/>
              </w:rPr>
              <w:t>Results; Table 1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Reported</w:t>
            </w:r>
          </w:p>
        </w:tc>
      </w:tr>
      <w:tr>
        <w:trPr>
          <w:cantSplit/>
        </w:trPr>
        <w:tc>
          <w:tcPr>
            <w:tcW w:type="dxa" w:w="72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36</w:t>
            </w:r>
          </w:p>
        </w:tc>
        <w:tc>
          <w:tcPr>
            <w:tcW w:type="dxa" w:w="2592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Study periods</w:t>
            </w:r>
          </w:p>
        </w:tc>
        <w:tc>
          <w:tcPr>
            <w:tcW w:type="dxa" w:w="6048"/>
          </w:tcPr>
          <w:p>
            <w:r>
              <w:rPr>
                <w:rFonts w:ascii="Times New Roman" w:hAnsi="Times New Roman"/>
                <w:sz w:val="16"/>
              </w:rPr>
              <w:t>Methods reports calendar years 2022 and 2023 and the requirement for all five panel rounds.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16"/>
              </w:rPr>
              <w:t>Methods; Results; Discussion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Reported</w:t>
            </w:r>
          </w:p>
        </w:tc>
      </w:tr>
      <w:tr>
        <w:trPr>
          <w:cantSplit/>
        </w:trPr>
        <w:tc>
          <w:tcPr>
            <w:tcW w:type="dxa" w:w="72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37</w:t>
            </w:r>
          </w:p>
        </w:tc>
        <w:tc>
          <w:tcPr>
            <w:tcW w:type="dxa" w:w="2592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Outcome results and precision</w:t>
            </w:r>
          </w:p>
        </w:tc>
        <w:tc>
          <w:tcPr>
            <w:tcW w:type="dxa" w:w="6048"/>
          </w:tcPr>
          <w:p>
            <w:r>
              <w:rPr>
                <w:rFonts w:ascii="Times New Roman" w:hAnsi="Times New Roman"/>
                <w:sz w:val="16"/>
              </w:rPr>
              <w:t>Results and Table 2 report unweighted support, survey-weighted estimates, 95% CIs, and the unavailable 20% conditional beta CI with df=0.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16"/>
              </w:rPr>
              <w:t>Results; Table 2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Reported</w:t>
            </w:r>
          </w:p>
        </w:tc>
      </w:tr>
      <w:tr>
        <w:trPr>
          <w:cantSplit/>
        </w:trPr>
        <w:tc>
          <w:tcPr>
            <w:tcW w:type="dxa" w:w="72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38</w:t>
            </w:r>
          </w:p>
        </w:tc>
        <w:tc>
          <w:tcPr>
            <w:tcW w:type="dxa" w:w="2592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Protocol deviations</w:t>
            </w:r>
          </w:p>
        </w:tc>
        <w:tc>
          <w:tcPr>
            <w:tcW w:type="dxa" w:w="6048"/>
          </w:tcPr>
          <w:p>
            <w:r>
              <w:rPr>
                <w:rFonts w:ascii="Times New Roman" w:hAnsi="Times New Roman"/>
                <w:sz w:val="16"/>
              </w:rPr>
              <w:t>Frozen domains, thresholds, paired states, and CI methods are retained. Reporting-only demographics do not alter outcome definitions.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16"/>
              </w:rPr>
              <w:t>Methods; Results; Discussion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Reported</w:t>
            </w:r>
          </w:p>
        </w:tc>
      </w:tr>
      <w:tr>
        <w:trPr>
          <w:cantSplit/>
        </w:trPr>
        <w:tc>
          <w:tcPr>
            <w:tcW w:type="dxa" w:w="72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39</w:t>
            </w:r>
          </w:p>
        </w:tc>
        <w:tc>
          <w:tcPr>
            <w:tcW w:type="dxa" w:w="2592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Harms</w:t>
            </w:r>
          </w:p>
        </w:tc>
        <w:tc>
          <w:tcPr>
            <w:tcW w:type="dxa" w:w="6048"/>
          </w:tcPr>
          <w:p>
            <w:r>
              <w:rPr>
                <w:rFonts w:ascii="Times New Roman" w:hAnsi="Times New Roman"/>
                <w:sz w:val="16"/>
              </w:rPr>
              <w:t>No intervention or treatment harms were assessed.</w:t>
            </w:r>
          </w:p>
        </w:tc>
        <w:tc>
          <w:tcPr>
            <w:tcW w:type="dxa" w:w="216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Not applicable: no intervention harm outcome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N/A</w:t>
            </w:r>
          </w:p>
        </w:tc>
      </w:tr>
      <w:tr>
        <w:trPr>
          <w:cantSplit/>
        </w:trPr>
        <w:tc>
          <w:tcPr>
            <w:tcW w:type="dxa" w:w="72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40</w:t>
            </w:r>
          </w:p>
        </w:tc>
        <w:tc>
          <w:tcPr>
            <w:tcW w:type="dxa" w:w="2592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Multivariable results</w:t>
            </w:r>
          </w:p>
        </w:tc>
        <w:tc>
          <w:tcPr>
            <w:tcW w:type="dxa" w:w="6048"/>
          </w:tcPr>
          <w:p>
            <w:r>
              <w:rPr>
                <w:rFonts w:ascii="Times New Roman" w:hAnsi="Times New Roman"/>
                <w:sz w:val="16"/>
              </w:rPr>
              <w:t>No model, adjusted estimate, or interaction term was produced.</w:t>
            </w:r>
          </w:p>
        </w:tc>
        <w:tc>
          <w:tcPr>
            <w:tcW w:type="dxa" w:w="216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Not applicable: no adjusted model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N/A</w:t>
            </w:r>
          </w:p>
        </w:tc>
      </w:tr>
      <w:tr>
        <w:trPr>
          <w:cantSplit/>
        </w:trPr>
        <w:tc>
          <w:tcPr>
            <w:tcW w:type="dxa" w:w="72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41</w:t>
            </w:r>
          </w:p>
        </w:tc>
        <w:tc>
          <w:tcPr>
            <w:tcW w:type="dxa" w:w="2592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Exploratory/sensitivity results</w:t>
            </w:r>
          </w:p>
        </w:tc>
        <w:tc>
          <w:tcPr>
            <w:tcW w:type="dxa" w:w="6048"/>
          </w:tcPr>
          <w:p>
            <w:r>
              <w:rPr>
                <w:rFonts w:ascii="Times New Roman" w:hAnsi="Times New Roman"/>
                <w:sz w:val="16"/>
              </w:rPr>
              <w:t>Results presents the 20% sensitivity analysis separately and labels the 35.59% conditional estimate precision-limited because its beta CI is unavailable at df=0.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16"/>
              </w:rPr>
              <w:t>Methods; Results; Discussion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Reported</w:t>
            </w:r>
          </w:p>
        </w:tc>
      </w:tr>
      <w:tr>
        <w:trPr>
          <w:cantSplit/>
        </w:trPr>
        <w:tc>
          <w:tcPr>
            <w:tcW w:type="dxa" w:w="72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42</w:t>
            </w:r>
          </w:p>
        </w:tc>
        <w:tc>
          <w:tcPr>
            <w:tcW w:type="dxa" w:w="2592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Summary</w:t>
            </w:r>
          </w:p>
        </w:tc>
        <w:tc>
          <w:tcPr>
            <w:tcW w:type="dxa" w:w="6048"/>
          </w:tcPr>
          <w:p>
            <w:r>
              <w:t>Discussion leads with the 1.24% full-population estimate and separately distinguishes the 0.10% full-population state-11 estimate from the 14/60 conditional estimate with its CI.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16"/>
              </w:rPr>
              <w:t>Discussion; Conclusions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Reported</w:t>
            </w:r>
          </w:p>
        </w:tc>
      </w:tr>
      <w:tr>
        <w:trPr>
          <w:cantSplit/>
        </w:trPr>
        <w:tc>
          <w:tcPr>
            <w:tcW w:type="dxa" w:w="72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43</w:t>
            </w:r>
          </w:p>
        </w:tc>
        <w:tc>
          <w:tcPr>
            <w:tcW w:type="dxa" w:w="2592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Interpretation</w:t>
            </w:r>
          </w:p>
        </w:tc>
        <w:tc>
          <w:tcPr>
            <w:tcW w:type="dxa" w:w="6048"/>
          </w:tcPr>
          <w:p>
            <w:r>
              <w:rPr>
                <w:rFonts w:ascii="Times New Roman" w:hAnsi="Times New Roman"/>
                <w:sz w:val="16"/>
              </w:rPr>
              <w:t>Abstract, Discussion, and Conclusion separate primary and sensitivity findings and reject causal and continuous-hardship interpretations.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16"/>
              </w:rPr>
              <w:t>Discussion; Conclusions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Reported</w:t>
            </w:r>
          </w:p>
        </w:tc>
      </w:tr>
      <w:tr>
        <w:trPr>
          <w:cantSplit/>
        </w:trPr>
        <w:tc>
          <w:tcPr>
            <w:tcW w:type="dxa" w:w="72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44</w:t>
            </w:r>
          </w:p>
        </w:tc>
        <w:tc>
          <w:tcPr>
            <w:tcW w:type="dxa" w:w="2592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Integration with prior evidence</w:t>
            </w:r>
          </w:p>
        </w:tc>
        <w:tc>
          <w:tcPr>
            <w:tcW w:type="dxa" w:w="6048"/>
          </w:tcPr>
          <w:p>
            <w:r>
              <w:rPr>
                <w:rFonts w:ascii="Times New Roman" w:hAnsi="Times New Roman"/>
                <w:sz w:val="16"/>
              </w:rPr>
              <w:t>Background and Discussion distinguish component reclassification from prior longitudinal burden, dental-spending, welfare, and household catastrophic-expenditure studies.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16"/>
              </w:rPr>
              <w:t>Background; Discussion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Reported</w:t>
            </w:r>
          </w:p>
        </w:tc>
      </w:tr>
      <w:tr>
        <w:trPr>
          <w:cantSplit/>
        </w:trPr>
        <w:tc>
          <w:tcPr>
            <w:tcW w:type="dxa" w:w="72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45</w:t>
            </w:r>
          </w:p>
        </w:tc>
        <w:tc>
          <w:tcPr>
            <w:tcW w:type="dxa" w:w="2592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Generalization</w:t>
            </w:r>
          </w:p>
        </w:tc>
        <w:tc>
          <w:tcPr>
            <w:tcW w:type="dxa" w:w="6048"/>
          </w:tcPr>
          <w:p>
            <w:r>
              <w:rPr>
                <w:rFonts w:ascii="Times New Roman" w:hAnsi="Times New Roman"/>
                <w:sz w:val="16"/>
              </w:rPr>
              <w:t>Methods and Discussion distinguish the survey-weighted analytic population from the selected total-state-11 conditional populations.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16"/>
              </w:rPr>
              <w:t>Discussion; Conclusions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Reported</w:t>
            </w:r>
          </w:p>
        </w:tc>
      </w:tr>
      <w:tr>
        <w:trPr>
          <w:cantSplit/>
        </w:trPr>
        <w:tc>
          <w:tcPr>
            <w:tcW w:type="dxa" w:w="72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46</w:t>
            </w:r>
          </w:p>
        </w:tc>
        <w:tc>
          <w:tcPr>
            <w:tcW w:type="dxa" w:w="2592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Implications</w:t>
            </w:r>
          </w:p>
        </w:tc>
        <w:tc>
          <w:tcPr>
            <w:tcW w:type="dxa" w:w="6048"/>
          </w:tcPr>
          <w:p>
            <w:r>
              <w:rPr>
                <w:rFonts w:ascii="Times New Roman" w:hAnsi="Times New Roman"/>
                <w:sz w:val="16"/>
              </w:rPr>
              <w:t>Discussion confines implications to measurement, denominator transparency, and paired accounting.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16"/>
              </w:rPr>
              <w:t>Discussion; Conclusions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Reported</w:t>
            </w:r>
          </w:p>
        </w:tc>
      </w:tr>
      <w:tr>
        <w:trPr>
          <w:cantSplit/>
        </w:trPr>
        <w:tc>
          <w:tcPr>
            <w:tcW w:type="dxa" w:w="72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47</w:t>
            </w:r>
          </w:p>
        </w:tc>
        <w:tc>
          <w:tcPr>
            <w:tcW w:type="dxa" w:w="2592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Limitations</w:t>
            </w:r>
          </w:p>
        </w:tc>
        <w:tc>
          <w:tcPr>
            <w:tcW w:type="dxa" w:w="6048"/>
          </w:tcPr>
          <w:p>
            <w:r>
              <w:rPr>
                <w:rFonts w:ascii="Times New Roman" w:hAnsi="Times New Roman"/>
                <w:sz w:val="16"/>
              </w:rPr>
              <w:t>Discussion gives study-specific limitations and states that overall baseline description does not establish demographic heterogeneity.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16"/>
              </w:rPr>
              <w:t>Discussion; Conclusions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Reported</w:t>
            </w:r>
          </w:p>
        </w:tc>
      </w:tr>
      <w:tr>
        <w:trPr>
          <w:cantSplit/>
        </w:trPr>
        <w:tc>
          <w:tcPr>
            <w:tcW w:type="dxa" w:w="720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48</w:t>
            </w:r>
          </w:p>
        </w:tc>
        <w:tc>
          <w:tcPr>
            <w:tcW w:type="dxa" w:w="2592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Conclusions</w:t>
            </w:r>
          </w:p>
        </w:tc>
        <w:tc>
          <w:tcPr>
            <w:tcW w:type="dxa" w:w="6048"/>
          </w:tcPr>
          <w:p>
            <w:r>
              <w:rPr>
                <w:rFonts w:ascii="Times New Roman" w:hAnsi="Times New Roman"/>
                <w:sz w:val="16"/>
              </w:rPr>
              <w:t>Final Discussion paragraph confines conclusions to component classification, population scale, and conditional concentration without causal or continuous-hardship claims.</w:t>
            </w:r>
          </w:p>
        </w:tc>
        <w:tc>
          <w:tcPr>
            <w:tcW w:type="dxa" w:w="2160"/>
          </w:tcPr>
          <w:p>
            <w:r>
              <w:rPr>
                <w:rFonts w:ascii="Times New Roman" w:hAnsi="Times New Roman"/>
                <w:sz w:val="16"/>
              </w:rPr>
              <w:t>Discussion; Conclusions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</w:pPr>
            <w:r>
              <w:rPr>
                <w:rFonts w:ascii="Times New Roman" w:hAnsi="Times New Roman"/>
                <w:b w:val="0"/>
                <w:sz w:val="16"/>
              </w:rPr>
              <w:t>Reported</w:t>
            </w:r>
          </w:p>
        </w:tc>
      </w:tr>
    </w:tbl>
    <w:p>
      <w:r>
        <w:rPr>
          <w:rFonts w:ascii="Times New Roman" w:hAnsi="Times New Roman"/>
          <w:sz w:val="20"/>
        </w:rPr>
        <w:t>RECORD extension: not selected. The study uses a purpose-designed household expenditure survey public-use file rather than routinely collected administrative or clinical records; no database linkage or code-based clinical cohort construction was performed. OHStat complements the observational checklist because the component question concerns dental spending, without requiring clinical measures that were not collected for this study.</w:t>
      </w:r>
    </w:p>
    <w:sectPr w:rsidR="00FC693F" w:rsidRPr="0006063C" w:rsidSect="00034616">
      <w:footerReference w:type="default" r:id="rId9"/>
      <w:pgSz w:w="15840" w:h="12240" w:orient="landscape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100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 w:line="240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 w:line="240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00" w:line="240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180"/>
      <w:contextualSpacing/>
    </w:pPr>
    <w:rPr>
      <w:rFonts w:asciiTheme="majorHAnsi" w:eastAsiaTheme="majorEastAsia" w:hAnsiTheme="majorHAnsi" w:cstheme="majorBidi" w:ascii="Times New Roman" w:hAnsi="Times New Roman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Observational Reporting Checklist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